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丰裕固收23012期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丰裕固收23012期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FYG23012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Z7002223000014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2023年1月10日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2024年4月2日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4.20%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46,804,772.18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100.45%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46,804,772.18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45,444,000.00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1.0299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1.0299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丰裕固收23012期C款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FYG23012C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1.0299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46,804,772.18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丰裕固收23012期C款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4.14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2023年3季度以来，债券收益率整体震荡， 1、2季度地产销售疲弱，出口增速下移，消费增速未有起色，通胀数据疲软，市场预期偏弱，货币、财政、房地产等政策相继出台，但经济刺激政策整体温和，投资者信心和社会总需求仍有待提振。在此背景下，3季度货币政策保持相对宽松，房地产方面，对房地产信贷、首付比例上有更积极的政策，需求在短期也有脉冲式的回升，但难以持续，债券收益率收此影响在短时间有小幅反弹，但后续仍然维持下行趋势。伴随着银行相继调降存款利率，存款向理财搬家的现象重现，理财规模重回扩张，一定程度上仍存在资产荒。从收益率来看，当前10年国债收益率2.67%，较3季度初上4bp，当前3年期AA+城投债收益率3.08%，较3季度初上行4bp，当前3年期AAA二级资本债收益率3.02%，较3季度初上行6bp，三季度利率震荡为主，相对信用债、二级资本债波动高于利率债，市场更加偏好高流动性债券，并且对市场行情更加敏感。本产品主要配置固收类资产，债券部分以信用债为主，部分债券期限匹配采用摊余成本法估值，可平滑产品净值。三季度总体信用债维持震荡，相对低评级债券收益率略有下行，通过杠杆策略和久期策略，产品净值收益表现较好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4季度，从基本面来看，无论从经济高频数据还是前瞻性数据来看，经济仍处于弱复苏态势，从30城地产销售面积看地产销售处于偏低水平，消费仍处于修复过程中，在没有经济强刺激政策出台前，收益率难以出现大幅上行；从政策面来看，后续市场利率大概率围绕政策利率波动，当前存单、资金价格较高，后续或有下行的空间，短期债券配置价值较高。整体来说，经济复苏还需要时间，货币政策预计保持相对宽松，债市流动性环境相对友好，我们预期4季度债券收益率难以大幅上行。策略上，继续“维持期限匹配+骑乘”的基本思路，保持一定杠杆比例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5.96%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5.96%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94.04%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94.04%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22江苏新投MTN002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4,126,846.44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22新滨江PPN001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4,124,778.35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22靖江港口PPN001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4,124,215.64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8.81%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21威经开MTN001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4,118,449.17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21成都国投MTN002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4,116,107.29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21普陀国资PPN001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4,110,363.99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21陶都城投PPN001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4,105,755.33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21江门滨江PPN002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4,105,746.38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22迈瑞城投PPN002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4,104,106.79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21嵊州城投PPN001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4,093,958.18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8.75%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45,444,000.00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45,444,000.00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杭银理财幸福99丰裕固收23012期理财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3301040160015309811-5123012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