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丰裕固收22051期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Z7002222000070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2022年8月25日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2024年9月5日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689,048,394.37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122.54%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689,048,394.37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672,127,454.00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1.0252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1.0252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丰裕固收22051期A款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FYG22051A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605,237,130.56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36,321,885.01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丰裕固收22051期E款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FYG22051E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47,489,378.80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丰裕固收22051期A款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2.24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丰裕固收22051期E款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54.57%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57.75%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40.36%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40.36%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22扬州新材料01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211,440,987.98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22埇桥城投04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129,313,889.92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21六合国资MTN001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62,812,010.96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23嘉善经开PPN001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60,406,155.99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22海安开投MTN001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52,161,369.86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7.57%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23浦江01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50,768,451.89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20黄山债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31,815,924.63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23张国D2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30,458,441.10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21青岛城投PPN002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20,717,534.25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22星城发展MTN001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20,229,852.46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2.94%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150,180,219.17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21.80%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扬州新材料投资集团有限公司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22扬州新材料01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20240904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211,440,987.98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宿州埇桥城投集团(控股)有限公司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22埇桥城投04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20240904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129,313,889.92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672,127,454.00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672,127,454.00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23嘉善经开PPN001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60,332,017.05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杭银理财有限责任公司幸福99杭银理财丰裕固收第22051期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3301040160015309811-5122051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