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半年添益2009期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第3季度报告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2023年10月18日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2023年9月30日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2023年7月1日</w:t>
            </w:r>
            <w:r>
              <w:rPr>
                <w:rFonts w:ascii="仿宋" w:eastAsia="仿宋" w:hAnsi="仿宋" w:cs="仿宋"/>
                <w:color w:val="404040"/>
                <w:sz w:val="24"/>
              </w:rPr>
              <w:t>起至</w:t>
            </w:r>
            <w:r>
              <w:rPr>
                <w:rFonts w:ascii="仿宋" w:eastAsia="仿宋" w:hAnsi="仿宋" w:cs="仿宋"/>
                <w:color w:val="404040"/>
                <w:sz w:val="24"/>
              </w:rPr>
              <w:t>2023年9月30日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半年添益2009期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TYG6M2009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Z7002221000093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2020年3月25日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3.40%-3.80%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888,925,289.55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100.36%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中低风险</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2023年7月1日</w:t>
            </w:r>
            <w:r>
              <w:rPr>
                <w:rFonts w:ascii="仿宋" w:eastAsia="仿宋" w:hAnsi="仿宋" w:cs="仿宋"/>
                <w:color w:val="000000"/>
                <w:sz w:val="24"/>
              </w:rPr>
              <w:t>-</w:t>
            </w:r>
            <w:r>
              <w:rPr>
                <w:rFonts w:ascii="仿宋" w:eastAsia="仿宋" w:hAnsi="仿宋" w:cs="仿宋"/>
                <w:color w:val="000000"/>
                <w:sz w:val="24"/>
              </w:rPr>
              <w:t>2023年9月30日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888,925,289.55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779,913,614.69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1.1397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1.1397</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半年添益2009期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3.97</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2023年3季度以来，债券收益率整体震荡， 1、2季度地产销售疲弱，出口增速下移，消费增速未有起色，通胀数据疲软，市场预期偏弱，货币、财政、房地产等政策相继出台，但经济刺激政策整体温和，投资者信心和社会总需求仍有待提振。在此背景下，3季度货币政策保持相对宽松，房地产方面，对房地产信贷、首付比例上有更积极的政策，需求在短期也有脉冲式的回升，但难以持续，债券收益率收此影响在短时间有小幅反弹，但后续仍然维持下行趋势。伴随着银行相继调降存款利率，存款向理财搬家的现象重现，理财规模重回扩张，一定程度上仍存在资产荒。从收益率来看，当前10年国债收益率2.67%，较3季度初上4bp，当前3年期AA+城投债收益率3.08%，较3季度初上行4bp，当前3年期AAA二级资本债收益率3.02%，较3季度初上行6bp，三季度利率震荡为主，相对信用债，二级资本债波动高于利率债，市场更加偏好高流动性债券，并且对市场行情更加敏感。本产品主要配置固收类资产，债券部分以信用债为主，三季度总体信用债维持震荡，相对低评级债券收益率略有下行，通过杠杆策略和久期策略，产品净值收益表现较好。</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4季度，从基本面来看，无论从经济高频数据还是前瞻性数据来看，经济仍处于弱复苏态势，从30城地产销售面积看地产销售处于偏低水平，消费仍处于修复过程中，在没有经济强刺激政策出台前，收益率难以出现大幅上行；从政策面来看，后续市场利率大概率围绕政策利率波动，当前存单、资金价格较高，后续或有下行的空间，短期债券配置价值较高。整体来说，经济复苏还需要时间，货币政策预计保持相对宽松，债市流动性环境相对友好，我们预期4季度债券收益率难以大幅上行。策略上，保持一定杠杆比例，配置短久期或流动性较好的债券。</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11.18%</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11.20%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0.45%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0.45%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86.12%</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88.35%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18宜春城投PPN001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52,117,260.27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5.86%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21高邮城投PPN002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51,539,754.10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5.80%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21西咸02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50,942,136.99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5.73%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21建设银行二级01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50,860,753.42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5.72%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21青岛海洋PPN001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50,241,338.80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21进出22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41,031,178.08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4.62%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21溧水经开PPN005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36,389,124.59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22工商银行二级03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30,858,041.10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21历下控股PPN004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30,355,081.97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20金控03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30,336,493.15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3.41%</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779,913,614.69</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779,913,614.69</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杭银理财有限责任公司幸福99半年添益第2009期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3301040160015309811-332009</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2023年10月18日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