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丰裕固收23015期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第3季度报告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丰裕固收23015期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FYG23015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Z7002223000017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2023年1月19日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2024年7月11日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4.30%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658,648,055.96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129.59%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中低风险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658,648,055.96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638,584,024.00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1.0314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1.0314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丰裕固收23015期B款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FYG23015B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1.0320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266,654,922.31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丰裕固收23015期C款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FYG23015C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1.0305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103,844,548.36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丰裕固收23015期D款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FYG23015D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1.0312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288,148,585.29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丰裕固收23015期B款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4.59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丰裕固收23015期C款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4.38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丰裕固收23015期D款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4.48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2023年3季度以来，债券收益率整体震荡， 1、2季度地产销售疲弱，出口增速下移，消费增速未有起色，通胀数据疲软，市场预期偏弱，货币、财政、房地产等政策相继出台，但经济刺激政策整体温和，投资者信心和社会总需求仍有待提振。在此背景下，3季度货币政策保持相对宽松，房地产方面，对房地产信贷、首付比例上有更积极的政策，需求在短期也有脉冲式的回升，但难以持续，债券收益率收此影响在短时间有小幅反弹，但后续仍然维持下行趋势。伴随着银行相继调降存款利率，存款向理财搬家的现象重现，理财规模重回扩张，一定程度上仍存在资产荒。从收益率来看，当前10年国债收益率2.67%，较3季度初上4bp，当前3年期AA+城投债收益率3.08%，较3季度初上行4bp，当前3年期AAA二级资本债收益率3.02%，较3季度初上行6bp，三季度利率震荡为主，相对信用债、二级资本债波动高于利率债，市场更加偏好高流动性债券，并且对市场行情更加敏感。本产品主要配置固收类资产，债券部分以信用债为主，三季度总体信用债维持震荡，相对低评级债券收益率略有下行，通过杠杆策略和久期策略，产品净值收益表现较好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4季度，从基本面来看，无论从经济高频数据还是前瞻性数据来看，经济仍处于弱复苏态势，从30城地产销售面积看地产销售处于偏低水平，消费仍处于修复过程中，在没有经济强刺激政策出台前，收益率难以出现大幅上行；从政策面来看，后续市场利率大概率围绕或低于政策利率波动，当前存单、资金价格较高，后续或有下行的空间，短期债券配置价值较高。整体来说，经济复苏还需要时间，货币政策预计保持相对宽松，债市流动性环境相对友好，我们预期4季度债券收益率难以大幅上行。策略上，保持一定杠杆比例，配置短久期或流动性较好的债券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0.41%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0.41%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93.65%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93.64%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5.94%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5.94%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19淮南城投MTN003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60,836,473.65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9.24%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21三峡平湖PPN002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60,688,852.46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9.21%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21桐庐新城PPN002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60,393,318.84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9.17%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21荣成财鑫PPN001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55,301,928.96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8.40%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21海陵03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51,185,244.14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7.77%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23临平城建04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50,546,570.49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7.67%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21九联投资MTN001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50,405,050.13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7.65%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19太湖科技MTN001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50,083,728.73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7.60%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21滨湖建设PPN003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43,708,425.58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6.64%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19舟普01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41,118,932.34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6.24%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191,346,682.78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29.05%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杭州临平城市建设集团有限公司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23临平城建04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20231218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50,546,570.49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638,584,024.00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638,584,024.00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杭银理财幸福99丰裕固收23015期理财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3301040160015309811-5123015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