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半年添益2005期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半年添益2005期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TYG6M2005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Z7002221000172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2020年2月19日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2.85%-3.50%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437,753,602.17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100.57%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437,753,602.17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384,907,287.17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1.1372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1.1372</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半年添益2005期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3.79</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当前10年国债收益率2.67%，较3季度初上4bp，当前3年期AA+城投债收益率3.08%，较3季度初上行4bp，当前3年期AAA二级资本债收益率3.02%，较3季度初上行6bp，三季度利率震荡为主，相对信用债，二级资本债波动高于利率债，市场更加偏好高流动性债券，并且对市场行情更加敏感。本产品主要配置固收类资产，债券部分以信用债为主，三季度总体信用债维持震荡，相对低评级债券收益率略有下行，通过杠杆策略和久期策略，产品净值收益表现较好。</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当前存单、资金价格较高，后续或有下行的空间，短期债券配置价值较高。整体来说，经济复苏还需要时间，货币政策预计保持相对宽松，债市流动性环境相对友好，我们预期4季度债券收益率难以大幅上行。策略上，保持一定杠杆比例，配置短久期或流动性较好的债券。</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0.29%</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0.29%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88.35%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88.34%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11.36%</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11.36%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中信信托·北京通州国资信托贷款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50,028,996.60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11.43%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21胶州02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41,121,315.07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23新水国资SCP007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40,045,016.39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9.15%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21东方新城MTN002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31,215,904.11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7.13%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21桐庐新城PPN001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31,014,155.74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7.08%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21六合交通PPN002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31,012,114.75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7.08%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21平证Y1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20,571,139.73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22中国银行二级01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20,547,205.48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4.69%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20未央01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20,342,887.67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21西海发展PPN003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20,206,267.76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4.62%</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2,000,835.60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0.46%</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北京市通州区国有资本运营有限公司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中信信托·北京通州国资信托贷款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20240308</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50,028,996.60</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512,317,915.96</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384,907,287.17</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75,159.69</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杭银理财有限责任公司幸福99半年添益第2005期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3301040160015309811-332005</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