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CE5B30">
      <w:pPr>
        <w:jc w:val="center"/>
        <w:rPr>
          <w:rFonts w:ascii="宋体" w:eastAsia="宋体" w:hAnsi="宋体"/>
          <w:b/>
          <w:sz w:val="32"/>
          <w:szCs w:val="20"/>
        </w:rPr>
      </w:pPr>
    </w:p>
    <w:p w:rsidR="00CE5B30">
      <w:pPr>
        <w:adjustRightInd w:val="0"/>
        <w:snapToGrid w:val="0"/>
        <w:spacing w:line="460" w:lineRule="exact"/>
        <w:jc w:val="center"/>
        <w:rPr>
          <w:rFonts w:ascii="Times New Roman" w:eastAsia="方正楷体简体" w:hAnsi="Times New Roman"/>
          <w:sz w:val="24"/>
        </w:rPr>
      </w:pPr>
    </w:p>
    <w:p w:rsidR="00CE5B30"/>
    <w:p w:rsidR="00CE5B30">
      <w:pPr>
        <w:autoSpaceDE w:val="0"/>
        <w:autoSpaceDN w:val="0"/>
        <w:spacing w:before="220"/>
        <w:jc w:val="center"/>
        <w:rPr>
          <w:rFonts w:ascii="仿宋_GB2312" w:eastAsia="仿宋_GB2312" w:hAnsi="仿宋_GB2312" w:cs="仿宋_GB2312"/>
          <w:b/>
          <w:kern w:val="0"/>
          <w:sz w:val="52"/>
          <w:szCs w:val="52"/>
          <w:lang w:bidi="zh-CN"/>
        </w:rPr>
      </w:pPr>
      <w:r>
        <w:rPr>
          <w:rFonts w:ascii="仿宋_GB2312" w:eastAsia="仿宋_GB2312" w:hAnsi="仿宋_GB2312" w:cs="仿宋_GB2312" w:hint="eastAsia"/>
          <w:b/>
          <w:kern w:val="0"/>
          <w:sz w:val="52"/>
          <w:szCs w:val="52"/>
          <w:lang w:bidi="zh-CN"/>
        </w:rPr>
        <w:t>丰裕固收22059期</w:t>
      </w:r>
    </w:p>
    <w:p w:rsidR="00CE5B30">
      <w:pPr>
        <w:autoSpaceDE w:val="0"/>
        <w:autoSpaceDN w:val="0"/>
        <w:spacing w:line="360" w:lineRule="auto"/>
        <w:jc w:val="center"/>
        <w:rPr>
          <w:rFonts w:ascii="仿宋_GB2312" w:eastAsia="仿宋_GB2312" w:hAnsi="仿宋_GB2312" w:cs="仿宋_GB2312"/>
          <w:b/>
          <w:bCs/>
          <w:kern w:val="0"/>
          <w:sz w:val="44"/>
          <w:szCs w:val="44"/>
          <w:lang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44"/>
          <w:szCs w:val="44"/>
          <w:lang w:bidi="zh-CN"/>
        </w:rPr>
        <w:t>2023</w:t>
      </w:r>
      <w:r>
        <w:rPr>
          <w:rFonts w:ascii="仿宋_GB2312" w:eastAsia="仿宋_GB2312" w:hAnsi="仿宋_GB2312" w:cs="仿宋_GB2312"/>
          <w:b/>
          <w:sz w:val="44"/>
        </w:rPr>
        <w:t>年</w:t>
      </w:r>
      <w:r>
        <w:rPr>
          <w:rFonts w:ascii="仿宋_GB2312" w:eastAsia="仿宋_GB2312" w:hAnsi="仿宋_GB2312" w:cs="仿宋_GB2312"/>
          <w:b/>
          <w:sz w:val="44"/>
        </w:rPr>
        <w:t>第3季度报告</w:t>
      </w:r>
    </w:p>
    <w:p w:rsidR="00CE5B30">
      <w:pPr>
        <w:jc w:val="center"/>
        <w:rPr>
          <w:rFonts w:ascii="宋体" w:eastAsia="宋体" w:hAnsi="宋体" w:cs="Times New Roman"/>
          <w:color w:val="0000FF"/>
          <w:kern w:val="0"/>
          <w:sz w:val="18"/>
          <w:szCs w:val="20"/>
        </w:rPr>
      </w:pPr>
    </w:p>
    <w:p w:rsidR="00CE5B30">
      <w:pPr>
        <w:jc w:val="center"/>
        <w:rPr>
          <w:rFonts w:eastAsia="宋体"/>
          <w:sz w:val="24"/>
        </w:rPr>
      </w:pPr>
    </w:p>
    <w:p w:rsidR="00CE5B30">
      <w:pPr>
        <w:jc w:val="center"/>
        <w:rPr>
          <w:rFonts w:eastAsia="宋体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产品管理人：</w:t>
      </w:r>
      <w:r>
        <w:rPr>
          <w:rFonts w:ascii="仿宋" w:eastAsia="仿宋" w:hAnsi="仿宋" w:cs="仿宋"/>
          <w:sz w:val="24"/>
        </w:rPr>
        <w:t>杭银理财有限责任公司</w:t>
      </w:r>
    </w:p>
    <w:p w:rsidR="00CE5B3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产品托管人：</w:t>
      </w:r>
      <w:r>
        <w:rPr>
          <w:rFonts w:ascii="仿宋" w:eastAsia="仿宋" w:hAnsi="仿宋" w:cs="仿宋"/>
          <w:sz w:val="24"/>
        </w:rPr>
        <w:t>杭州银行股份有限公司</w:t>
      </w:r>
    </w:p>
    <w:p w:rsidR="00CE5B30">
      <w:pPr>
        <w:jc w:val="center"/>
        <w:rPr>
          <w:rFonts w:ascii="仿宋" w:eastAsia="仿宋" w:hAnsi="仿宋" w:cs="仿宋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</w:p>
    <w:p w:rsidR="00CE5B3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2023年10月18日</w:t>
      </w:r>
    </w:p>
    <w:p w:rsidR="00CE5B30">
      <w:pPr>
        <w:rPr>
          <w:rFonts w:ascii="宋体" w:eastAsia="宋体" w:hAnsi="宋体"/>
        </w:rPr>
      </w:pPr>
    </w:p>
    <w:p w:rsidR="00CE5B30">
      <w:pPr>
        <w:jc w:val="center"/>
        <w:rPr>
          <w:rFonts w:ascii="宋体" w:eastAsia="宋体" w:hAnsi="宋体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0" w:name="_Toc379618105"/>
      <w:r>
        <w:rPr>
          <w:rFonts w:ascii="仿宋" w:eastAsia="仿宋" w:hAnsi="仿宋" w:cs="仿宋" w:hint="eastAsia"/>
          <w:sz w:val="24"/>
        </w:rPr>
        <w:t>§1  重要提示</w:t>
      </w:r>
      <w:bookmarkEnd w:id="0"/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0"/>
      </w:tblGrid>
      <w:tr>
        <w:tblPrEx>
          <w:tblW w:w="9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left"/>
              <w:rPr>
                <w:rFonts w:ascii="仿宋" w:eastAsia="仿宋" w:hAnsi="仿宋" w:cs="仿宋"/>
                <w:color w:val="40404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产品管理人承诺以诚实信用、勤勉尽责的原则管理和运用产品资产，并如实反映产品财务指标及投资组合情况，但不保证产品一定盈利。</w:t>
            </w:r>
          </w:p>
          <w:p w:rsidR="00CE5B30"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left"/>
              <w:rPr>
                <w:rFonts w:ascii="仿宋" w:eastAsia="仿宋" w:hAnsi="仿宋" w:cs="仿宋"/>
                <w:color w:val="40404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产品托管人根据本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产品</w:t>
            </w: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合同规定，于</w:t>
            </w:r>
            <w:r>
              <w:rPr>
                <w:rFonts w:ascii="仿宋" w:eastAsia="仿宋" w:hAnsi="仿宋" w:cs="仿宋"/>
                <w:color w:val="404040"/>
                <w:sz w:val="24"/>
              </w:rPr>
              <w:t>2023年9月30日</w:t>
            </w:r>
            <w:r>
              <w:rPr>
                <w:rFonts w:ascii="仿宋" w:eastAsia="仿宋" w:hAnsi="仿宋" w:cs="仿宋"/>
                <w:color w:val="404040"/>
                <w:sz w:val="24"/>
              </w:rPr>
              <w:t>复核了本报告中的财务指标、净值表现和投资组合报告等内容，保证复核内容不存在虚假记载、误导性陈述或者重大遗漏。</w:t>
            </w:r>
          </w:p>
          <w:p w:rsidR="00CE5B30"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left"/>
              <w:rPr>
                <w:rFonts w:ascii="仿宋" w:eastAsia="仿宋" w:hAnsi="仿宋" w:cs="仿宋"/>
                <w:color w:val="40404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产品的过往业绩并不代表其未来表现。投资有风险，投资者在作出投资决策前应仔细阅读本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产品</w:t>
            </w: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的产品说明书。</w:t>
            </w:r>
          </w:p>
          <w:p w:rsidR="00CE5B30"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left"/>
              <w:rPr>
                <w:rFonts w:ascii="仿宋" w:eastAsia="仿宋" w:hAnsi="仿宋" w:cs="仿宋"/>
                <w:color w:val="40404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本报告中财务资料未经审计。</w:t>
            </w:r>
          </w:p>
          <w:p w:rsidR="00CE5B30">
            <w:pPr>
              <w:widowControl/>
              <w:adjustRightInd w:val="0"/>
              <w:snapToGrid w:val="0"/>
              <w:spacing w:line="420" w:lineRule="exact"/>
              <w:ind w:firstLine="420" w:firstLineChars="20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404040"/>
                <w:kern w:val="0"/>
                <w:sz w:val="24"/>
              </w:rPr>
              <w:t>本报告期自</w:t>
            </w:r>
            <w:r>
              <w:rPr>
                <w:rFonts w:ascii="仿宋" w:eastAsia="仿宋" w:hAnsi="仿宋" w:cs="仿宋"/>
                <w:color w:val="404040"/>
                <w:sz w:val="24"/>
              </w:rPr>
              <w:t>2023年7月1日</w:t>
            </w:r>
            <w:r>
              <w:rPr>
                <w:rFonts w:ascii="仿宋" w:eastAsia="仿宋" w:hAnsi="仿宋" w:cs="仿宋"/>
                <w:color w:val="404040"/>
                <w:sz w:val="24"/>
              </w:rPr>
              <w:t>起至</w:t>
            </w:r>
            <w:r>
              <w:rPr>
                <w:rFonts w:ascii="仿宋" w:eastAsia="仿宋" w:hAnsi="仿宋" w:cs="仿宋"/>
                <w:color w:val="404040"/>
                <w:sz w:val="24"/>
              </w:rPr>
              <w:t>2023年9月30日</w:t>
            </w:r>
            <w:r>
              <w:rPr>
                <w:rFonts w:ascii="仿宋" w:eastAsia="仿宋" w:hAnsi="仿宋" w:cs="仿宋"/>
                <w:color w:val="404040"/>
                <w:sz w:val="24"/>
              </w:rPr>
              <w:t>止。</w:t>
            </w:r>
          </w:p>
        </w:tc>
      </w:tr>
    </w:tbl>
    <w:p w:rsidR="00CE5B30">
      <w:pPr>
        <w:rPr>
          <w:rStyle w:val="a"/>
          <w:rFonts w:ascii="仿宋" w:eastAsia="仿宋" w:hAnsi="仿宋" w:cs="仿宋"/>
          <w:color w:val="0000FF"/>
          <w:sz w:val="24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1" w:name="_Toc67575498"/>
      <w:r>
        <w:rPr>
          <w:rFonts w:ascii="仿宋" w:eastAsia="仿宋" w:hAnsi="仿宋" w:cs="仿宋" w:hint="eastAsia"/>
          <w:sz w:val="24"/>
        </w:rPr>
        <w:t>§2  产品概况</w:t>
      </w:r>
      <w:bookmarkEnd w:id="1"/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2" w:name="_Toc1870029270"/>
      <w:bookmarkStart w:id="3" w:name="_Toc354129567"/>
      <w:r>
        <w:rPr>
          <w:rFonts w:ascii="仿宋" w:eastAsia="仿宋" w:hAnsi="仿宋" w:cs="仿宋" w:hint="eastAsia"/>
          <w:b/>
          <w:sz w:val="24"/>
        </w:rPr>
        <w:t>2.1 产品基本情况</w:t>
      </w:r>
      <w:bookmarkEnd w:id="2"/>
      <w:bookmarkEnd w:id="3"/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5"/>
        <w:gridCol w:w="5784"/>
      </w:tblGrid>
      <w:tr>
        <w:tblPrEx>
          <w:tblW w:w="91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产品名称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丰裕固收22059期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产品代码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FYG22059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理财信息登记系统登记编码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Z7002222000090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产品成立日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2022年10月11日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产品到期日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2024年10月22日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产品募集方式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公募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产品运作模式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封闭式净值型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产品投资性质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固定收益类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业绩比较基准（%）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4.40%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报告期末产品规模（元）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783,585,463.82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杠杆水平（%）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113.47%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风险等级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中低风险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产品管理人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杭银理财有限责任公司</w:t>
            </w:r>
          </w:p>
        </w:tc>
      </w:tr>
      <w:tr>
        <w:tblPrEx>
          <w:tblW w:w="9139" w:type="dxa"/>
          <w:tblLayout w:type="fixed"/>
          <w:tblLook w:val="04A0"/>
        </w:tblPrEx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产品托管人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杭州银行股份有限公司</w:t>
            </w:r>
          </w:p>
        </w:tc>
      </w:tr>
    </w:tbl>
    <w:p w:rsidR="00CE5B30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*杠杆水平=总资产/理财产品净资产，理财产品净资产=总资产-总负债</w:t>
      </w:r>
    </w:p>
    <w:p w:rsidR="00CE5B30">
      <w:pPr>
        <w:adjustRightInd w:val="0"/>
        <w:snapToGrid w:val="0"/>
        <w:spacing w:line="360" w:lineRule="exact"/>
        <w:rPr>
          <w:rFonts w:ascii="仿宋" w:eastAsia="仿宋" w:hAnsi="仿宋" w:cs="仿宋"/>
          <w:color w:val="000000"/>
          <w:sz w:val="24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4" w:name="_Toc1158767045"/>
      <w:r>
        <w:rPr>
          <w:rFonts w:ascii="仿宋" w:eastAsia="仿宋" w:hAnsi="仿宋" w:cs="仿宋" w:hint="eastAsia"/>
          <w:sz w:val="24"/>
        </w:rPr>
        <w:t>§3  主要财务指标和产品净值表现</w:t>
      </w:r>
      <w:bookmarkEnd w:id="4"/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5" w:name="_Toc2016014319"/>
      <w:r>
        <w:rPr>
          <w:rFonts w:ascii="仿宋" w:eastAsia="仿宋" w:hAnsi="仿宋" w:cs="仿宋" w:hint="eastAsia"/>
          <w:b/>
          <w:sz w:val="24"/>
        </w:rPr>
        <w:t>3.1 主要财务指标和产品净值表现</w:t>
      </w:r>
      <w:bookmarkEnd w:id="5"/>
    </w:p>
    <w:p w:rsidR="00CE5B30">
      <w:pPr>
        <w:adjustRightInd w:val="0"/>
        <w:snapToGrid w:val="0"/>
        <w:spacing w:line="440" w:lineRule="exact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单位：元、份、元/份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418"/>
        <w:gridCol w:w="585"/>
        <w:gridCol w:w="407"/>
        <w:gridCol w:w="992"/>
        <w:gridCol w:w="3321"/>
      </w:tblGrid>
      <w:tr>
        <w:tblPrEx>
          <w:tblW w:w="91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主要财务指标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报告期</w:t>
            </w:r>
          </w:p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2023年7月1日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-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2023年9月30日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）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rPr>
                <w:rStyle w:val="a"/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1.期末产品资产净值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783,585,463.82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2.期末产品总份额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767,010,690.00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rPr>
                <w:rStyle w:val="a"/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3.期末产品份额单位净值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1.0216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rPr>
                <w:rStyle w:val="a"/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4.期末产品份额累计净值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1.0216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报告期末下属子产品相关信息披露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/>
                <w:color w:val="000000"/>
              </w:rPr>
              <w:t>子产品名称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子产品代码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份额</w:t>
            </w:r>
          </w:p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净值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份额累计净值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资产净值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丰裕固收22059期A款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FYG22059A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1.0215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1.0215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765,103,756.79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丰裕固收22059期D款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FYG22059D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1.0234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1.0234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125,882.34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丰裕固收22059期E款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FYG22059E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1.0263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1.0263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4"/>
              </w:rPr>
              <w:t>18,355,824.69</w:t>
            </w:r>
          </w:p>
        </w:tc>
      </w:tr>
    </w:tbl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6" w:name="_Toc155677067"/>
      <w:r>
        <w:rPr>
          <w:rFonts w:ascii="仿宋" w:eastAsia="仿宋" w:hAnsi="仿宋" w:cs="仿宋" w:hint="eastAsia"/>
          <w:b/>
          <w:sz w:val="24"/>
        </w:rPr>
        <w:t>3.</w:t>
      </w:r>
      <w:r>
        <w:rPr>
          <w:rFonts w:ascii="仿宋" w:eastAsia="仿宋" w:hAnsi="仿宋" w:cs="仿宋"/>
          <w:b/>
          <w:sz w:val="24"/>
        </w:rPr>
        <w:t>2</w:t>
      </w:r>
      <w:r>
        <w:rPr>
          <w:rFonts w:ascii="仿宋" w:eastAsia="仿宋" w:hAnsi="仿宋" w:cs="仿宋" w:hint="eastAsia"/>
          <w:b/>
          <w:sz w:val="24"/>
        </w:rPr>
        <w:t xml:space="preserve"> 产品收益表现</w:t>
      </w:r>
      <w:bookmarkEnd w:id="6"/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7"/>
        <w:gridCol w:w="3321"/>
      </w:tblGrid>
      <w:tr>
        <w:tblPrEx>
          <w:tblW w:w="91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成立以来年化收益率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Style w:val="a"/>
                <w:rFonts w:ascii="仿宋" w:eastAsia="仿宋" w:hAnsi="仿宋" w:cs="仿宋"/>
                <w:sz w:val="24"/>
              </w:rPr>
            </w:pPr>
            <w:r>
              <w:rPr>
                <w:rStyle w:val="a"/>
                <w:rFonts w:ascii="仿宋" w:eastAsia="仿宋" w:hAnsi="仿宋" w:cs="仿宋" w:hint="eastAsia"/>
                <w:sz w:val="24"/>
              </w:rPr>
              <w:t>丰裕固收22059期A款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2.21</w:t>
            </w:r>
            <w:r>
              <w:rPr>
                <w:rFonts w:ascii="仿宋" w:eastAsia="仿宋" w:hAnsi="仿宋" w:cs="仿宋"/>
                <w:sz w:val="24"/>
              </w:rPr>
              <w:t>%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Style w:val="a"/>
                <w:rFonts w:ascii="仿宋" w:eastAsia="仿宋" w:hAnsi="仿宋" w:cs="仿宋"/>
                <w:sz w:val="24"/>
              </w:rPr>
            </w:pPr>
            <w:r>
              <w:rPr>
                <w:rStyle w:val="a"/>
                <w:rFonts w:ascii="仿宋" w:eastAsia="仿宋" w:hAnsi="仿宋" w:cs="仿宋" w:hint="eastAsia"/>
                <w:sz w:val="24"/>
              </w:rPr>
              <w:t>丰裕固收22059期D款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2.41</w:t>
            </w:r>
            <w:r>
              <w:rPr>
                <w:rFonts w:ascii="仿宋" w:eastAsia="仿宋" w:hAnsi="仿宋" w:cs="仿宋"/>
                <w:sz w:val="24"/>
              </w:rPr>
              <w:t>%</w:t>
            </w:r>
          </w:p>
        </w:tc>
      </w:tr>
      <w:tr>
        <w:tblPrEx>
          <w:tblW w:w="9128" w:type="dxa"/>
          <w:tblLayout w:type="fixed"/>
          <w:tblLook w:val="04A0"/>
        </w:tblPrEx>
        <w:trPr>
          <w:trHeight w:val="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Style w:val="a"/>
                <w:rFonts w:ascii="仿宋" w:eastAsia="仿宋" w:hAnsi="仿宋" w:cs="仿宋"/>
                <w:sz w:val="24"/>
              </w:rPr>
            </w:pPr>
            <w:r>
              <w:rPr>
                <w:rStyle w:val="a"/>
                <w:rFonts w:ascii="仿宋" w:eastAsia="仿宋" w:hAnsi="仿宋" w:cs="仿宋" w:hint="eastAsia"/>
                <w:sz w:val="24"/>
              </w:rPr>
              <w:t>丰裕固收22059期E款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2.71</w:t>
            </w:r>
            <w:r>
              <w:rPr>
                <w:rFonts w:ascii="仿宋" w:eastAsia="仿宋" w:hAnsi="仿宋" w:cs="仿宋"/>
                <w:sz w:val="24"/>
              </w:rPr>
              <w:t>%</w:t>
            </w:r>
          </w:p>
        </w:tc>
      </w:tr>
    </w:tbl>
    <w:p w:rsidR="00CE5B30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</w:p>
    <w:p w:rsidR="00CE5B30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7" w:name="_Toc829383023"/>
      <w:r>
        <w:rPr>
          <w:rFonts w:ascii="仿宋" w:eastAsia="仿宋" w:hAnsi="仿宋" w:cs="仿宋" w:hint="eastAsia"/>
          <w:sz w:val="24"/>
        </w:rPr>
        <w:t>§4  投资组合报告</w:t>
      </w:r>
      <w:bookmarkEnd w:id="7"/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8" w:name="_Toc124114884"/>
      <w:r>
        <w:rPr>
          <w:rFonts w:ascii="仿宋" w:eastAsia="仿宋" w:hAnsi="仿宋" w:cs="仿宋" w:hint="eastAsia"/>
          <w:b/>
          <w:sz w:val="24"/>
        </w:rPr>
        <w:t>4.1 报告期内产品投资策略回顾</w:t>
      </w:r>
      <w:bookmarkEnd w:id="8"/>
    </w:p>
    <w:p w:rsidR="00CE5B30">
      <w:pPr>
        <w:adjustRightInd w:val="0"/>
        <w:snapToGrid w:val="0"/>
        <w:spacing w:line="420" w:lineRule="exact"/>
        <w:ind w:firstLine="420" w:firstLineChars="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2023年3季度以来，债券收益率整体震荡， 1、2季度地产销售疲弱，出口增速下移，消费增速未有起色，通胀数据疲软，市场预期偏弱，货币、财政、房地产等政策相继出台，但经济刺激政策整体温和，投资者信心和社会总需求仍有待提振。在此背景下，3季度货币政策保持相对宽松，房地产方面，对房地产信贷、首付比例上有更积极的政策，需求在短期也有脉冲式的回升，但难以持续，债券收益率收此影响在短时间有小幅反弹，但后续仍然维持下行趋势。伴随着银行相继调降存款利率，存款向理财搬家的现象重现，理财规模重回扩张，一定程度上仍存在资产荒。从收益率来看，当前10年国债收益率2.67%，较3季度初上4bp，当前3年期AA+城投债收益率3.08%，较3季度初上行4bp，当前3年期AAA二级资本债收益率3.02%，较3季度初上行6bp，三季度利率震荡为主，相对信用债、二级资本债波动高于利率债，市场更加偏好高流动性债券，并且对市场行情更加敏感。本产品主要配置固收类资产，债券部分以信用债为主，三季度总体信用债维持震荡，相对低评级债券收益率略有下行，通过杠杆策略和久期策略，产品净值收益表现较好。非标资产信用稳定，收益良好，对产品净值稳定起到预期作用</w:t>
      </w:r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9" w:name="_Toc792234151"/>
      <w:r>
        <w:rPr>
          <w:rFonts w:ascii="仿宋" w:eastAsia="仿宋" w:hAnsi="仿宋" w:cs="仿宋" w:hint="eastAsia"/>
          <w:b/>
          <w:sz w:val="24"/>
        </w:rPr>
        <w:t>4.2产品未来展望</w:t>
      </w:r>
      <w:bookmarkEnd w:id="9"/>
    </w:p>
    <w:p w:rsidR="00CE5B30">
      <w:pPr>
        <w:adjustRightInd w:val="0"/>
        <w:snapToGrid w:val="0"/>
        <w:spacing w:line="420" w:lineRule="exact"/>
        <w:ind w:firstLine="420" w:firstLineChars="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展望2023年4季度，从基本面来看，无论从经济高频数据还是前瞻性数据来看，经济仍处于弱复苏态势，从30城地产销售面积看地产销售处于偏低水平，消费仍处于修复过程中，在没有经济强刺激政策出台前，收益率难以出现大幅上行；从政策面来看，后续市场利率大概率围绕或低于政策利率波动，当前存单、资金价格较高，后续或有下行的空间，短期债券配置价值较高。整体来说，经济复苏还需要时间，货币政策预计保持相对宽松，债市流动性环境相对友好，我们预期4季度债券收益率难以大幅上行。策略上，保持一定杠杆比例，配置短久期或流动性较好的债券。非标投资继续维持稳定，保持跟踪与做好投后工作</w:t>
      </w:r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10" w:name="_Toc680764457"/>
      <w:r>
        <w:rPr>
          <w:rFonts w:ascii="仿宋" w:eastAsia="仿宋" w:hAnsi="仿宋" w:cs="仿宋" w:hint="eastAsia"/>
          <w:b/>
          <w:sz w:val="24"/>
        </w:rPr>
        <w:t>4.3投资组合的流动性风险分析</w:t>
      </w:r>
      <w:bookmarkEnd w:id="10"/>
    </w:p>
    <w:p w:rsidR="00CE5B30">
      <w:pPr>
        <w:adjustRightInd w:val="0"/>
        <w:snapToGrid w:val="0"/>
        <w:spacing w:line="420" w:lineRule="exact"/>
        <w:ind w:firstLine="420" w:firstLineChars="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本产品通过合理安排投资品种和期限结构、限制资产持仓集中度、监控组合资金头寸等方式管理产品的流动性风险，确保资产的变现能力与投资者赎回需求的匹配；报告期内，本产品未发生重大流动性风险事件。</w:t>
      </w:r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11" w:name="_Toc1962841230"/>
      <w:r>
        <w:rPr>
          <w:rFonts w:ascii="仿宋" w:eastAsia="仿宋" w:hAnsi="仿宋" w:cs="仿宋" w:hint="eastAsia"/>
          <w:b/>
          <w:sz w:val="24"/>
        </w:rPr>
        <w:t>4.4 报告期末投资组合分类</w:t>
      </w:r>
      <w:bookmarkEnd w:id="11"/>
    </w:p>
    <w:tbl>
      <w:tblPr>
        <w:tblW w:w="9024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6"/>
        <w:gridCol w:w="4082"/>
        <w:gridCol w:w="2268"/>
        <w:gridCol w:w="2268"/>
      </w:tblGrid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期末穿透前占总资产比例（％）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期末穿透后占总资产比例（％）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现金及银行存款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0.41%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同业存单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拆放同业及债券买入返售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2.20%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债券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30.99%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47.58%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非标准化债权类资产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44.21%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44.21%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权益类投资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5.61%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金融衍生品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代客境外理财投资QDII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商品类资产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另类资产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公募基金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私募基金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资产管理产品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24.71%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委外投资——协议方式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0.00%</w:t>
            </w:r>
          </w:p>
        </w:tc>
      </w:tr>
      <w:tr>
        <w:tblPrEx>
          <w:tblW w:w="9024" w:type="dxa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100.00%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100.00%</w:t>
            </w:r>
          </w:p>
        </w:tc>
      </w:tr>
    </w:tbl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12" w:name="_Toc1258005047"/>
      <w:r>
        <w:rPr>
          <w:rFonts w:ascii="仿宋" w:eastAsia="仿宋" w:hAnsi="仿宋" w:cs="仿宋" w:hint="eastAsia"/>
          <w:b/>
          <w:sz w:val="24"/>
        </w:rPr>
        <w:t>4.</w:t>
      </w:r>
      <w:r w:rsidR="00761119">
        <w:rPr>
          <w:rFonts w:ascii="仿宋" w:eastAsia="仿宋" w:hAnsi="仿宋" w:cs="仿宋"/>
          <w:b/>
          <w:sz w:val="24"/>
        </w:rPr>
        <w:t>5</w:t>
      </w:r>
      <w:r>
        <w:rPr>
          <w:rFonts w:ascii="仿宋" w:eastAsia="仿宋" w:hAnsi="仿宋" w:cs="仿宋" w:hint="eastAsia"/>
          <w:b/>
          <w:sz w:val="24"/>
        </w:rPr>
        <w:t>报告期末投资前十名资产明细</w:t>
      </w:r>
      <w:bookmarkEnd w:id="12"/>
    </w:p>
    <w:p w:rsidR="00CE5B30">
      <w:pPr>
        <w:adjustRightInd w:val="0"/>
        <w:snapToGrid w:val="0"/>
        <w:spacing w:line="440" w:lineRule="exact"/>
        <w:ind w:firstLine="5460" w:firstLineChars="260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单位：人民币元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3772"/>
        <w:gridCol w:w="2340"/>
        <w:gridCol w:w="2356"/>
      </w:tblGrid>
      <w:tr>
        <w:tblPrEx>
          <w:tblW w:w="90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序号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金额（元）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占资产净值比例（％）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22亳州交控01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211,228,000.00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26.96%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22河源润业01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126,192,928.77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16.10%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22扬州龙川06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55,643,189.86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7.10%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22江北建投MTN002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50,570,027.32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6.45%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22金坛投资PPN001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41,402,300.42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5.28%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苏银优1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24,622,465.83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3.14%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22晋江城投PPN004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20,581,582.19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2.63%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22宜春发展PPN001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20,520,904.11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2.62%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22路桥公投MTN001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20,418,608.22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2.61%</w:t>
            </w:r>
          </w:p>
        </w:tc>
      </w:tr>
      <w:tr>
        <w:tblPrEx>
          <w:tblW w:w="90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22红投01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19,986,105.43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2.55%</w:t>
            </w:r>
          </w:p>
        </w:tc>
      </w:tr>
    </w:tbl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13" w:name="_Toc1314320214"/>
      <w:r>
        <w:rPr>
          <w:rFonts w:ascii="仿宋" w:eastAsia="仿宋" w:hAnsi="仿宋" w:cs="仿宋" w:hint="eastAsia"/>
          <w:b/>
          <w:sz w:val="24"/>
        </w:rPr>
        <w:t>4.</w:t>
      </w:r>
      <w:r w:rsidR="00761119">
        <w:rPr>
          <w:rFonts w:ascii="仿宋" w:eastAsia="仿宋" w:hAnsi="仿宋" w:cs="仿宋"/>
          <w:b/>
          <w:sz w:val="24"/>
        </w:rPr>
        <w:t>6</w:t>
      </w:r>
      <w:r>
        <w:rPr>
          <w:rFonts w:ascii="仿宋" w:eastAsia="仿宋" w:hAnsi="仿宋" w:cs="仿宋" w:hint="eastAsia"/>
          <w:b/>
          <w:sz w:val="24"/>
        </w:rPr>
        <w:t>报告期融资情况</w:t>
      </w:r>
      <w:bookmarkEnd w:id="13"/>
    </w:p>
    <w:p w:rsidR="00CE5B30">
      <w:pPr>
        <w:adjustRightInd w:val="0"/>
        <w:snapToGrid w:val="0"/>
        <w:spacing w:line="440" w:lineRule="exact"/>
        <w:ind w:firstLine="5460" w:firstLineChars="260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单位：人民币元</w:t>
      </w:r>
    </w:p>
    <w:tbl>
      <w:tblPr>
        <w:tblW w:w="8999" w:type="dxa"/>
        <w:tblInd w:w="-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32"/>
        <w:gridCol w:w="3167"/>
        <w:gridCol w:w="2433"/>
        <w:gridCol w:w="2767"/>
      </w:tblGrid>
      <w:tr>
        <w:tblPrEx>
          <w:tblW w:w="8999" w:type="dxa"/>
          <w:tblInd w:w="-5" w:type="dxa"/>
          <w:tblLayout w:type="fixed"/>
          <w:tblCellMar>
            <w:left w:w="30" w:type="dxa"/>
            <w:right w:w="30" w:type="dxa"/>
          </w:tblCellMar>
          <w:tblLook w:val="04A0"/>
        </w:tblPrEx>
        <w:trPr>
          <w:trHeight w:val="3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序号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金额（元）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占资产净值比例（％）</w:t>
            </w:r>
          </w:p>
        </w:tc>
      </w:tr>
      <w:tr>
        <w:tblPrEx>
          <w:tblW w:w="8999" w:type="dxa"/>
          <w:tblInd w:w="-5" w:type="dxa"/>
          <w:tblLayout w:type="fixed"/>
          <w:tblCellMar>
            <w:left w:w="30" w:type="dxa"/>
            <w:right w:w="30" w:type="dxa"/>
          </w:tblCellMar>
          <w:tblLook w:val="04A0"/>
        </w:tblPrEx>
        <w:trPr>
          <w:trHeight w:val="2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报告期末质押式回购余额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100,105,205.57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12.78%</w:t>
            </w:r>
          </w:p>
        </w:tc>
      </w:tr>
      <w:tr>
        <w:tblPrEx>
          <w:tblW w:w="8999" w:type="dxa"/>
          <w:tblInd w:w="-5" w:type="dxa"/>
          <w:tblLayout w:type="fixed"/>
          <w:tblCellMar>
            <w:left w:w="30" w:type="dxa"/>
            <w:right w:w="30" w:type="dxa"/>
          </w:tblCellMar>
          <w:tblLook w:val="04A0"/>
        </w:tblPrEx>
        <w:trPr>
          <w:trHeight w:val="2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报告期末同业拆入余额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0.00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0.00%</w:t>
            </w:r>
          </w:p>
        </w:tc>
      </w:tr>
      <w:tr>
        <w:tblPrEx>
          <w:tblW w:w="8999" w:type="dxa"/>
          <w:tblInd w:w="-5" w:type="dxa"/>
          <w:tblLayout w:type="fixed"/>
          <w:tblCellMar>
            <w:left w:w="30" w:type="dxa"/>
            <w:right w:w="30" w:type="dxa"/>
          </w:tblCellMar>
          <w:tblLook w:val="04A0"/>
        </w:tblPrEx>
        <w:trPr>
          <w:trHeight w:val="2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0.00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0.00%</w:t>
            </w:r>
          </w:p>
        </w:tc>
      </w:tr>
    </w:tbl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14" w:name="_Toc481074947"/>
      <w:bookmarkStart w:id="15" w:name="_Toc763043656"/>
      <w:r>
        <w:rPr>
          <w:rFonts w:ascii="仿宋" w:eastAsia="仿宋" w:hAnsi="仿宋" w:cs="仿宋" w:hint="eastAsia"/>
          <w:b/>
          <w:sz w:val="24"/>
        </w:rPr>
        <w:t>4.</w:t>
      </w:r>
      <w:r w:rsidR="00761119">
        <w:rPr>
          <w:rFonts w:ascii="仿宋" w:eastAsia="仿宋" w:hAnsi="仿宋" w:cs="仿宋"/>
          <w:b/>
          <w:sz w:val="24"/>
        </w:rPr>
        <w:t>7</w:t>
      </w:r>
      <w:bookmarkStart w:id="16" w:name="_GoBack"/>
      <w:bookmarkEnd w:id="16"/>
      <w:r>
        <w:rPr>
          <w:rFonts w:ascii="仿宋" w:eastAsia="仿宋" w:hAnsi="仿宋" w:cs="仿宋" w:hint="eastAsia"/>
          <w:b/>
          <w:sz w:val="24"/>
        </w:rPr>
        <w:t>报告期末投资非标准化债权资产</w:t>
      </w:r>
      <w:bookmarkEnd w:id="14"/>
      <w:r>
        <w:rPr>
          <w:rFonts w:ascii="仿宋" w:eastAsia="仿宋" w:hAnsi="仿宋" w:cs="仿宋" w:hint="eastAsia"/>
          <w:b/>
          <w:sz w:val="24"/>
        </w:rPr>
        <w:t>情况</w:t>
      </w:r>
      <w:bookmarkEnd w:id="15"/>
    </w:p>
    <w:p w:rsidR="00CE5B30">
      <w:pPr>
        <w:adjustRightInd w:val="0"/>
        <w:snapToGrid w:val="0"/>
        <w:spacing w:line="380" w:lineRule="exact"/>
        <w:ind w:firstLine="5880" w:firstLineChars="28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单位：人民币元</w:t>
      </w:r>
    </w:p>
    <w:tbl>
      <w:tblPr>
        <w:tblW w:w="899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1330"/>
        <w:gridCol w:w="1569"/>
        <w:gridCol w:w="1041"/>
        <w:gridCol w:w="1833"/>
        <w:gridCol w:w="802"/>
        <w:gridCol w:w="970"/>
        <w:gridCol w:w="815"/>
      </w:tblGrid>
      <w:tr>
        <w:tblPrEx>
          <w:tblW w:w="8994" w:type="dxa"/>
          <w:tblInd w:w="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序号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融资客户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资产到期日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资产价值（元）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交易结构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收益分配方式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风险状况</w:t>
            </w:r>
          </w:p>
        </w:tc>
      </w:tr>
      <w:tr>
        <w:tblPrEx>
          <w:tblW w:w="8994" w:type="dxa"/>
          <w:tblInd w:w="79" w:type="dxa"/>
          <w:tblLayout w:type="fixed"/>
          <w:tblLook w:val="04A0"/>
        </w:tblPrEx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河源市润业投资有限公司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22河源润业01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20241021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126,192,928.77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理财直接融资工具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利随本清，到期一次还本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正常</w:t>
            </w:r>
          </w:p>
        </w:tc>
      </w:tr>
      <w:tr>
        <w:tblPrEx>
          <w:tblW w:w="8994" w:type="dxa"/>
          <w:tblInd w:w="79" w:type="dxa"/>
          <w:tblLayout w:type="fixed"/>
          <w:tblLook w:val="04A0"/>
        </w:tblPrEx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扬州龙川控股集团有限责任公司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22扬州龙川06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20241021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55,643,189.86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理财直接融资工具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利随本清，到期一次还本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正常</w:t>
            </w:r>
          </w:p>
        </w:tc>
      </w:tr>
      <w:tr>
        <w:tblPrEx>
          <w:tblW w:w="8994" w:type="dxa"/>
          <w:tblInd w:w="79" w:type="dxa"/>
          <w:tblLayout w:type="fixed"/>
          <w:tblLook w:val="04A0"/>
        </w:tblPrEx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亳州交通投资控股集团有限公司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22亳州交控01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20241021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211,228,000.00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理财直接融资工具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利随本清，到期一次还本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正常</w:t>
            </w:r>
          </w:p>
        </w:tc>
      </w:tr>
    </w:tbl>
    <w:p w:rsidR="00CE5B30">
      <w:pPr>
        <w:adjustRightInd w:val="0"/>
        <w:snapToGrid w:val="0"/>
        <w:spacing w:line="380" w:lineRule="exact"/>
        <w:rPr>
          <w:rFonts w:ascii="仿宋" w:eastAsia="仿宋" w:hAnsi="仿宋" w:cs="仿宋"/>
          <w:color w:val="0000FF"/>
          <w:kern w:val="0"/>
          <w:sz w:val="24"/>
          <w:highlight w:val="yellow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17" w:name="_Toc1849870155"/>
      <w:r>
        <w:rPr>
          <w:rFonts w:ascii="仿宋" w:eastAsia="仿宋" w:hAnsi="仿宋" w:cs="仿宋" w:hint="eastAsia"/>
          <w:sz w:val="24"/>
        </w:rPr>
        <w:t>§5 产品份额变动</w:t>
      </w:r>
      <w:bookmarkEnd w:id="17"/>
    </w:p>
    <w:p w:rsidR="00CE5B30">
      <w:pPr>
        <w:adjustRightInd w:val="0"/>
        <w:snapToGrid w:val="0"/>
        <w:spacing w:line="440" w:lineRule="exact"/>
        <w:ind w:firstLine="5460" w:firstLineChars="260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单位：份</w:t>
      </w:r>
    </w:p>
    <w:tbl>
      <w:tblPr>
        <w:tblW w:w="898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1"/>
        <w:gridCol w:w="4596"/>
      </w:tblGrid>
      <w:tr>
        <w:tblPrEx>
          <w:tblW w:w="8987" w:type="dxa"/>
          <w:tblInd w:w="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报告期期初产品份额总额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767,010,690.00</w:t>
            </w:r>
          </w:p>
        </w:tc>
      </w:tr>
      <w:tr>
        <w:tblPrEx>
          <w:tblW w:w="8987" w:type="dxa"/>
          <w:tblInd w:w="79" w:type="dxa"/>
          <w:tblLayout w:type="fixed"/>
          <w:tblLook w:val="04A0"/>
        </w:tblPrEx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报告期期末产品份额总额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0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767,010,690.00</w:t>
            </w:r>
          </w:p>
        </w:tc>
      </w:tr>
    </w:tbl>
    <w:p w:rsidR="00CE5B30">
      <w:pPr>
        <w:widowControl/>
        <w:adjustRightInd w:val="0"/>
        <w:snapToGrid w:val="0"/>
        <w:jc w:val="left"/>
        <w:rPr>
          <w:rFonts w:ascii="仿宋" w:eastAsia="仿宋" w:hAnsi="仿宋" w:cs="仿宋"/>
          <w:color w:val="404040"/>
          <w:kern w:val="0"/>
          <w:sz w:val="24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18" w:name="_Toc1646937466"/>
      <w:r>
        <w:rPr>
          <w:rFonts w:ascii="仿宋" w:eastAsia="仿宋" w:hAnsi="仿宋" w:cs="仿宋" w:hint="eastAsia"/>
          <w:sz w:val="24"/>
        </w:rPr>
        <w:t>§6 托管人报告</w:t>
      </w:r>
      <w:bookmarkEnd w:id="18"/>
    </w:p>
    <w:p w:rsidR="00CE5B30">
      <w:pPr>
        <w:adjustRightInd w:val="0"/>
        <w:snapToGrid w:val="0"/>
        <w:spacing w:line="420" w:lineRule="exact"/>
        <w:ind w:firstLine="420" w:firstLineChars="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报告期内，杭州银行股份有限公司（以下简称“本托管人”）在对本产品的托管过程中，严格遵守了《关于规范金融机构资产管理业务的指导意见》《商业银行理财业务监督管理办法》《商业银行理财子公司管理办法》等相关法律法规、托管协议的规定，依法安全保管了本产品的全部资产，对本产品的投资运作进行了认真、独立的会计核算和必要的投资监督，没有从事任何损害产品份额持有人利益的行为，诚实信用、勤勉尽责地履行了托管人应尽的义务。</w:t>
      </w:r>
    </w:p>
    <w:p w:rsidR="00CE5B30">
      <w:pPr>
        <w:adjustRightInd w:val="0"/>
        <w:snapToGrid w:val="0"/>
        <w:spacing w:line="420" w:lineRule="exact"/>
        <w:ind w:firstLine="420" w:firstLineChars="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本托管人复核了本产品报告中的财务指标、净值表现和投资组合报告等内容。</w:t>
      </w:r>
      <w:r>
        <w:rPr>
          <w:rFonts w:ascii="仿宋" w:eastAsia="仿宋" w:hAnsi="仿宋" w:cs="仿宋" w:hint="eastAsia"/>
          <w:sz w:val="24"/>
        </w:rPr>
        <w:t>经复核，本产品报告中披露的理财产品财务数据核对一致。</w:t>
      </w:r>
    </w:p>
    <w:p w:rsidR="00CE5B30">
      <w:pPr>
        <w:adjustRightInd w:val="0"/>
        <w:snapToGrid w:val="0"/>
        <w:rPr>
          <w:rFonts w:ascii="仿宋" w:eastAsia="仿宋" w:hAnsi="仿宋" w:cs="仿宋"/>
          <w:bCs/>
          <w:sz w:val="24"/>
        </w:rPr>
      </w:pPr>
    </w:p>
    <w:p w:rsidR="00CE5B30">
      <w:pPr>
        <w:pStyle w:val="Heading2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bookmarkStart w:id="19" w:name="_Toc1161264879"/>
      <w:r>
        <w:rPr>
          <w:rFonts w:ascii="仿宋" w:eastAsia="仿宋" w:hAnsi="仿宋" w:cs="仿宋" w:hint="eastAsia"/>
          <w:sz w:val="24"/>
        </w:rPr>
        <w:t>§7 报告期内关联交易情况</w:t>
      </w:r>
      <w:bookmarkEnd w:id="19"/>
    </w:p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20" w:name="_Toc1047437417"/>
      <w:r>
        <w:rPr>
          <w:rFonts w:ascii="仿宋" w:eastAsia="仿宋" w:hAnsi="仿宋" w:cs="仿宋" w:hint="eastAsia"/>
          <w:b/>
          <w:sz w:val="24"/>
        </w:rPr>
        <w:t>7.1 产品投资于关联方发行或承销的证券、资产管理产品，或其他关联交易</w:t>
      </w:r>
      <w:bookmarkEnd w:id="20"/>
    </w:p>
    <w:p w:rsidR="00CE5B30">
      <w:pPr>
        <w:adjustRightInd w:val="0"/>
        <w:snapToGrid w:val="0"/>
        <w:spacing w:line="440" w:lineRule="exact"/>
        <w:ind w:firstLine="5460" w:firstLineChars="2600"/>
        <w:jc w:val="righ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>单位：元、份</w:t>
      </w:r>
    </w:p>
    <w:tbl>
      <w:tblPr>
        <w:tblStyle w:val="TableGrid"/>
        <w:tblW w:w="8994" w:type="dxa"/>
        <w:tblInd w:w="67" w:type="dxa"/>
        <w:tblLayout w:type="fixed"/>
        <w:tblLook w:val="04A0"/>
      </w:tblPr>
      <w:tblGrid>
        <w:gridCol w:w="634"/>
        <w:gridCol w:w="1605"/>
        <w:gridCol w:w="1401"/>
        <w:gridCol w:w="791"/>
        <w:gridCol w:w="754"/>
        <w:gridCol w:w="1904"/>
        <w:gridCol w:w="1905"/>
      </w:tblGrid>
      <w:tr>
        <w:tblPrEx>
          <w:tblW w:w="8994" w:type="dxa"/>
          <w:tblInd w:w="67" w:type="dxa"/>
          <w:tblLayout w:type="fixed"/>
          <w:tblLook w:val="04A0"/>
        </w:tblPrEx>
        <w:trPr>
          <w:trHeight w:val="90"/>
        </w:trPr>
        <w:tc>
          <w:tcPr>
            <w:tcW w:w="634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序号</w:t>
            </w:r>
          </w:p>
        </w:tc>
        <w:tc>
          <w:tcPr>
            <w:tcW w:w="1605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关联方</w:t>
            </w:r>
          </w:p>
        </w:tc>
        <w:tc>
          <w:tcPr>
            <w:tcW w:w="1401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资产名称</w:t>
            </w:r>
          </w:p>
        </w:tc>
        <w:tc>
          <w:tcPr>
            <w:tcW w:w="791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资产类型</w:t>
            </w:r>
          </w:p>
        </w:tc>
        <w:tc>
          <w:tcPr>
            <w:tcW w:w="754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交易类型</w:t>
            </w:r>
          </w:p>
        </w:tc>
        <w:tc>
          <w:tcPr>
            <w:tcW w:w="1904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交易金额（元）</w:t>
            </w:r>
          </w:p>
        </w:tc>
        <w:tc>
          <w:tcPr>
            <w:tcW w:w="1905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份额</w:t>
            </w:r>
          </w:p>
        </w:tc>
      </w:tr>
    </w:tbl>
    <w:p w:rsidR="00CE5B30">
      <w:pPr>
        <w:adjustRightInd w:val="0"/>
        <w:snapToGrid w:val="0"/>
        <w:spacing w:line="440" w:lineRule="exact"/>
        <w:outlineLvl w:val="2"/>
        <w:rPr>
          <w:rFonts w:ascii="仿宋" w:eastAsia="仿宋" w:hAnsi="仿宋" w:cs="仿宋"/>
          <w:b/>
          <w:sz w:val="24"/>
        </w:rPr>
      </w:pPr>
      <w:bookmarkStart w:id="21" w:name="_Toc1357213060"/>
      <w:r>
        <w:rPr>
          <w:rFonts w:ascii="仿宋" w:eastAsia="仿宋" w:hAnsi="仿宋" w:cs="仿宋" w:hint="eastAsia"/>
          <w:b/>
          <w:sz w:val="24"/>
        </w:rPr>
        <w:t>7.2 产品向关联方支付的费用</w:t>
      </w:r>
      <w:bookmarkEnd w:id="21"/>
    </w:p>
    <w:tbl>
      <w:tblPr>
        <w:tblStyle w:val="TableGrid"/>
        <w:tblW w:w="8994" w:type="dxa"/>
        <w:tblInd w:w="67" w:type="dxa"/>
        <w:tblLayout w:type="fixed"/>
        <w:tblLook w:val="04A0"/>
      </w:tblPr>
      <w:tblGrid>
        <w:gridCol w:w="694"/>
        <w:gridCol w:w="2958"/>
        <w:gridCol w:w="2202"/>
        <w:gridCol w:w="3140"/>
      </w:tblGrid>
      <w:tr>
        <w:tblPrEx>
          <w:tblW w:w="8994" w:type="dxa"/>
          <w:tblInd w:w="67" w:type="dxa"/>
          <w:tblLayout w:type="fixed"/>
          <w:tblLook w:val="04A0"/>
        </w:tblPrEx>
        <w:tc>
          <w:tcPr>
            <w:tcW w:w="694" w:type="dxa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58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关联方</w:t>
            </w:r>
          </w:p>
        </w:tc>
        <w:tc>
          <w:tcPr>
            <w:tcW w:w="2202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费用类型</w:t>
            </w:r>
          </w:p>
        </w:tc>
        <w:tc>
          <w:tcPr>
            <w:tcW w:w="3140" w:type="dxa"/>
            <w:vAlign w:val="center"/>
          </w:tcPr>
          <w:p w:rsidR="00CE5B3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交易金额（元）</w:t>
            </w:r>
          </w:p>
        </w:tc>
      </w:tr>
    </w:tbl>
    <w:p w:rsidR="00CE5B30">
      <w:pPr>
        <w:widowControl/>
        <w:adjustRightInd w:val="0"/>
        <w:snapToGrid w:val="0"/>
        <w:ind w:firstLine="420" w:firstLineChars="200"/>
        <w:jc w:val="left"/>
        <w:rPr>
          <w:rFonts w:ascii="仿宋" w:eastAsia="仿宋" w:hAnsi="仿宋" w:cs="仿宋"/>
          <w:color w:val="404040"/>
          <w:kern w:val="0"/>
          <w:sz w:val="24"/>
        </w:rPr>
      </w:pPr>
    </w:p>
    <w:p w:rsidR="00CE5B30">
      <w:pPr>
        <w:pStyle w:val="Heading2"/>
        <w:adjustRightInd w:val="0"/>
        <w:snapToGrid w:val="0"/>
        <w:spacing w:line="560" w:lineRule="atLeast"/>
        <w:jc w:val="center"/>
        <w:rPr>
          <w:rFonts w:ascii="仿宋" w:eastAsia="仿宋" w:hAnsi="仿宋" w:cs="仿宋"/>
          <w:bCs/>
          <w:sz w:val="24"/>
        </w:rPr>
      </w:pPr>
      <w:bookmarkStart w:id="22" w:name="_Toc108600986"/>
      <w:r>
        <w:rPr>
          <w:rFonts w:ascii="仿宋" w:eastAsia="仿宋" w:hAnsi="仿宋" w:cs="仿宋" w:hint="eastAsia"/>
          <w:bCs/>
          <w:sz w:val="24"/>
        </w:rPr>
        <w:t>§</w:t>
      </w:r>
      <w:r>
        <w:rPr>
          <w:rFonts w:ascii="仿宋" w:eastAsia="仿宋" w:hAnsi="仿宋" w:cs="仿宋"/>
          <w:bCs/>
          <w:sz w:val="24"/>
        </w:rPr>
        <w:t>8</w:t>
      </w:r>
      <w:r>
        <w:rPr>
          <w:rFonts w:ascii="仿宋" w:eastAsia="仿宋" w:hAnsi="仿宋" w:cs="仿宋" w:hint="eastAsia"/>
          <w:bCs/>
          <w:sz w:val="24"/>
        </w:rPr>
        <w:t xml:space="preserve"> 投资账户信息</w:t>
      </w:r>
      <w:bookmarkEnd w:id="22"/>
    </w:p>
    <w:p w:rsidR="00CE5B30"/>
    <w:tbl>
      <w:tblPr>
        <w:tblStyle w:val="TableGrid"/>
        <w:tblW w:w="8983" w:type="dxa"/>
        <w:tblInd w:w="65" w:type="dxa"/>
        <w:tblLayout w:type="fixed"/>
        <w:tblLook w:val="04A0"/>
      </w:tblPr>
      <w:tblGrid>
        <w:gridCol w:w="2487"/>
        <w:gridCol w:w="6496"/>
      </w:tblGrid>
      <w:tr>
        <w:tblPrEx>
          <w:tblW w:w="8983" w:type="dxa"/>
          <w:tblInd w:w="65" w:type="dxa"/>
          <w:tblLayout w:type="fixed"/>
          <w:tblLook w:val="04A0"/>
        </w:tblPrEx>
        <w:trPr>
          <w:trHeight w:val="216"/>
        </w:trPr>
        <w:tc>
          <w:tcPr>
            <w:tcW w:w="2487" w:type="dxa"/>
          </w:tcPr>
          <w:p w:rsidR="00CE5B3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户名</w:t>
            </w:r>
          </w:p>
        </w:tc>
        <w:tc>
          <w:tcPr>
            <w:tcW w:w="6496" w:type="dxa"/>
          </w:tcPr>
          <w:p w:rsidR="00CE5B3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杭银理财有限责任公司幸福99杭银理财丰裕固收第22059期</w:t>
            </w:r>
          </w:p>
        </w:tc>
      </w:tr>
      <w:tr>
        <w:tblPrEx>
          <w:tblW w:w="8983" w:type="dxa"/>
          <w:tblInd w:w="65" w:type="dxa"/>
          <w:tblLayout w:type="fixed"/>
          <w:tblLook w:val="04A0"/>
        </w:tblPrEx>
        <w:trPr>
          <w:trHeight w:val="179"/>
        </w:trPr>
        <w:tc>
          <w:tcPr>
            <w:tcW w:w="2487" w:type="dxa"/>
          </w:tcPr>
          <w:p w:rsidR="00CE5B3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账号</w:t>
            </w:r>
          </w:p>
        </w:tc>
        <w:tc>
          <w:tcPr>
            <w:tcW w:w="6496" w:type="dxa"/>
          </w:tcPr>
          <w:p w:rsidR="00CE5B3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3301040160015309811-5122059</w:t>
            </w:r>
          </w:p>
        </w:tc>
      </w:tr>
      <w:tr>
        <w:tblPrEx>
          <w:tblW w:w="8983" w:type="dxa"/>
          <w:tblInd w:w="65" w:type="dxa"/>
          <w:tblLayout w:type="fixed"/>
          <w:tblLook w:val="04A0"/>
        </w:tblPrEx>
        <w:trPr>
          <w:trHeight w:val="163"/>
        </w:trPr>
        <w:tc>
          <w:tcPr>
            <w:tcW w:w="2487" w:type="dxa"/>
          </w:tcPr>
          <w:p w:rsidR="00CE5B3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开户行</w:t>
            </w:r>
          </w:p>
        </w:tc>
        <w:tc>
          <w:tcPr>
            <w:tcW w:w="6496" w:type="dxa"/>
          </w:tcPr>
          <w:p w:rsidR="00CE5B3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杭州银行股份有限公司</w:t>
            </w:r>
          </w:p>
        </w:tc>
      </w:tr>
    </w:tbl>
    <w:p w:rsidR="00CE5B30">
      <w:pPr>
        <w:widowControl/>
        <w:adjustRightInd w:val="0"/>
        <w:snapToGrid w:val="0"/>
        <w:ind w:firstLine="420" w:firstLineChars="200"/>
        <w:jc w:val="left"/>
        <w:rPr>
          <w:rFonts w:ascii="仿宋" w:eastAsia="仿宋" w:hAnsi="仿宋" w:cs="仿宋"/>
          <w:color w:val="404040"/>
          <w:kern w:val="0"/>
          <w:sz w:val="24"/>
        </w:rPr>
      </w:pPr>
    </w:p>
    <w:p w:rsidR="00CE5B30">
      <w:pPr>
        <w:ind w:left="360"/>
        <w:jc w:val="right"/>
        <w:rPr>
          <w:rFonts w:ascii="仿宋" w:eastAsia="仿宋" w:hAnsi="仿宋" w:cs="仿宋"/>
          <w:sz w:val="24"/>
        </w:rPr>
      </w:pPr>
    </w:p>
    <w:p w:rsidR="00CE5B30">
      <w:pPr>
        <w:ind w:left="36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杭银理财有限责任公司</w:t>
      </w:r>
    </w:p>
    <w:p w:rsidR="00CE5B30">
      <w:pPr>
        <w:jc w:val="right"/>
        <w:rPr>
          <w:sz w:val="24"/>
        </w:rPr>
      </w:pPr>
      <w:r>
        <w:rPr>
          <w:rFonts w:ascii="仿宋" w:eastAsia="仿宋" w:hAnsi="仿宋" w:cs="仿宋" w:hint="eastAsia"/>
          <w:sz w:val="24"/>
        </w:rPr>
        <w:t>2023年10月18日</w:t>
      </w:r>
    </w:p>
    <w:p w:rsidR="00CE5B30"/>
    <w:p w:rsidR="00CE5B30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B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link w:val="2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link w:val="3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qFormat/>
    <w:pPr>
      <w:spacing w:after="120"/>
    </w:pPr>
    <w:rPr>
      <w:rFonts w:ascii="Times New Roman" w:eastAsia="方正仿宋简体" w:hAnsi="Times New Roman" w:cs="Times New Roman"/>
      <w:sz w:val="32"/>
      <w:szCs w:val="20"/>
    </w:rPr>
  </w:style>
  <w:style w:type="paragraph" w:styleId="TOC3">
    <w:name w:val="toc 3"/>
    <w:basedOn w:val="Normal"/>
    <w:next w:val="Normal"/>
    <w:uiPriority w:val="39"/>
    <w:semiHidden/>
    <w:unhideWhenUsed/>
    <w:pPr>
      <w:ind w:left="840" w:leftChars="400"/>
    </w:pPr>
  </w:style>
  <w:style w:type="paragraph" w:styleId="BalloonText">
    <w:name w:val="Balloon Text"/>
    <w:basedOn w:val="Normal"/>
    <w:link w:val="a2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Normal"/>
    <w:next w:val="Normal"/>
    <w:uiPriority w:val="39"/>
    <w:semiHidden/>
    <w:unhideWhenUsed/>
    <w:pPr>
      <w:ind w:left="420" w:leftChars="200"/>
    </w:p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0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标题 2 字符"/>
    <w:basedOn w:val="DefaultParagraphFont"/>
    <w:link w:val="Heading2"/>
    <w:rPr>
      <w:rFonts w:ascii="Arial" w:eastAsia="宋体" w:hAnsi="Arial"/>
      <w:b/>
    </w:rPr>
  </w:style>
  <w:style w:type="character" w:customStyle="1" w:styleId="3">
    <w:name w:val="标题 3 字符"/>
    <w:basedOn w:val="DefaultParagraphFont"/>
    <w:link w:val="Heading3"/>
    <w:rPr>
      <w:rFonts w:ascii="Times New Roman" w:eastAsia="宋体" w:hAnsi="Times New Roman"/>
      <w:b/>
    </w:rPr>
  </w:style>
  <w:style w:type="character" w:customStyle="1" w:styleId="a">
    <w:name w:val="正文文本 字符"/>
    <w:basedOn w:val="DefaultParagraphFont"/>
    <w:link w:val="BodyText"/>
    <w:qFormat/>
    <w:rPr>
      <w:rFonts w:ascii="Times New Roman" w:eastAsia="方正仿宋简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rPr>
      <w:sz w:val="18"/>
    </w:rPr>
  </w:style>
  <w:style w:type="character" w:customStyle="1" w:styleId="a1">
    <w:name w:val="页脚 字符"/>
    <w:basedOn w:val="DefaultParagraphFont"/>
    <w:link w:val="Footer"/>
    <w:uiPriority w:val="99"/>
    <w:rPr>
      <w:kern w:val="2"/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wong surge</cp:lastModifiedBy>
  <cp:revision>20</cp:revision>
  <dcterms:created xsi:type="dcterms:W3CDTF">2023-04-14T06:44:00Z</dcterms:created>
  <dcterms:modified xsi:type="dcterms:W3CDTF">2023-07-05T08:37:00Z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48CAE58F88821DFB686F3364065ABE78_42</vt:lpwstr>
  </property>
  <property fmtid="{D5CDD505-2E9C-101B-9397-08002B2CF9AE}" pid="3" name="KSOProductBuildVer">
    <vt:lpwstr>2052-11.8.2.8053</vt:lpwstr>
  </property>
</Properties>
</file>