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丰裕固收23001期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丰裕固收23001期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FYG23001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Z7002223000002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2024年1月18日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4.10%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1,312,968,346.50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135.11%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1,312,968,346.50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1,274,071,159.00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1.0305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1.0305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38,392,608.61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1,210,390,592.76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39,631,745.57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丰裕固收23001期E款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FYG23001E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24,553,399.56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4.42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4.21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丰裕固收23001期E款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三季度总体信用债维持震荡，相对低评级债券收益率略有下行，通过杠杆策略和久期策略，产品净值收益表现较好。非标资产信用稳定，收益良好，对产品净值稳定起到预期作用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或低于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保持一定杠杆比例，配置短久期或流动性较好的债券。非标投资继续维持稳定，保持跟踪与做好投后工作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70.21%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70.21%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29.69%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29.69%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23宁海宁东01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206,744,830.14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15.75%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23柯桥中心城01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201,576,238.36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15.35%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20长兴债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124,991,885.64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9.52%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21胶州01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102,362,952.08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20淮南建发PPN001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90,942,988.25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20象山城南PPN001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83,821,931.68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22环太湖PPN001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82,637,274.44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20新业02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78,859,070.58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6.01%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21湖北文旅PPN002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72,541,982.11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5.53%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19兴创投资PPN001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71,868,013.40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450,464,794.66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34.31%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安吉县产业投资发展集团有限公司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23安吉产投01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20,777,874.25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靖江港口集团有限公司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23靖江港03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50,989,867.18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盐城市交通投资建设控股集团有限公司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23盐城投控03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20240109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46,683,228.70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宁海宁东新城开发投资有限公司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23宁海宁东01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206,744,830.14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绍兴市柯桥区中心城建设投资开发有限公司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23柯桥中心城01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20240117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201,576,238.36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每半年付息，到期一次还本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1,274,071,159.00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1,274,071,159.00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杭银理财幸福99丰裕固收23001期理财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3301040160015309811-5123001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