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丰裕固收23003期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丰裕固收23003期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FYG23003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Z7002223000007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2025年9月29日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423,338,588.23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139.13%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423,338,588.23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409,040,000.00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丰裕固收23003期A款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FYG23003A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420,208,672.76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丰裕固收23003期D款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1.0364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3,129,915.47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丰裕固收23003期A款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丰裕固收23003期D款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部分债券期限匹配采用摊余成本法估值，可平滑产品净值。三季度总体信用债维持震荡，相对低评级债券收益率略有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继续“维持期限匹配+骑乘”的基本思路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99.31%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99.31%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22北方企业MTN002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39,215,412.42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22章丘01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39,126,085.53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22盐城资产PPN003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39,012,598.88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22宜兴城投PPN001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39,008,614.55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22武进经发MTN004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38,956,943.05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22太仓港MTN003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38,943,088.66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22威海高新MTN001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38,940,693.79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22泰山控股PPN002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38,933,071.87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22浏阳城建PPN001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38,908,273.01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22清远德晟MTN001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38,861,540.00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9.18%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163,137,282.26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38.54%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合肥东部新城投资控股集团有限公司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中信信托·合肥东部新城信托贷款-2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20240919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1,000,448.46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信托贷款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每季度付息，到期一次还本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409,040,000.00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409,040,000.00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杭银理财幸福99丰裕固收23003期理财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3301040160015309811-5123003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