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丰裕固收22074期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2025年1月13日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466,635,623.81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142.16%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466,635,623.81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450,368,000.00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460,306,083.79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1.0376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6,329,540.02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丰裕固收22074期A款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69.06%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69.06%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30.94%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30.94%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79,007,922.79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23高要建投01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66,950,756.22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59,264,435.10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20南通经开MTN001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41,214,075.78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22栖霞旅游PPN001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40,826,500.26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22锡西新城MTN001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40,785,748.46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40,687,667.57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22高淳国资MTN001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40,675,833.38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22宁波舜农MTN001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40,572,072.16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22汤山建设MTN001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40,560,363.36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8.69%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193,143,317.86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41.39%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肇庆市高要建投投资开发集团有限公司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23高要建投01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66,950,756.22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79,007,922.79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59,264,435.10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450,368,000.00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450,368,000.00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杭银理财幸福99丰裕固收22074期理财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3301040160015309811-5122074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