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丰裕固收23006期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丰裕固收23006期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FYG23006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Z7002223000004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2023年10月24日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3.70%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384,914,660.95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100.79%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384,914,660.95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374,648,761.00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丰裕固收23006期C款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FYG23006C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373,426,563.60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丰裕固收23006期D款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FYG23006D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11,488,097.35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丰裕固收23006期C款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丰裕固收23006期D款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32.60%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32.60%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67.22%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67.22%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质押式逆回购(423857)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85,066,845.52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20淮开06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35,839,591.19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9.31%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20诸交01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35,557,606.10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20淳安02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35,542,096.33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20胶州湾PPN002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35,446,443.40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20宁经01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31,676,737.67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21菏投02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31,562,896.42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质押式逆回购(422258)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30,016,912.02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21威海中城PPN001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21,182,328.77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20象山城南PPN001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10,489,684.93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374,648,761.00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374,648,761.00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杭银理财幸福99丰裕固收23006期理财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3301040160015309811-5123006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