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20"/>
        </w:rPr>
      </w:pPr>
    </w:p>
    <w:p>
      <w:pPr>
        <w:adjustRightInd w:val="0"/>
        <w:snapToGrid w:val="0"/>
        <w:spacing w:line="460" w:lineRule="exact"/>
        <w:jc w:val="center"/>
        <w:rPr>
          <w:rFonts w:ascii="Times New Roman" w:hAnsi="Times New Roman" w:eastAsia="方正楷体简体"/>
          <w:sz w:val="24"/>
        </w:rPr>
      </w:pPr>
    </w:p>
    <w:p>
      <w:pPr>
        <w:pStyle w:val="2"/>
        <w:keepNext w:val="0"/>
        <w:keepLines w:val="0"/>
        <w:autoSpaceDE w:val="0"/>
        <w:autoSpaceDN w:val="0"/>
        <w:spacing w:before="220" w:line="240" w:lineRule="auto"/>
        <w:jc w:val="center"/>
        <w:rPr>
          <w:rFonts w:ascii="仿宋_GB2312" w:hAnsi="仿宋_GB2312" w:eastAsia="仿宋_GB2312" w:cs="仿宋_GB2312"/>
          <w:bCs/>
          <w:kern w:val="0"/>
          <w:sz w:val="52"/>
          <w:szCs w:val="52"/>
          <w:lang w:bidi="zh-CN"/>
        </w:rPr>
      </w:pPr>
      <w:r>
        <w:rPr>
          <w:rFonts w:hint="eastAsia" w:ascii="仿宋_GB2312" w:hAnsi="仿宋_GB2312" w:eastAsia="仿宋_GB2312" w:cs="仿宋_GB2312"/>
          <w:bCs/>
          <w:kern w:val="0"/>
          <w:sz w:val="52"/>
          <w:szCs w:val="52"/>
          <w:lang w:bidi="zh-CN"/>
        </w:rPr>
        <w:t>季添益1911期</w:t>
      </w:r>
    </w:p>
    <w:p>
      <w:pPr>
        <w:autoSpaceDE w:val="0"/>
        <w:autoSpaceDN w:val="0"/>
        <w:spacing w:line="360" w:lineRule="auto"/>
        <w:jc w:val="center"/>
        <w:rPr>
          <w:rFonts w:ascii="仿宋_GB2312" w:hAnsi="仿宋_GB2312" w:eastAsia="仿宋_GB2312" w:cs="仿宋_GB2312"/>
          <w:b/>
          <w:bCs/>
          <w:kern w:val="0"/>
          <w:sz w:val="44"/>
          <w:szCs w:val="44"/>
          <w:lang w:bidi="zh-CN"/>
        </w:rPr>
      </w:pPr>
      <w:r>
        <w:rPr>
          <w:rFonts w:hint="eastAsia" w:ascii="仿宋_GB2312" w:hAnsi="仿宋_GB2312" w:eastAsia="仿宋_GB2312" w:cs="仿宋_GB2312"/>
          <w:b/>
          <w:bCs/>
          <w:kern w:val="0"/>
          <w:sz w:val="44"/>
          <w:szCs w:val="44"/>
          <w:lang w:bidi="zh-CN"/>
        </w:rPr>
        <w:t>2023</w:t>
      </w:r>
      <w:r>
        <w:rPr>
          <w:rFonts w:ascii="仿宋_GB2312" w:hAnsi="仿宋_GB2312" w:eastAsia="仿宋_GB2312" w:cs="仿宋_GB2312"/>
          <w:b/>
          <w:sz w:val="44"/>
        </w:rPr>
        <w:t>年第1季度报告</w:t>
      </w:r>
    </w:p>
    <w:p>
      <w:pPr>
        <w:jc w:val="center"/>
        <w:rPr>
          <w:rFonts w:ascii="宋体" w:hAnsi="宋体" w:eastAsia="宋体" w:cs="Times New Roman"/>
          <w:color w:val="0000FF"/>
          <w:kern w:val="0"/>
          <w:sz w:val="18"/>
          <w:szCs w:val="20"/>
        </w:rPr>
      </w:pPr>
    </w:p>
    <w:p>
      <w:pPr>
        <w:jc w:val="center"/>
        <w:rPr>
          <w:rFonts w:eastAsia="宋体"/>
          <w:sz w:val="24"/>
        </w:rPr>
      </w:pPr>
    </w:p>
    <w:p>
      <w:pPr>
        <w:jc w:val="center"/>
        <w:rPr>
          <w:rFonts w:eastAsia="宋体"/>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产品管理人：</w:t>
      </w:r>
      <w:r>
        <w:rPr>
          <w:rFonts w:ascii="仿宋" w:hAnsi="仿宋" w:eastAsia="仿宋" w:cs="仿宋"/>
          <w:sz w:val="24"/>
        </w:rPr>
        <w:t>杭银理财有限责任公司</w:t>
      </w:r>
    </w:p>
    <w:p>
      <w:pPr>
        <w:jc w:val="center"/>
        <w:rPr>
          <w:rFonts w:ascii="仿宋" w:hAnsi="仿宋" w:eastAsia="仿宋" w:cs="仿宋"/>
          <w:sz w:val="24"/>
        </w:rPr>
      </w:pPr>
      <w:r>
        <w:rPr>
          <w:rFonts w:hint="eastAsia" w:ascii="仿宋" w:hAnsi="仿宋" w:eastAsia="仿宋" w:cs="仿宋"/>
          <w:sz w:val="24"/>
        </w:rPr>
        <w:t>产品托管人：</w:t>
      </w:r>
      <w:r>
        <w:rPr>
          <w:rFonts w:ascii="仿宋" w:hAnsi="仿宋" w:eastAsia="仿宋" w:cs="仿宋"/>
          <w:sz w:val="24"/>
        </w:rPr>
        <w:t>杭州银行股份有限公司</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2023年4月19日</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§1  重要提示</w:t>
      </w:r>
    </w:p>
    <w:tbl>
      <w:tblPr>
        <w:tblStyle w:val="10"/>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1" w:hRule="atLeast"/>
        </w:trPr>
        <w:tc>
          <w:tcPr>
            <w:tcW w:w="912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产品管理人承诺以诚实信用、勤勉尽责的原则管理和运用产品资产，并如实反映产品财务指标及投资组合情况，但不保证产品一定盈利。</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产品托管人根据本</w:t>
            </w:r>
            <w:r>
              <w:rPr>
                <w:rFonts w:hint="eastAsia" w:ascii="仿宋" w:hAnsi="仿宋" w:eastAsia="仿宋" w:cs="仿宋"/>
                <w:color w:val="000000"/>
                <w:sz w:val="24"/>
              </w:rPr>
              <w:t>产品</w:t>
            </w:r>
            <w:r>
              <w:rPr>
                <w:rFonts w:hint="eastAsia" w:ascii="仿宋" w:hAnsi="仿宋" w:eastAsia="仿宋" w:cs="仿宋"/>
                <w:color w:val="404040"/>
                <w:kern w:val="0"/>
                <w:sz w:val="24"/>
              </w:rPr>
              <w:t>合同规定，于</w:t>
            </w:r>
            <w:r>
              <w:rPr>
                <w:rFonts w:ascii="仿宋" w:hAnsi="仿宋" w:eastAsia="仿宋" w:cs="仿宋"/>
                <w:color w:val="404040"/>
                <w:sz w:val="24"/>
              </w:rPr>
              <w:t>2023年3月31日</w:t>
            </w:r>
            <w:r>
              <w:rPr>
                <w:rFonts w:hint="eastAsia" w:ascii="仿宋" w:hAnsi="仿宋" w:eastAsia="仿宋" w:cs="仿宋"/>
                <w:color w:val="404040"/>
                <w:kern w:val="0"/>
                <w:sz w:val="24"/>
              </w:rPr>
              <w:t>复核了本报告中的财务指标、净值表现和投资组合报告等内容，保证复核内容不存在虚假记载、误导性陈述或者重大遗漏。</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产品的过往业绩并不代表其未来表现。投资有风险，投资者在作出投资决策前应仔细阅读本</w:t>
            </w:r>
            <w:r>
              <w:rPr>
                <w:rFonts w:hint="eastAsia" w:ascii="仿宋" w:hAnsi="仿宋" w:eastAsia="仿宋" w:cs="仿宋"/>
                <w:color w:val="000000"/>
                <w:sz w:val="24"/>
              </w:rPr>
              <w:t>产品</w:t>
            </w:r>
            <w:r>
              <w:rPr>
                <w:rFonts w:hint="eastAsia" w:ascii="仿宋" w:hAnsi="仿宋" w:eastAsia="仿宋" w:cs="仿宋"/>
                <w:color w:val="404040"/>
                <w:kern w:val="0"/>
                <w:sz w:val="24"/>
              </w:rPr>
              <w:t>的产品说明书。</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本报告中财务资料未经审计。</w:t>
            </w:r>
          </w:p>
          <w:p>
            <w:pPr>
              <w:widowControl/>
              <w:adjustRightInd w:val="0"/>
              <w:snapToGrid w:val="0"/>
              <w:spacing w:line="420" w:lineRule="exact"/>
              <w:ind w:firstLine="480" w:firstLineChars="200"/>
              <w:jc w:val="left"/>
              <w:rPr>
                <w:rFonts w:ascii="仿宋" w:hAnsi="仿宋" w:eastAsia="仿宋" w:cs="仿宋"/>
                <w:sz w:val="24"/>
              </w:rPr>
            </w:pPr>
            <w:r>
              <w:rPr>
                <w:rFonts w:hint="eastAsia" w:ascii="仿宋" w:hAnsi="仿宋" w:eastAsia="仿宋" w:cs="仿宋"/>
                <w:color w:val="404040"/>
                <w:kern w:val="0"/>
                <w:sz w:val="24"/>
              </w:rPr>
              <w:t>本报告期自</w:t>
            </w:r>
            <w:r>
              <w:rPr>
                <w:rFonts w:ascii="仿宋" w:hAnsi="仿宋" w:eastAsia="仿宋" w:cs="仿宋"/>
                <w:color w:val="404040"/>
                <w:sz w:val="24"/>
              </w:rPr>
              <w:t>2023年1月1日</w:t>
            </w:r>
            <w:r>
              <w:rPr>
                <w:rFonts w:hint="eastAsia" w:ascii="仿宋" w:hAnsi="仿宋" w:eastAsia="仿宋" w:cs="仿宋"/>
                <w:color w:val="404040"/>
                <w:kern w:val="0"/>
                <w:sz w:val="24"/>
              </w:rPr>
              <w:t>起至</w:t>
            </w:r>
            <w:r>
              <w:rPr>
                <w:rFonts w:ascii="仿宋" w:hAnsi="仿宋" w:eastAsia="仿宋" w:cs="仿宋"/>
                <w:color w:val="404040"/>
                <w:sz w:val="24"/>
              </w:rPr>
              <w:t>2023年3月31日</w:t>
            </w:r>
            <w:r>
              <w:rPr>
                <w:rFonts w:hint="eastAsia" w:ascii="仿宋" w:hAnsi="仿宋" w:eastAsia="仿宋" w:cs="仿宋"/>
                <w:color w:val="404040"/>
                <w:kern w:val="0"/>
                <w:sz w:val="24"/>
              </w:rPr>
              <w:t>止。</w:t>
            </w:r>
          </w:p>
        </w:tc>
      </w:tr>
    </w:tbl>
    <w:p>
      <w:pPr>
        <w:rPr>
          <w:rStyle w:val="14"/>
          <w:rFonts w:ascii="仿宋" w:hAnsi="仿宋" w:eastAsia="仿宋" w:cs="仿宋"/>
          <w:color w:val="0000FF"/>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§2  产品概况</w:t>
      </w:r>
    </w:p>
    <w:p>
      <w:pPr>
        <w:adjustRightInd w:val="0"/>
        <w:snapToGrid w:val="0"/>
        <w:spacing w:line="440" w:lineRule="exact"/>
        <w:outlineLvl w:val="2"/>
        <w:rPr>
          <w:rFonts w:ascii="仿宋" w:hAnsi="仿宋" w:eastAsia="仿宋" w:cs="仿宋"/>
          <w:b/>
          <w:sz w:val="24"/>
        </w:rPr>
      </w:pPr>
      <w:bookmarkStart w:id="0" w:name="_Toc354129567"/>
      <w:r>
        <w:rPr>
          <w:rFonts w:hint="eastAsia" w:ascii="仿宋" w:hAnsi="仿宋" w:eastAsia="仿宋" w:cs="仿宋"/>
          <w:b/>
          <w:sz w:val="24"/>
        </w:rPr>
        <w:t>2.1 产品基本情况</w:t>
      </w:r>
      <w:bookmarkEnd w:id="0"/>
    </w:p>
    <w:tbl>
      <w:tblPr>
        <w:tblStyle w:val="1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产品名称</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季添益1911期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产品代码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TYG3M1911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理财信息登记系统登记编码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Z7002221000282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产品成立日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2019年8月7日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产品到期日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产品募集方式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产品运作模式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产品投资性质</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业绩比较基准（%）</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3.00%-3.80%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报告期末产品规模（元）</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1,295,539,773.79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杠杆水平（%）</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100.23%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风险等级</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产品管理人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产品托管人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杭州银行股份有限公司</w:t>
            </w:r>
          </w:p>
        </w:tc>
      </w:tr>
    </w:tbl>
    <w:p>
      <w:pPr>
        <w:adjustRightInd w:val="0"/>
        <w:snapToGrid w:val="0"/>
        <w:spacing w:line="360" w:lineRule="exact"/>
        <w:rPr>
          <w:rFonts w:ascii="仿宋" w:hAnsi="仿宋" w:eastAsia="仿宋" w:cs="仿宋"/>
          <w:sz w:val="24"/>
        </w:rPr>
      </w:pPr>
      <w:r>
        <w:rPr>
          <w:rFonts w:hint="eastAsia" w:ascii="仿宋" w:hAnsi="仿宋" w:eastAsia="仿宋" w:cs="仿宋"/>
          <w:sz w:val="24"/>
        </w:rPr>
        <w:t>*杠杆水平=总资产/理财产品净资产，理财产品净资产=总资产-总负债</w:t>
      </w:r>
    </w:p>
    <w:p>
      <w:pPr>
        <w:adjustRightInd w:val="0"/>
        <w:snapToGrid w:val="0"/>
        <w:spacing w:line="360" w:lineRule="exact"/>
        <w:rPr>
          <w:rFonts w:ascii="仿宋" w:hAnsi="仿宋" w:eastAsia="仿宋" w:cs="仿宋"/>
          <w:color w:val="00000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§3  主要财务指标和产品净值表现</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3.1 主要财务指标和产品净值表现</w:t>
      </w:r>
    </w:p>
    <w:p>
      <w:pPr>
        <w:adjustRightInd w:val="0"/>
        <w:snapToGrid w:val="0"/>
        <w:spacing w:line="440" w:lineRule="exact"/>
        <w:jc w:val="right"/>
        <w:rPr>
          <w:rFonts w:ascii="仿宋" w:hAnsi="仿宋" w:eastAsia="仿宋" w:cs="仿宋"/>
          <w:sz w:val="24"/>
        </w:rPr>
      </w:pPr>
      <w:r>
        <w:rPr>
          <w:rFonts w:hint="eastAsia" w:ascii="仿宋" w:hAnsi="仿宋" w:eastAsia="仿宋" w:cs="仿宋"/>
          <w:sz w:val="24"/>
        </w:rPr>
        <w:t>单位：元、份、元/份</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18"/>
        <w:gridCol w:w="585"/>
        <w:gridCol w:w="407"/>
        <w:gridCol w:w="992"/>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sz w:val="24"/>
              </w:rPr>
              <w:t>主要财务指标</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报告期</w:t>
            </w:r>
          </w:p>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sz w:val="24"/>
              </w:rPr>
              <w:t>2023年1月1日</w:t>
            </w:r>
            <w:r>
              <w:rPr>
                <w:rFonts w:hint="eastAsia" w:ascii="仿宋" w:hAnsi="仿宋" w:eastAsia="仿宋" w:cs="仿宋"/>
                <w:color w:val="000000"/>
                <w:kern w:val="0"/>
                <w:sz w:val="24"/>
              </w:rPr>
              <w:t>-</w:t>
            </w:r>
            <w:r>
              <w:rPr>
                <w:rFonts w:ascii="仿宋" w:hAnsi="仿宋" w:eastAsia="仿宋" w:cs="仿宋"/>
                <w:color w:val="000000"/>
                <w:sz w:val="24"/>
              </w:rPr>
              <w:t>2023年3月31日</w:t>
            </w:r>
            <w:r>
              <w:rPr>
                <w:rFonts w:hint="eastAsia" w:ascii="仿宋" w:hAnsi="仿宋" w:eastAsia="仿宋" w:cs="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1.期末产品资产净值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1,295,539,773.79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仿宋"/>
                <w:sz w:val="24"/>
              </w:rPr>
            </w:pPr>
            <w:r>
              <w:rPr>
                <w:rFonts w:hint="eastAsia" w:ascii="仿宋" w:hAnsi="仿宋" w:eastAsia="仿宋" w:cs="仿宋"/>
                <w:sz w:val="24"/>
              </w:rPr>
              <w:t>2.期末产品总份额</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1,139,790,010.12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3.期末产品份额单位净值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4"/>
                <w:rFonts w:ascii="仿宋" w:hAnsi="仿宋" w:eastAsia="仿宋" w:cs="仿宋"/>
                <w:sz w:val="24"/>
              </w:rPr>
            </w:pPr>
            <w:r>
              <w:rPr>
                <w:rFonts w:hint="eastAsia" w:ascii="仿宋" w:hAnsi="仿宋" w:eastAsia="仿宋" w:cs="仿宋"/>
                <w:sz w:val="24"/>
              </w:rPr>
              <w:t>4.期末产品份额累计净值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1.1366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12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FF"/>
                <w:sz w:val="24"/>
              </w:rPr>
            </w:pPr>
            <w:r>
              <w:rPr>
                <w:rFonts w:hint="eastAsia" w:ascii="仿宋" w:hAnsi="仿宋" w:eastAsia="仿宋" w:cs="仿宋"/>
                <w:kern w:val="0"/>
                <w:sz w:val="24"/>
              </w:rPr>
              <w:t>报告期末下属子产品相关信息披露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子产品名称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子产品代码</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w:t>
            </w:r>
          </w:p>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净值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份额累计净值</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季添益1911期</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TYG3M1911</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1.1364</w:t>
            </w:r>
          </w:p>
        </w:tc>
        <w:tc>
          <w:tcPr>
            <w:tcW w:w="99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1.1364</w:t>
            </w:r>
          </w:p>
        </w:tc>
        <w:tc>
          <w:tcPr>
            <w:tcW w:w="332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992,307,733.90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季添益1911期B款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TYG3M1911B</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1.1374</w:t>
            </w:r>
          </w:p>
        </w:tc>
        <w:tc>
          <w:tcPr>
            <w:tcW w:w="99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1.1374</w:t>
            </w:r>
          </w:p>
        </w:tc>
        <w:tc>
          <w:tcPr>
            <w:tcW w:w="332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267,920,578.31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季添益1911期C款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TYG3M1911C</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1.1375</w:t>
            </w:r>
          </w:p>
        </w:tc>
        <w:tc>
          <w:tcPr>
            <w:tcW w:w="99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1.1375</w:t>
            </w:r>
          </w:p>
        </w:tc>
        <w:tc>
          <w:tcPr>
            <w:tcW w:w="332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35,311,461.58</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3.</w:t>
      </w:r>
      <w:r>
        <w:rPr>
          <w:rFonts w:ascii="仿宋" w:hAnsi="仿宋" w:eastAsia="仿宋" w:cs="仿宋"/>
          <w:b/>
          <w:sz w:val="24"/>
        </w:rPr>
        <w:t>2</w:t>
      </w:r>
      <w:r>
        <w:rPr>
          <w:rFonts w:hint="eastAsia" w:ascii="仿宋" w:hAnsi="仿宋" w:eastAsia="仿宋" w:cs="仿宋"/>
          <w:b/>
          <w:sz w:val="24"/>
        </w:rPr>
        <w:t xml:space="preserve"> 产品收益表现</w:t>
      </w:r>
    </w:p>
    <w:tbl>
      <w:tblPr>
        <w:tblStyle w:val="10"/>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产品名称</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成立以来年化收益率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季添益1911期</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3.73</w:t>
            </w:r>
            <w:r>
              <w:rPr>
                <w:rFonts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季添益1911期B款</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3.76</w:t>
            </w:r>
            <w:r>
              <w:rPr>
                <w:rFonts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4"/>
                <w:rFonts w:ascii="仿宋" w:hAnsi="仿宋" w:eastAsia="仿宋" w:cs="仿宋"/>
                <w:sz w:val="24"/>
              </w:rPr>
            </w:pPr>
            <w:r>
              <w:rPr>
                <w:rStyle w:val="14"/>
                <w:rFonts w:hint="eastAsia" w:ascii="仿宋" w:hAnsi="仿宋" w:eastAsia="仿宋" w:cs="仿宋"/>
                <w:sz w:val="24"/>
              </w:rPr>
              <w:t>季添益1911期C款</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3.76</w:t>
            </w:r>
            <w:r>
              <w:rPr>
                <w:rFonts w:ascii="仿宋" w:hAnsi="仿宋" w:eastAsia="仿宋" w:cs="仿宋"/>
                <w:sz w:val="24"/>
              </w:rPr>
              <w:t>%</w:t>
            </w:r>
          </w:p>
        </w:tc>
      </w:tr>
    </w:tbl>
    <w:p>
      <w:pPr>
        <w:adjustRightInd w:val="0"/>
        <w:snapToGrid w:val="0"/>
        <w:rPr>
          <w:rFonts w:ascii="仿宋" w:hAnsi="仿宋" w:eastAsia="仿宋" w:cs="仿宋"/>
          <w:color w:val="404040"/>
          <w:kern w:val="0"/>
          <w:sz w:val="24"/>
        </w:rPr>
      </w:pPr>
    </w:p>
    <w:p>
      <w:pPr>
        <w:adjustRightInd w:val="0"/>
        <w:snapToGrid w:val="0"/>
        <w:rPr>
          <w:rFonts w:hint="eastAsia"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§4  投资组合报告</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4.1 报告期内产品投资策略回顾</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4.2产品未来展望</w:t>
      </w:r>
    </w:p>
    <w:p>
      <w:pPr>
        <w:adjustRightInd w:val="0"/>
        <w:snapToGrid w:val="0"/>
        <w:spacing w:line="420" w:lineRule="exact"/>
        <w:ind w:firstLine="480" w:firstLineChars="200"/>
        <w:rPr>
          <w:rFonts w:hint="eastAsia" w:ascii="仿宋" w:hAnsi="仿宋" w:eastAsia="仿宋" w:cs="仿宋"/>
          <w:sz w:val="24"/>
        </w:rPr>
      </w:pPr>
      <w:r>
        <w:rPr>
          <w:rFonts w:hint="eastAsia" w:ascii="仿宋" w:hAnsi="仿宋" w:eastAsia="仿宋" w:cs="仿宋"/>
          <w:sz w:val="24"/>
        </w:rPr>
        <w:t>展望2023年2季度，基本面来看，社融数据出现季节性回升，贷款数据远超预期，高频数据看，地产下游销售数据也出现季节性回暖，但持续性依然有待观察。海外经济存在不确定性，欧美数据虽然在高位，但已出现逐步回落趋势；资金面来看，流动性合理充裕的基调仍将持续，在一季度降准后，短期内降准预期会减弱，但预期市场利率依然会围绕政策利率波动，波动幅度会在税期、季末等时点有所扩大。</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本产品以主要投资于债券等固定收益类资产。信用债投资方面，在严格把控信用风险的前提下，挖掘个券的超额收益机会；利率债和同业存单投资方面，继续保持灵活适度操作，择机参与波段机会。</w:t>
      </w:r>
      <w:bookmarkStart w:id="2" w:name="_GoBack"/>
      <w:bookmarkEnd w:id="2"/>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4.3投资组合的流动性风险分析</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4.4 报告期末穿透前投资组合分类</w:t>
      </w:r>
    </w:p>
    <w:tbl>
      <w:tblPr>
        <w:tblStyle w:val="10"/>
        <w:tblW w:w="9019" w:type="dxa"/>
        <w:tblInd w:w="-5" w:type="dxa"/>
        <w:tblLayout w:type="fixed"/>
        <w:tblCellMar>
          <w:top w:w="0" w:type="dxa"/>
          <w:left w:w="0" w:type="dxa"/>
          <w:bottom w:w="0" w:type="dxa"/>
          <w:right w:w="0" w:type="dxa"/>
        </w:tblCellMar>
      </w:tblPr>
      <w:tblGrid>
        <w:gridCol w:w="572"/>
        <w:gridCol w:w="5614"/>
        <w:gridCol w:w="2833"/>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14"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833"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现金及银行存款</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0.61%</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同业存单</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拆放同业及债券买入返售</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0.77%</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债券</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74.22%</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非标准化债权类资产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权益类投资</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1.84%</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金融衍生品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代客境外理财投资QDII</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商品类资产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另类资产</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11</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公募基金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12</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私募基金</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13</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资产管理产品</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22.56%</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14</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委外投资——协议方式</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15</w:t>
            </w:r>
          </w:p>
        </w:tc>
        <w:tc>
          <w:tcPr>
            <w:tcW w:w="56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283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4.5 报告期末穿透后投资组合分类</w:t>
      </w:r>
    </w:p>
    <w:tbl>
      <w:tblPr>
        <w:tblStyle w:val="10"/>
        <w:tblW w:w="9019" w:type="dxa"/>
        <w:tblInd w:w="-5" w:type="dxa"/>
        <w:tblLayout w:type="fixed"/>
        <w:tblCellMar>
          <w:top w:w="0" w:type="dxa"/>
          <w:left w:w="0" w:type="dxa"/>
          <w:bottom w:w="0" w:type="dxa"/>
          <w:right w:w="0" w:type="dxa"/>
        </w:tblCellMar>
      </w:tblPr>
      <w:tblGrid>
        <w:gridCol w:w="572"/>
        <w:gridCol w:w="5647"/>
        <w:gridCol w:w="2800"/>
      </w:tblGrid>
      <w:tr>
        <w:tblPrEx>
          <w:tblLayout w:type="fixed"/>
          <w:tblCellMar>
            <w:top w:w="0" w:type="dxa"/>
            <w:left w:w="0" w:type="dxa"/>
            <w:bottom w:w="0" w:type="dxa"/>
            <w:right w:w="0" w:type="dxa"/>
          </w:tblCellMar>
        </w:tblPrEx>
        <w:trPr>
          <w:trHeight w:val="415" w:hRule="atLeast"/>
        </w:trPr>
        <w:tc>
          <w:tcPr>
            <w:tcW w:w="5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564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highlight w:val="yellow"/>
              </w:rPr>
            </w:pPr>
            <w:r>
              <w:rPr>
                <w:rFonts w:hint="eastAsia" w:ascii="仿宋" w:hAnsi="仿宋" w:eastAsia="仿宋" w:cs="仿宋"/>
                <w:sz w:val="24"/>
              </w:rPr>
              <w:t>项目</w:t>
            </w:r>
          </w:p>
        </w:tc>
        <w:tc>
          <w:tcPr>
            <w:tcW w:w="28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期末占总资产比例（％）</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现金及银行存款</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0.89%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同业存单</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拆放同业及债券买入返售</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1.26%</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债券</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92.99%</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非标准化债权类资产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6</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权益类投资</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4.86%</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7</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金融衍生品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8</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代客境外理财投资QDII</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9</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商品类资产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另类资产</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11</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公募基金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12</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私募基金</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13</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资产管理产品</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14</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委外投资——协议方式</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0.00%</w:t>
            </w:r>
          </w:p>
        </w:tc>
      </w:tr>
      <w:tr>
        <w:tblPrEx>
          <w:tblLayout w:type="fixed"/>
          <w:tblCellMar>
            <w:top w:w="0" w:type="dxa"/>
            <w:left w:w="0" w:type="dxa"/>
            <w:bottom w:w="0" w:type="dxa"/>
            <w:right w:w="0" w:type="dxa"/>
          </w:tblCellMar>
        </w:tblPrEx>
        <w:trPr>
          <w:trHeight w:val="20" w:hRule="atLeast"/>
        </w:trPr>
        <w:tc>
          <w:tcPr>
            <w:tcW w:w="572"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15</w:t>
            </w:r>
          </w:p>
        </w:tc>
        <w:tc>
          <w:tcPr>
            <w:tcW w:w="5647"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合计</w:t>
            </w:r>
          </w:p>
        </w:tc>
        <w:tc>
          <w:tcPr>
            <w:tcW w:w="2800" w:type="dxa"/>
            <w:tcBorders>
              <w:top w:val="single" w:color="auto" w:sz="4" w:space="0"/>
              <w:left w:val="nil"/>
              <w:bottom w:val="single" w:color="auto" w:sz="4" w:space="0"/>
              <w:right w:val="single" w:color="auto" w:sz="4" w:space="0"/>
            </w:tcBorders>
            <w:vAlign w:val="center"/>
          </w:tcPr>
          <w:p>
            <w:pPr>
              <w:pStyle w:val="3"/>
              <w:adjustRightInd w:val="0"/>
              <w:snapToGrid w:val="0"/>
              <w:spacing w:line="240" w:lineRule="auto"/>
              <w:jc w:val="center"/>
              <w:rPr>
                <w:rFonts w:ascii="仿宋" w:hAnsi="仿宋" w:eastAsia="仿宋" w:cs="仿宋"/>
                <w:b w:val="0"/>
                <w:sz w:val="24"/>
              </w:rPr>
            </w:pPr>
            <w:r>
              <w:rPr>
                <w:rFonts w:hint="eastAsia" w:ascii="仿宋" w:hAnsi="仿宋" w:eastAsia="仿宋" w:cs="仿宋"/>
                <w:b w:val="0"/>
                <w:sz w:val="24"/>
              </w:rPr>
              <w:t>100.00%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4.6报告期末投资前十名资产明细</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3772"/>
        <w:gridCol w:w="234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资产名称</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华润信托钱盈1号集合资金信托计划</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252,839,857.90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20富阳开发PPN001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51,456,986.30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21嘉南01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41,069,939.73</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21淮安城资MTN003</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40,932,306.85</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粤财信托·粤投保盈2号集合资金信托计划</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40,081,971.22</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19蓉经开PPN001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37,716,836.99</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21渝建03</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30,521,506.85</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21章丘集PPN001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30,473,260.27</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21汤山01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29,977,315.07</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22武建01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23,991,712.33</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1.85%</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4.7 报告期融资情况</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0"/>
        <w:tblW w:w="8999" w:type="dxa"/>
        <w:tblInd w:w="-5" w:type="dxa"/>
        <w:tblLayout w:type="fixed"/>
        <w:tblCellMar>
          <w:top w:w="0" w:type="dxa"/>
          <w:left w:w="30" w:type="dxa"/>
          <w:bottom w:w="0" w:type="dxa"/>
          <w:right w:w="30" w:type="dxa"/>
        </w:tblCellMar>
      </w:tblPr>
      <w:tblGrid>
        <w:gridCol w:w="632"/>
        <w:gridCol w:w="3167"/>
        <w:gridCol w:w="2433"/>
        <w:gridCol w:w="2767"/>
      </w:tblGrid>
      <w:tr>
        <w:tblPrEx>
          <w:tblLayout w:type="fixed"/>
          <w:tblCellMar>
            <w:top w:w="0" w:type="dxa"/>
            <w:left w:w="30" w:type="dxa"/>
            <w:bottom w:w="0" w:type="dxa"/>
            <w:right w:w="30" w:type="dxa"/>
          </w:tblCellMar>
        </w:tblPrEx>
        <w:trPr>
          <w:trHeight w:val="37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31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43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7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报告期末质押式回购余额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报告期末同业拆入余额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其他</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bl>
    <w:p>
      <w:pPr>
        <w:adjustRightInd w:val="0"/>
        <w:snapToGrid w:val="0"/>
        <w:spacing w:line="440" w:lineRule="exact"/>
        <w:outlineLvl w:val="2"/>
        <w:rPr>
          <w:rFonts w:ascii="仿宋" w:hAnsi="仿宋" w:eastAsia="仿宋" w:cs="仿宋"/>
          <w:b/>
          <w:sz w:val="24"/>
        </w:rPr>
      </w:pPr>
      <w:bookmarkStart w:id="1" w:name="_Toc481074947"/>
      <w:r>
        <w:rPr>
          <w:rFonts w:hint="eastAsia" w:ascii="仿宋" w:hAnsi="仿宋" w:eastAsia="仿宋" w:cs="仿宋"/>
          <w:b/>
          <w:sz w:val="24"/>
        </w:rPr>
        <w:t>4.8报告期末投资非标准化债权资产</w:t>
      </w:r>
      <w:bookmarkEnd w:id="1"/>
      <w:r>
        <w:rPr>
          <w:rFonts w:hint="eastAsia" w:ascii="仿宋" w:hAnsi="仿宋" w:eastAsia="仿宋" w:cs="仿宋"/>
          <w:b/>
          <w:sz w:val="24"/>
        </w:rPr>
        <w:t>情况</w:t>
      </w:r>
    </w:p>
    <w:p>
      <w:pPr>
        <w:adjustRightInd w:val="0"/>
        <w:snapToGrid w:val="0"/>
        <w:spacing w:line="380" w:lineRule="exact"/>
        <w:ind w:firstLine="6720" w:firstLineChars="2800"/>
        <w:rPr>
          <w:rFonts w:ascii="仿宋" w:hAnsi="仿宋" w:eastAsia="仿宋" w:cs="仿宋"/>
          <w:sz w:val="24"/>
        </w:rPr>
      </w:pPr>
      <w:r>
        <w:rPr>
          <w:rFonts w:hint="eastAsia" w:ascii="仿宋" w:hAnsi="仿宋" w:eastAsia="仿宋" w:cs="仿宋"/>
          <w:sz w:val="24"/>
        </w:rPr>
        <w:t>单位：人民币元</w:t>
      </w:r>
    </w:p>
    <w:tbl>
      <w:tblPr>
        <w:tblStyle w:val="10"/>
        <w:tblW w:w="899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30"/>
        <w:gridCol w:w="1569"/>
        <w:gridCol w:w="1041"/>
        <w:gridCol w:w="1833"/>
        <w:gridCol w:w="802"/>
        <w:gridCol w:w="97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 xml:space="preserve">序号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融资客户</w:t>
            </w:r>
          </w:p>
        </w:tc>
        <w:tc>
          <w:tcPr>
            <w:tcW w:w="15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项目名称</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资产到期日</w:t>
            </w:r>
          </w:p>
        </w:tc>
        <w:tc>
          <w:tcPr>
            <w:tcW w:w="18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资产价值（元）</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交易结构</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FF0000"/>
                <w:sz w:val="24"/>
              </w:rPr>
            </w:pPr>
            <w:r>
              <w:rPr>
                <w:rFonts w:hint="eastAsia" w:ascii="仿宋" w:hAnsi="仿宋" w:eastAsia="仿宋" w:cs="仿宋"/>
                <w:sz w:val="24"/>
              </w:rPr>
              <w:t>收益分配方式</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风险状况</w:t>
            </w:r>
          </w:p>
        </w:tc>
      </w:tr>
    </w:tbl>
    <w:p>
      <w:pPr>
        <w:adjustRightInd w:val="0"/>
        <w:snapToGrid w:val="0"/>
        <w:spacing w:line="380" w:lineRule="exact"/>
        <w:rPr>
          <w:rFonts w:ascii="仿宋" w:hAnsi="仿宋" w:eastAsia="仿宋" w:cs="仿宋"/>
          <w:color w:val="0000FF"/>
          <w:kern w:val="0"/>
          <w:sz w:val="24"/>
          <w:highlight w:val="yellow"/>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§5  产品份额变动</w:t>
      </w:r>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单位：份</w:t>
      </w:r>
    </w:p>
    <w:tbl>
      <w:tblPr>
        <w:tblStyle w:val="10"/>
        <w:tblW w:w="898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报告期期初产品份额总额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1,967,612,255.88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报告期期末产品份额总额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1,139,790,010.12</w:t>
            </w:r>
          </w:p>
        </w:tc>
      </w:tr>
    </w:tbl>
    <w:p>
      <w:pPr>
        <w:widowControl/>
        <w:adjustRightInd w:val="0"/>
        <w:snapToGrid w:val="0"/>
        <w:jc w:val="left"/>
        <w:rPr>
          <w:rFonts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§6 托管人报告</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本托管人复核了本产品报告中的财务指标、净值表现和投资组合报告等内容。经复核，本产品报告中披露的理财产品财务数据核对一致。</w:t>
      </w:r>
    </w:p>
    <w:p>
      <w:pPr>
        <w:adjustRightInd w:val="0"/>
        <w:snapToGrid w:val="0"/>
        <w:rPr>
          <w:rFonts w:ascii="仿宋" w:hAnsi="仿宋" w:eastAsia="仿宋" w:cs="仿宋"/>
          <w:bCs/>
          <w:sz w:val="24"/>
        </w:rPr>
      </w:pPr>
    </w:p>
    <w:p>
      <w:pPr>
        <w:pStyle w:val="2"/>
        <w:adjustRightInd w:val="0"/>
        <w:snapToGrid w:val="0"/>
        <w:spacing w:line="560" w:lineRule="exact"/>
        <w:jc w:val="center"/>
        <w:rPr>
          <w:rFonts w:ascii="仿宋" w:hAnsi="仿宋" w:eastAsia="仿宋" w:cs="仿宋"/>
          <w:sz w:val="24"/>
        </w:rPr>
      </w:pPr>
      <w:r>
        <w:rPr>
          <w:rFonts w:hint="eastAsia" w:ascii="仿宋" w:hAnsi="仿宋" w:eastAsia="仿宋" w:cs="仿宋"/>
          <w:sz w:val="24"/>
        </w:rPr>
        <w:t>§7 报告期内关联交易情况</w:t>
      </w:r>
    </w:p>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7.1 产品投资于关联方发行或承销的证券、资产管理产品，或其他关联交易</w:t>
      </w:r>
    </w:p>
    <w:p>
      <w:pPr>
        <w:adjustRightInd w:val="0"/>
        <w:snapToGrid w:val="0"/>
        <w:spacing w:line="440" w:lineRule="exact"/>
        <w:ind w:firstLine="6240" w:firstLineChars="2600"/>
        <w:jc w:val="right"/>
        <w:rPr>
          <w:rFonts w:ascii="仿宋" w:hAnsi="仿宋" w:eastAsia="仿宋" w:cs="仿宋"/>
          <w:b/>
          <w:sz w:val="24"/>
        </w:rPr>
      </w:pPr>
      <w:r>
        <w:rPr>
          <w:rFonts w:hint="eastAsia" w:ascii="仿宋" w:hAnsi="仿宋" w:eastAsia="仿宋" w:cs="仿宋"/>
          <w:sz w:val="24"/>
        </w:rPr>
        <w:t>单位：元、份</w:t>
      </w:r>
    </w:p>
    <w:tbl>
      <w:tblPr>
        <w:tblStyle w:val="11"/>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1605"/>
        <w:gridCol w:w="1401"/>
        <w:gridCol w:w="791"/>
        <w:gridCol w:w="754"/>
        <w:gridCol w:w="1904"/>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资产名称</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资产类型</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交易类型</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21余杭创新PPN001</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20,839,181.10</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22桐庐国运PPN001</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9,991,690.00</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3</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22伟驰PPN001</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10,446,169.73</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4</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21坪山城投PPN001</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债券</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卖出</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10,402,666.99</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100,000.00</w:t>
            </w:r>
          </w:p>
        </w:tc>
      </w:tr>
    </w:tbl>
    <w:p>
      <w:pPr>
        <w:adjustRightInd w:val="0"/>
        <w:snapToGrid w:val="0"/>
        <w:spacing w:line="440" w:lineRule="exact"/>
        <w:outlineLvl w:val="2"/>
        <w:rPr>
          <w:rFonts w:ascii="仿宋" w:hAnsi="仿宋" w:eastAsia="仿宋" w:cs="仿宋"/>
          <w:b/>
          <w:sz w:val="24"/>
        </w:rPr>
      </w:pPr>
      <w:r>
        <w:rPr>
          <w:rFonts w:hint="eastAsia" w:ascii="仿宋" w:hAnsi="仿宋" w:eastAsia="仿宋" w:cs="仿宋"/>
          <w:b/>
          <w:sz w:val="24"/>
        </w:rPr>
        <w:t>7.2 产品向关联方支付的费用</w:t>
      </w:r>
    </w:p>
    <w:tbl>
      <w:tblPr>
        <w:tblStyle w:val="11"/>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2958"/>
        <w:gridCol w:w="2202"/>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费用类型</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trPr>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托管费</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149,044.69</w:t>
            </w:r>
          </w:p>
        </w:tc>
      </w:tr>
    </w:tbl>
    <w:p>
      <w:pPr>
        <w:widowControl/>
        <w:adjustRightInd w:val="0"/>
        <w:snapToGrid w:val="0"/>
        <w:ind w:firstLine="480" w:firstLineChars="200"/>
        <w:jc w:val="left"/>
        <w:rPr>
          <w:rFonts w:ascii="仿宋" w:hAnsi="仿宋" w:eastAsia="仿宋" w:cs="仿宋"/>
          <w:color w:val="404040"/>
          <w:kern w:val="0"/>
          <w:sz w:val="24"/>
        </w:rPr>
      </w:pPr>
    </w:p>
    <w:p>
      <w:pPr>
        <w:widowControl/>
        <w:adjustRightInd w:val="0"/>
        <w:snapToGrid w:val="0"/>
        <w:ind w:firstLine="480" w:firstLineChars="200"/>
        <w:jc w:val="left"/>
        <w:rPr>
          <w:rFonts w:ascii="仿宋" w:hAnsi="仿宋" w:eastAsia="仿宋" w:cs="仿宋"/>
          <w:color w:val="404040"/>
          <w:kern w:val="0"/>
          <w:sz w:val="24"/>
        </w:rPr>
      </w:pPr>
    </w:p>
    <w:p>
      <w:pPr>
        <w:ind w:left="360"/>
        <w:jc w:val="right"/>
        <w:rPr>
          <w:rFonts w:ascii="仿宋" w:hAnsi="仿宋" w:eastAsia="仿宋" w:cs="仿宋"/>
          <w:sz w:val="24"/>
        </w:rPr>
      </w:pPr>
    </w:p>
    <w:p>
      <w:pPr>
        <w:ind w:left="360"/>
        <w:jc w:val="right"/>
        <w:rPr>
          <w:rFonts w:ascii="仿宋" w:hAnsi="仿宋" w:eastAsia="仿宋" w:cs="仿宋"/>
          <w:sz w:val="24"/>
        </w:rPr>
      </w:pPr>
      <w:r>
        <w:rPr>
          <w:rFonts w:hint="eastAsia" w:ascii="仿宋" w:hAnsi="仿宋" w:eastAsia="仿宋" w:cs="仿宋"/>
          <w:sz w:val="24"/>
        </w:rPr>
        <w:t>杭银理财有限责任公司</w:t>
      </w:r>
    </w:p>
    <w:p>
      <w:pPr>
        <w:jc w:val="right"/>
        <w:rPr>
          <w:sz w:val="24"/>
        </w:rPr>
      </w:pPr>
      <w:r>
        <w:rPr>
          <w:rFonts w:hint="eastAsia" w:ascii="仿宋" w:hAnsi="仿宋" w:eastAsia="仿宋" w:cs="仿宋"/>
          <w:sz w:val="24"/>
        </w:rPr>
        <w:t>2023年4月19日</w:t>
      </w:r>
    </w:p>
    <w:p/>
    <w:p/>
    <w:sectPr>
      <w:headerReference r:id="rId3" w:type="default"/>
      <w:pgSz w:w="11906" w:h="16838"/>
      <w:pgMar w:top="2551" w:right="1803" w:bottom="2551"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roman"/>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F0C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0"/>
    <w:pPr>
      <w:keepNext/>
      <w:keepLines/>
      <w:spacing w:line="400" w:lineRule="exact"/>
      <w:jc w:val="left"/>
      <w:outlineLvl w:val="1"/>
    </w:pPr>
    <w:rPr>
      <w:rFonts w:ascii="Arial" w:hAnsi="Arial" w:eastAsia="宋体"/>
      <w:b/>
    </w:rPr>
  </w:style>
  <w:style w:type="paragraph" w:styleId="3">
    <w:name w:val="heading 3"/>
    <w:basedOn w:val="1"/>
    <w:next w:val="1"/>
    <w:link w:val="13"/>
    <w:unhideWhenUsed/>
    <w:qFormat/>
    <w:uiPriority w:val="0"/>
    <w:pPr>
      <w:keepNext/>
      <w:keepLines/>
      <w:spacing w:line="400" w:lineRule="exact"/>
      <w:jc w:val="left"/>
      <w:outlineLvl w:val="2"/>
    </w:pPr>
    <w:rPr>
      <w:rFonts w:ascii="Times New Roman" w:hAnsi="Times New Roman" w:eastAsia="宋体"/>
      <w:b/>
    </w:rPr>
  </w:style>
  <w:style w:type="character" w:default="1" w:styleId="9">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4"/>
    <w:unhideWhenUsed/>
    <w:qFormat/>
    <w:uiPriority w:val="0"/>
    <w:pPr>
      <w:spacing w:after="120"/>
    </w:pPr>
    <w:rPr>
      <w:rFonts w:ascii="Times New Roman" w:hAnsi="Times New Roman" w:eastAsia="方正仿宋简体" w:cs="Times New Roman"/>
      <w:sz w:val="32"/>
      <w:szCs w:val="20"/>
    </w:rPr>
  </w:style>
  <w:style w:type="paragraph" w:styleId="5">
    <w:name w:val="Balloon Text"/>
    <w:basedOn w:val="1"/>
    <w:link w:val="17"/>
    <w:semiHidden/>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pPr>
    <w:rPr>
      <w:rFonts w:ascii="宋体" w:hAnsi="宋体" w:eastAsia="宋体" w:cs="Times New Roman"/>
      <w:kern w:val="0"/>
      <w:sz w:val="24"/>
      <w:szCs w:val="20"/>
    </w:rPr>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标题 2 字符"/>
    <w:basedOn w:val="9"/>
    <w:link w:val="2"/>
    <w:uiPriority w:val="0"/>
    <w:rPr>
      <w:rFonts w:ascii="Arial" w:hAnsi="Arial" w:eastAsia="宋体"/>
      <w:b/>
    </w:rPr>
  </w:style>
  <w:style w:type="character" w:customStyle="1" w:styleId="13">
    <w:name w:val="标题 3 字符"/>
    <w:basedOn w:val="9"/>
    <w:link w:val="3"/>
    <w:uiPriority w:val="0"/>
    <w:rPr>
      <w:rFonts w:ascii="Times New Roman" w:hAnsi="Times New Roman" w:eastAsia="宋体"/>
      <w:b/>
    </w:rPr>
  </w:style>
  <w:style w:type="character" w:customStyle="1" w:styleId="14">
    <w:name w:val="正文文本 字符"/>
    <w:basedOn w:val="9"/>
    <w:link w:val="4"/>
    <w:qFormat/>
    <w:uiPriority w:val="0"/>
    <w:rPr>
      <w:rFonts w:ascii="Times New Roman" w:hAnsi="Times New Roman" w:eastAsia="方正仿宋简体" w:cs="Times New Roman"/>
      <w:sz w:val="32"/>
      <w:szCs w:val="20"/>
    </w:rPr>
  </w:style>
  <w:style w:type="character" w:customStyle="1" w:styleId="15">
    <w:name w:val="页眉 字符"/>
    <w:basedOn w:val="9"/>
    <w:link w:val="7"/>
    <w:uiPriority w:val="0"/>
    <w:rPr>
      <w:sz w:val="18"/>
    </w:rPr>
  </w:style>
  <w:style w:type="character" w:customStyle="1" w:styleId="16">
    <w:name w:val="页脚 字符"/>
    <w:basedOn w:val="9"/>
    <w:link w:val="6"/>
    <w:uiPriority w:val="99"/>
    <w:rPr>
      <w:kern w:val="2"/>
      <w:sz w:val="18"/>
      <w:szCs w:val="18"/>
    </w:rPr>
  </w:style>
  <w:style w:type="character" w:customStyle="1" w:styleId="17">
    <w:name w:val="批注框文本 字符"/>
    <w:basedOn w:val="9"/>
    <w:link w:val="5"/>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Words>
  <Characters>2082</Characters>
  <Lines>17</Lines>
  <Paragraphs>4</Paragraphs>
  <TotalTime>181</TotalTime>
  <ScaleCrop>false</ScaleCrop>
  <LinksUpToDate>false</LinksUpToDate>
  <CharactersWithSpaces>2443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2023-04-13T06:44:00Z</dcterms:created>
  <dc:creator>s c</dc:creator>
  <cp:lastModifiedBy>高玉锦</cp:lastModifiedBy>
  <dcterms:modified xsi:type="dcterms:W3CDTF">2023-04-20T08:45:29Z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