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季添益1912期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季添益1912期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TYG3M1912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2019年8月14日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836,097,900.40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108.58%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836,097,900.40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731,203,815.03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1.1434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1.1434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1.1432</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1.1432</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685,041,776.97</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1.1442</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1.1442</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132,811,318.61</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1.1444</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1.1444</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18,244,804.82</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3.94</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3.97</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3.97</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cr/>
        <w:t>本产品以主要投资于债券等固定收益类资产。信用债投资方面，在严格把控信用风险的前提下，挖掘个券的超额收益机会；利率债和同业存单投资方面，继续保持灵活适度操作，择机参与波段机会。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0.78%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68.49%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18.19%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8.61%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77.50%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12.80%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84,952,085.59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80,200,000.00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20丽水城建PPN001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51,719,246.58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6.19%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19玄武01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41,990,794.52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20广德01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41,450,904.11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质押式逆回购(359280)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37,014,293.14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17西安高新MTN002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31,164,350.82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22知识城MTN004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30,957,164.38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22成华棚改MTN001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30,851,860.27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21圆宏控股PPN002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30,696,000.00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3.67%</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65,054,164.34</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7.78%</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1,019,451,675.01</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731,203,815.03</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78,290.77</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