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月添益1801期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月添益1801期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FRG1801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Z7002221000242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2018年7月25日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2.80%-4.00%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854,244,922.55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100.11%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854,244,922.55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721,138,311.98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1.1845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1.1845</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月添益1801期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3.93</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一季度收益率表现不同品种差异较大，信用债整体表现好于利率债和同业存单，受到去年四季度的冲击行情后，信用债在一季度还是利差修复为主的行情，在去年12月份下旬高等级信用债信用利差快速修复后，一季度中低评级信用债的信用利差也开始修复，整体呈现收益率下行为主的行情。而利率债和同业存单，受到一季度贷款高预期、经济基本面预期反复的影响，整体呈现震荡行情。</w:t>
        <w:cr/>
        <w:t>债券市场方面；10年国债收益率最高触及2.92%，1年期国股同业存单最高升至2.75%，分别与去年12月份高点持平；二永债和私募信用债也因为市场流动性改善，呈现整体的下行趋势。</w:t>
        <w:cr/>
        <w:t>资金方面：一季度央行公开市场微量净投放820亿元，降准释放了接近6000-7000亿的资金，整体较去年四季度变化不大。银行间资金价格较去年四季度相比整体上行，R007均值2.35%，较上年四季度季度均值上行31bp。</w:t>
        <w:cr/>
        <w:t>整体而言，在一季度，产品适度降低杠杆，通过债券配置保持久期，并择时投资回购类资产，增厚底仓收益率。目前信用债利差仍处于历史较高水平，信用债短久期品种性价比凸显，管理人后续将结合市场情况，对产品持仓品种进行动态评估。</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基本面来看，社融数据出现季节性回升，贷款数据远超预期，高频数据看，地产下游销售数据也出现季节性回暖，但持续性依然有待观察；海外经济存在不确定性胀仍处于高位，信贷数据收缩，海外衰退预期上升；资金面来看，流动性合理充裕的基调仍将持续，但中枢上行。在一季度降准后，短期内降准预期会减弱，但预期市场利率依然会围绕政策利率波动，鉴于市场主体间流动性分层加剧，未来在税期、季末等时点资金价格波动或明显加剧。</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0.57%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14.60%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64.87%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19.97%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15.30%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83.69%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粤财信托安盈稳利1号集合资金信托计划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170,781,504.45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19.99%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21西咸新发PPN001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72,032,589.04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8.43%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22农发08</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50,350,136.99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5.89%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质押式逆回购(234669)</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43,042,410.97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20湖州高新PPN001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41,408,646.58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4.85%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20桐控01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36,077,146.57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4.22%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质押式逆回购(234612)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32,431,956.21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22海安城改CP001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30,401,597.26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3.56%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22国开11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30,308,243.84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3.55%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23海安经开SCP002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30,049,573.77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3.52%</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1,153,706,980.94</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721,138,311.98</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67,878.65</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