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20"/>
        </w:rPr>
      </w:pPr>
    </w:p>
    <w:p>
      <w:pPr>
        <w:adjustRightInd w:val="0"/>
        <w:snapToGrid w:val="0"/>
        <w:spacing w:line="460" w:lineRule="exact"/>
        <w:jc w:val="center"/>
        <w:rPr>
          <w:rFonts w:ascii="Times New Roman" w:hAnsi="Times New Roman" w:eastAsia="方正楷体简体"/>
          <w:sz w:val="24"/>
        </w:rPr>
      </w:pPr>
    </w:p>
    <w:p>
      <w:pPr>
        <w:pStyle w:val="2"/>
        <w:keepNext w:val="0"/>
        <w:keepLines w:val="0"/>
        <w:autoSpaceDE w:val="0"/>
        <w:autoSpaceDN w:val="0"/>
        <w:spacing w:before="220" w:line="240" w:lineRule="auto"/>
        <w:jc w:val="center"/>
        <w:rPr>
          <w:rFonts w:ascii="仿宋_GB2312" w:hAnsi="仿宋_GB2312" w:eastAsia="仿宋_GB2312" w:cs="仿宋_GB2312"/>
          <w:bCs/>
          <w:kern w:val="0"/>
          <w:sz w:val="52"/>
          <w:szCs w:val="52"/>
          <w:lang w:bidi="zh-CN"/>
        </w:rPr>
      </w:pPr>
      <w:r>
        <w:rPr>
          <w:rFonts w:hint="eastAsia" w:ascii="仿宋_GB2312" w:hAnsi="仿宋_GB2312" w:eastAsia="仿宋_GB2312" w:cs="仿宋_GB2312"/>
          <w:bCs/>
          <w:kern w:val="0"/>
          <w:sz w:val="52"/>
          <w:szCs w:val="52"/>
          <w:lang w:bidi="zh-CN"/>
        </w:rPr>
        <w:t>周添益2101期</w:t>
      </w:r>
    </w:p>
    <w:p>
      <w:pPr>
        <w:autoSpaceDE w:val="0"/>
        <w:autoSpaceDN w:val="0"/>
        <w:spacing w:line="360" w:lineRule="auto"/>
        <w:jc w:val="center"/>
        <w:rPr>
          <w:rFonts w:ascii="仿宋_GB2312" w:hAnsi="仿宋_GB2312" w:eastAsia="仿宋_GB2312" w:cs="仿宋_GB2312"/>
          <w:b/>
          <w:bCs/>
          <w:kern w:val="0"/>
          <w:sz w:val="44"/>
          <w:szCs w:val="44"/>
          <w:lang w:bidi="zh-CN"/>
        </w:rPr>
      </w:pPr>
      <w:r>
        <w:rPr>
          <w:rFonts w:hint="eastAsia" w:ascii="仿宋_GB2312" w:hAnsi="仿宋_GB2312" w:eastAsia="仿宋_GB2312" w:cs="仿宋_GB2312"/>
          <w:b/>
          <w:bCs/>
          <w:kern w:val="0"/>
          <w:sz w:val="44"/>
          <w:szCs w:val="44"/>
          <w:lang w:bidi="zh-CN"/>
        </w:rPr>
        <w:t>2023</w:t>
      </w:r>
      <w:r>
        <w:rPr>
          <w:rFonts w:ascii="仿宋_GB2312" w:hAnsi="仿宋_GB2312" w:eastAsia="仿宋_GB2312" w:cs="仿宋_GB2312"/>
          <w:b/>
          <w:sz w:val="44"/>
        </w:rPr>
        <w:t>年第1季度报告</w:t>
      </w:r>
    </w:p>
    <w:p>
      <w:pPr>
        <w:jc w:val="center"/>
        <w:rPr>
          <w:rFonts w:ascii="宋体" w:hAnsi="宋体" w:eastAsia="宋体" w:cs="Times New Roman"/>
          <w:color w:val="0000FF"/>
          <w:kern w:val="0"/>
          <w:sz w:val="18"/>
          <w:szCs w:val="20"/>
        </w:rPr>
      </w:pPr>
    </w:p>
    <w:p>
      <w:pPr>
        <w:jc w:val="center"/>
        <w:rPr>
          <w:rFonts w:eastAsia="宋体"/>
          <w:sz w:val="24"/>
        </w:rPr>
      </w:pPr>
    </w:p>
    <w:p>
      <w:pPr>
        <w:jc w:val="center"/>
        <w:rPr>
          <w:rFonts w:eastAsia="宋体"/>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产品管理人：</w:t>
      </w:r>
      <w:r>
        <w:rPr>
          <w:rFonts w:ascii="仿宋" w:hAnsi="仿宋" w:eastAsia="仿宋" w:cs="仿宋"/>
          <w:sz w:val="24"/>
        </w:rPr>
        <w:t>杭银理财有限责任公司</w:t>
      </w:r>
    </w:p>
    <w:p>
      <w:pPr>
        <w:jc w:val="center"/>
        <w:rPr>
          <w:rFonts w:ascii="仿宋" w:hAnsi="仿宋" w:eastAsia="仿宋" w:cs="仿宋"/>
          <w:sz w:val="24"/>
        </w:rPr>
      </w:pPr>
      <w:r>
        <w:rPr>
          <w:rFonts w:hint="eastAsia" w:ascii="仿宋" w:hAnsi="仿宋" w:eastAsia="仿宋" w:cs="仿宋"/>
          <w:sz w:val="24"/>
        </w:rPr>
        <w:t>产品托管人：</w:t>
      </w:r>
      <w:r>
        <w:rPr>
          <w:rFonts w:ascii="仿宋" w:hAnsi="仿宋" w:eastAsia="仿宋" w:cs="仿宋"/>
          <w:sz w:val="24"/>
        </w:rPr>
        <w:t>杭州银行股份有限公司</w:t>
      </w: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2023年4月19日</w:t>
      </w: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§1  重要提示</w:t>
      </w:r>
    </w:p>
    <w:tbl>
      <w:tblPr>
        <w:tblStyle w:val="9"/>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1" w:hRule="atLeast"/>
        </w:trPr>
        <w:tc>
          <w:tcPr>
            <w:tcW w:w="912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420" w:lineRule="exact"/>
              <w:ind w:firstLine="480" w:firstLineChars="200"/>
              <w:jc w:val="left"/>
              <w:rPr>
                <w:rFonts w:ascii="仿宋" w:hAnsi="仿宋" w:eastAsia="仿宋" w:cs="仿宋"/>
                <w:color w:val="404040"/>
                <w:kern w:val="0"/>
                <w:sz w:val="24"/>
              </w:rPr>
            </w:pPr>
            <w:r>
              <w:rPr>
                <w:rFonts w:hint="eastAsia" w:ascii="仿宋" w:hAnsi="仿宋" w:eastAsia="仿宋" w:cs="仿宋"/>
                <w:color w:val="404040"/>
                <w:kern w:val="0"/>
                <w:sz w:val="24"/>
              </w:rPr>
              <w:t>产品管理人承诺以诚实信用、勤勉尽责的原则管理和运用产品资产，并如实反映产品财务指标及投资组合情况，但不保证产品一定盈利。</w:t>
            </w:r>
          </w:p>
          <w:p>
            <w:pPr>
              <w:widowControl/>
              <w:adjustRightInd w:val="0"/>
              <w:snapToGrid w:val="0"/>
              <w:spacing w:line="420" w:lineRule="exact"/>
              <w:ind w:firstLine="480" w:firstLineChars="200"/>
              <w:jc w:val="left"/>
              <w:rPr>
                <w:rFonts w:ascii="仿宋" w:hAnsi="仿宋" w:eastAsia="仿宋" w:cs="仿宋"/>
                <w:color w:val="404040"/>
                <w:kern w:val="0"/>
                <w:sz w:val="24"/>
              </w:rPr>
            </w:pPr>
            <w:r>
              <w:rPr>
                <w:rFonts w:hint="eastAsia" w:ascii="仿宋" w:hAnsi="仿宋" w:eastAsia="仿宋" w:cs="仿宋"/>
                <w:color w:val="404040"/>
                <w:kern w:val="0"/>
                <w:sz w:val="24"/>
              </w:rPr>
              <w:t>产品托管人根据本</w:t>
            </w:r>
            <w:r>
              <w:rPr>
                <w:rFonts w:hint="eastAsia" w:ascii="仿宋" w:hAnsi="仿宋" w:eastAsia="仿宋" w:cs="仿宋"/>
                <w:color w:val="000000"/>
                <w:sz w:val="24"/>
              </w:rPr>
              <w:t>产品</w:t>
            </w:r>
            <w:r>
              <w:rPr>
                <w:rFonts w:hint="eastAsia" w:ascii="仿宋" w:hAnsi="仿宋" w:eastAsia="仿宋" w:cs="仿宋"/>
                <w:color w:val="404040"/>
                <w:kern w:val="0"/>
                <w:sz w:val="24"/>
              </w:rPr>
              <w:t>合同规定，于</w:t>
            </w:r>
            <w:r>
              <w:rPr>
                <w:rFonts w:ascii="仿宋" w:hAnsi="仿宋" w:eastAsia="仿宋" w:cs="仿宋"/>
                <w:color w:val="404040"/>
                <w:sz w:val="24"/>
              </w:rPr>
              <w:t>2023年3月31日</w:t>
            </w:r>
            <w:r>
              <w:rPr>
                <w:rFonts w:hint="eastAsia" w:ascii="仿宋" w:hAnsi="仿宋" w:eastAsia="仿宋" w:cs="仿宋"/>
                <w:color w:val="404040"/>
                <w:kern w:val="0"/>
                <w:sz w:val="24"/>
              </w:rPr>
              <w:t>复核了本报告中的财务指标、净值表现和投资组合报告等内容，保证复核内容不存在虚假记载、误导性陈述或者重大遗漏。</w:t>
            </w:r>
          </w:p>
          <w:p>
            <w:pPr>
              <w:widowControl/>
              <w:adjustRightInd w:val="0"/>
              <w:snapToGrid w:val="0"/>
              <w:spacing w:line="420" w:lineRule="exact"/>
              <w:ind w:firstLine="480" w:firstLineChars="200"/>
              <w:jc w:val="left"/>
              <w:rPr>
                <w:rFonts w:ascii="仿宋" w:hAnsi="仿宋" w:eastAsia="仿宋" w:cs="仿宋"/>
                <w:color w:val="404040"/>
                <w:kern w:val="0"/>
                <w:sz w:val="24"/>
              </w:rPr>
            </w:pPr>
            <w:r>
              <w:rPr>
                <w:rFonts w:hint="eastAsia" w:ascii="仿宋" w:hAnsi="仿宋" w:eastAsia="仿宋" w:cs="仿宋"/>
                <w:color w:val="404040"/>
                <w:kern w:val="0"/>
                <w:sz w:val="24"/>
              </w:rPr>
              <w:t>产品的过往业绩并不代表其未来表现。投资有风险，投资者在作出投资决策前应仔细阅读本</w:t>
            </w:r>
            <w:r>
              <w:rPr>
                <w:rFonts w:hint="eastAsia" w:ascii="仿宋" w:hAnsi="仿宋" w:eastAsia="仿宋" w:cs="仿宋"/>
                <w:color w:val="000000"/>
                <w:sz w:val="24"/>
              </w:rPr>
              <w:t>产品</w:t>
            </w:r>
            <w:r>
              <w:rPr>
                <w:rFonts w:hint="eastAsia" w:ascii="仿宋" w:hAnsi="仿宋" w:eastAsia="仿宋" w:cs="仿宋"/>
                <w:color w:val="404040"/>
                <w:kern w:val="0"/>
                <w:sz w:val="24"/>
              </w:rPr>
              <w:t>的产品说明书。</w:t>
            </w:r>
          </w:p>
          <w:p>
            <w:pPr>
              <w:widowControl/>
              <w:adjustRightInd w:val="0"/>
              <w:snapToGrid w:val="0"/>
              <w:spacing w:line="420" w:lineRule="exact"/>
              <w:ind w:firstLine="480" w:firstLineChars="200"/>
              <w:jc w:val="left"/>
              <w:rPr>
                <w:rFonts w:ascii="仿宋" w:hAnsi="仿宋" w:eastAsia="仿宋" w:cs="仿宋"/>
                <w:color w:val="404040"/>
                <w:kern w:val="0"/>
                <w:sz w:val="24"/>
              </w:rPr>
            </w:pPr>
            <w:r>
              <w:rPr>
                <w:rFonts w:hint="eastAsia" w:ascii="仿宋" w:hAnsi="仿宋" w:eastAsia="仿宋" w:cs="仿宋"/>
                <w:color w:val="404040"/>
                <w:kern w:val="0"/>
                <w:sz w:val="24"/>
              </w:rPr>
              <w:t>本报告中财务资料未经审计。</w:t>
            </w:r>
          </w:p>
          <w:p>
            <w:pPr>
              <w:widowControl/>
              <w:adjustRightInd w:val="0"/>
              <w:snapToGrid w:val="0"/>
              <w:spacing w:line="420" w:lineRule="exact"/>
              <w:ind w:firstLine="480" w:firstLineChars="200"/>
              <w:jc w:val="left"/>
              <w:rPr>
                <w:rFonts w:ascii="仿宋" w:hAnsi="仿宋" w:eastAsia="仿宋" w:cs="仿宋"/>
                <w:sz w:val="24"/>
              </w:rPr>
            </w:pPr>
            <w:r>
              <w:rPr>
                <w:rFonts w:hint="eastAsia" w:ascii="仿宋" w:hAnsi="仿宋" w:eastAsia="仿宋" w:cs="仿宋"/>
                <w:color w:val="404040"/>
                <w:kern w:val="0"/>
                <w:sz w:val="24"/>
              </w:rPr>
              <w:t>本报告期自</w:t>
            </w:r>
            <w:r>
              <w:rPr>
                <w:rFonts w:ascii="仿宋" w:hAnsi="仿宋" w:eastAsia="仿宋" w:cs="仿宋"/>
                <w:color w:val="404040"/>
                <w:sz w:val="24"/>
              </w:rPr>
              <w:t>2023年1月1日</w:t>
            </w:r>
            <w:r>
              <w:rPr>
                <w:rFonts w:hint="eastAsia" w:ascii="仿宋" w:hAnsi="仿宋" w:eastAsia="仿宋" w:cs="仿宋"/>
                <w:color w:val="404040"/>
                <w:kern w:val="0"/>
                <w:sz w:val="24"/>
              </w:rPr>
              <w:t>起至</w:t>
            </w:r>
            <w:r>
              <w:rPr>
                <w:rFonts w:ascii="仿宋" w:hAnsi="仿宋" w:eastAsia="仿宋" w:cs="仿宋"/>
                <w:color w:val="404040"/>
                <w:sz w:val="24"/>
              </w:rPr>
              <w:t>2023年3月31日</w:t>
            </w:r>
            <w:r>
              <w:rPr>
                <w:rFonts w:hint="eastAsia" w:ascii="仿宋" w:hAnsi="仿宋" w:eastAsia="仿宋" w:cs="仿宋"/>
                <w:color w:val="404040"/>
                <w:kern w:val="0"/>
                <w:sz w:val="24"/>
              </w:rPr>
              <w:t>止。</w:t>
            </w:r>
          </w:p>
        </w:tc>
      </w:tr>
    </w:tbl>
    <w:p>
      <w:pPr>
        <w:rPr>
          <w:rStyle w:val="14"/>
          <w:rFonts w:ascii="仿宋" w:hAnsi="仿宋" w:eastAsia="仿宋" w:cs="仿宋"/>
          <w:color w:val="0000FF"/>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§2  产品概况</w:t>
      </w:r>
    </w:p>
    <w:p>
      <w:pPr>
        <w:adjustRightInd w:val="0"/>
        <w:snapToGrid w:val="0"/>
        <w:spacing w:line="440" w:lineRule="exact"/>
        <w:outlineLvl w:val="2"/>
        <w:rPr>
          <w:rFonts w:ascii="仿宋" w:hAnsi="仿宋" w:eastAsia="仿宋" w:cs="仿宋"/>
          <w:b/>
          <w:sz w:val="24"/>
        </w:rPr>
      </w:pPr>
      <w:bookmarkStart w:id="0" w:name="_Toc354129567"/>
      <w:r>
        <w:rPr>
          <w:rFonts w:hint="eastAsia" w:ascii="仿宋" w:hAnsi="仿宋" w:eastAsia="仿宋" w:cs="仿宋"/>
          <w:b/>
          <w:sz w:val="24"/>
        </w:rPr>
        <w:t>2.1 产品基本情况</w:t>
      </w:r>
      <w:bookmarkEnd w:id="0"/>
    </w:p>
    <w:tbl>
      <w:tblPr>
        <w:tblStyle w:val="9"/>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5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产品名称</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周添益2101期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产品代码</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TYG7D2101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理财信息登记系统登记编码</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Z7002221000111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产品成立日</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2021年8月5日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产品到期日</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产品募集方式</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产品运作模式</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产品投资性质</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业绩比较基准（%）</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2.55%-3.55%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报告期末产品规模（元）</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4,182,631,735.94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杠杆水平（%）</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104.49%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风险等级</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产品管理人</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杭银理财有限责任公司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产品托管人</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杭州银行股份有限公司</w:t>
            </w:r>
          </w:p>
        </w:tc>
      </w:tr>
    </w:tbl>
    <w:p>
      <w:pPr>
        <w:adjustRightInd w:val="0"/>
        <w:snapToGrid w:val="0"/>
        <w:spacing w:line="360" w:lineRule="exact"/>
        <w:rPr>
          <w:rFonts w:ascii="仿宋" w:hAnsi="仿宋" w:eastAsia="仿宋" w:cs="仿宋"/>
          <w:sz w:val="24"/>
        </w:rPr>
      </w:pPr>
      <w:r>
        <w:rPr>
          <w:rFonts w:hint="eastAsia" w:ascii="仿宋" w:hAnsi="仿宋" w:eastAsia="仿宋" w:cs="仿宋"/>
          <w:sz w:val="24"/>
        </w:rPr>
        <w:t>*杠杆水平=总资产/理财产品净资产，理财产品净资产=总资产-总负债</w:t>
      </w:r>
    </w:p>
    <w:p>
      <w:pPr>
        <w:adjustRightInd w:val="0"/>
        <w:snapToGrid w:val="0"/>
        <w:spacing w:line="360" w:lineRule="exact"/>
        <w:rPr>
          <w:rFonts w:ascii="仿宋" w:hAnsi="仿宋" w:eastAsia="仿宋" w:cs="仿宋"/>
          <w:color w:val="000000"/>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§3  主要财务指标和产品净值表现</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3.1 主要财务指标和产品净值表现</w:t>
      </w:r>
    </w:p>
    <w:p>
      <w:pPr>
        <w:adjustRightInd w:val="0"/>
        <w:snapToGrid w:val="0"/>
        <w:spacing w:line="440" w:lineRule="exact"/>
        <w:jc w:val="right"/>
        <w:rPr>
          <w:rFonts w:ascii="仿宋" w:hAnsi="仿宋" w:eastAsia="仿宋" w:cs="仿宋"/>
          <w:sz w:val="24"/>
        </w:rPr>
      </w:pPr>
      <w:r>
        <w:rPr>
          <w:rFonts w:hint="eastAsia" w:ascii="仿宋" w:hAnsi="仿宋" w:eastAsia="仿宋" w:cs="仿宋"/>
          <w:sz w:val="24"/>
        </w:rPr>
        <w:t>单位：元、份、元/份</w:t>
      </w:r>
    </w:p>
    <w:tbl>
      <w:tblPr>
        <w:tblStyle w:val="9"/>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418"/>
        <w:gridCol w:w="585"/>
        <w:gridCol w:w="716"/>
        <w:gridCol w:w="1336"/>
        <w:gridCol w:w="2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sz w:val="24"/>
              </w:rPr>
              <w:t>主要财务指标</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报告期</w:t>
            </w:r>
          </w:p>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sz w:val="24"/>
              </w:rPr>
              <w:t>2023年1月1日</w:t>
            </w:r>
            <w:r>
              <w:rPr>
                <w:rFonts w:hint="eastAsia" w:ascii="仿宋" w:hAnsi="仿宋" w:eastAsia="仿宋" w:cs="仿宋"/>
                <w:color w:val="000000"/>
                <w:kern w:val="0"/>
                <w:sz w:val="24"/>
              </w:rPr>
              <w:t>-</w:t>
            </w:r>
            <w:r>
              <w:rPr>
                <w:rFonts w:ascii="仿宋" w:hAnsi="仿宋" w:eastAsia="仿宋" w:cs="仿宋"/>
                <w:color w:val="000000"/>
                <w:sz w:val="24"/>
              </w:rPr>
              <w:t>2023年3月31日</w:t>
            </w:r>
            <w:r>
              <w:rPr>
                <w:rFonts w:hint="eastAsia" w:ascii="仿宋" w:hAnsi="仿宋" w:eastAsia="仿宋" w:cs="仿宋"/>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Style w:val="14"/>
                <w:rFonts w:ascii="仿宋" w:hAnsi="仿宋" w:eastAsia="仿宋" w:cs="仿宋"/>
                <w:sz w:val="24"/>
              </w:rPr>
            </w:pPr>
            <w:r>
              <w:rPr>
                <w:rFonts w:hint="eastAsia" w:ascii="仿宋" w:hAnsi="仿宋" w:eastAsia="仿宋" w:cs="仿宋"/>
                <w:sz w:val="24"/>
              </w:rPr>
              <w:t>1.期末产品资产净值</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 w:hAnsi="仿宋" w:eastAsia="仿宋" w:cs="仿宋"/>
                <w:sz w:val="24"/>
              </w:rPr>
            </w:pPr>
            <w:r>
              <w:rPr>
                <w:rFonts w:hint="eastAsia" w:ascii="仿宋" w:hAnsi="仿宋" w:eastAsia="仿宋" w:cs="仿宋"/>
                <w:kern w:val="0"/>
                <w:sz w:val="24"/>
              </w:rPr>
              <w:t>4,182,631,735.94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仿宋"/>
                <w:sz w:val="24"/>
              </w:rPr>
            </w:pPr>
            <w:r>
              <w:rPr>
                <w:rFonts w:hint="eastAsia" w:ascii="仿宋" w:hAnsi="仿宋" w:eastAsia="仿宋" w:cs="仿宋"/>
                <w:sz w:val="24"/>
              </w:rPr>
              <w:t>2.期末产品总份额</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 w:hAnsi="仿宋" w:eastAsia="仿宋" w:cs="仿宋"/>
                <w:kern w:val="0"/>
                <w:sz w:val="24"/>
              </w:rPr>
            </w:pPr>
            <w:r>
              <w:rPr>
                <w:rFonts w:hint="eastAsia" w:ascii="仿宋" w:hAnsi="仿宋" w:eastAsia="仿宋" w:cs="仿宋"/>
                <w:kern w:val="0"/>
                <w:sz w:val="24"/>
              </w:rPr>
              <w:t>3,970,457,446.53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Style w:val="14"/>
                <w:rFonts w:ascii="仿宋" w:hAnsi="仿宋" w:eastAsia="仿宋" w:cs="仿宋"/>
                <w:sz w:val="24"/>
              </w:rPr>
            </w:pPr>
            <w:r>
              <w:rPr>
                <w:rFonts w:hint="eastAsia" w:ascii="仿宋" w:hAnsi="仿宋" w:eastAsia="仿宋" w:cs="仿宋"/>
                <w:sz w:val="24"/>
              </w:rPr>
              <w:t>3.期末产品份额单位净值</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 w:hAnsi="仿宋" w:eastAsia="仿宋" w:cs="仿宋"/>
                <w:sz w:val="24"/>
              </w:rPr>
            </w:pPr>
            <w:r>
              <w:rPr>
                <w:rFonts w:hint="eastAsia" w:ascii="仿宋" w:hAnsi="仿宋" w:eastAsia="仿宋" w:cs="仿宋"/>
                <w:kern w:val="0"/>
                <w:sz w:val="24"/>
              </w:rPr>
              <w:t>1.053438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Style w:val="14"/>
                <w:rFonts w:ascii="仿宋" w:hAnsi="仿宋" w:eastAsia="仿宋" w:cs="仿宋"/>
                <w:sz w:val="24"/>
              </w:rPr>
            </w:pPr>
            <w:r>
              <w:rPr>
                <w:rFonts w:hint="eastAsia" w:ascii="仿宋" w:hAnsi="仿宋" w:eastAsia="仿宋" w:cs="仿宋"/>
                <w:sz w:val="24"/>
              </w:rPr>
              <w:t>4.期末产品份额累计净值</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hint="default" w:ascii="仿宋" w:hAnsi="仿宋" w:eastAsia="仿宋" w:cs="仿宋"/>
                <w:sz w:val="24"/>
                <w:lang w:val="en-US" w:eastAsia="zh-CN"/>
              </w:rPr>
            </w:pPr>
            <w:r>
              <w:rPr>
                <w:rFonts w:hint="eastAsia" w:ascii="仿宋" w:hAnsi="仿宋" w:eastAsia="仿宋" w:cs="仿宋"/>
                <w:kern w:val="0"/>
                <w:sz w:val="24"/>
              </w:rPr>
              <w:t>1.0534</w:t>
            </w:r>
            <w:r>
              <w:rPr>
                <w:rFonts w:hint="eastAsia" w:ascii="仿宋" w:hAnsi="仿宋" w:eastAsia="仿宋" w:cs="仿宋"/>
                <w:kern w:val="0"/>
                <w:sz w:val="24"/>
                <w:lang w:val="en-US" w:eastAsia="zh-CN"/>
              </w:rPr>
              <w:t>38</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128"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FF"/>
                <w:sz w:val="24"/>
              </w:rPr>
            </w:pPr>
            <w:r>
              <w:rPr>
                <w:rFonts w:hint="eastAsia" w:ascii="仿宋" w:hAnsi="仿宋" w:eastAsia="仿宋" w:cs="仿宋"/>
                <w:kern w:val="0"/>
                <w:sz w:val="24"/>
              </w:rPr>
              <w:t>报告期末下属子产品相关信息披露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子产品名称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子产品代码</w:t>
            </w:r>
          </w:p>
        </w:tc>
        <w:tc>
          <w:tcPr>
            <w:tcW w:w="130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份额</w:t>
            </w:r>
          </w:p>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净值</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份额累计净值</w:t>
            </w:r>
          </w:p>
        </w:tc>
        <w:tc>
          <w:tcPr>
            <w:tcW w:w="26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周添益2101期</w:t>
            </w:r>
          </w:p>
        </w:tc>
        <w:tc>
          <w:tcPr>
            <w:tcW w:w="1418"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TYG7D2101</w:t>
            </w:r>
          </w:p>
        </w:tc>
        <w:tc>
          <w:tcPr>
            <w:tcW w:w="1301" w:type="dxa"/>
            <w:gridSpan w:val="2"/>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1.053437</w:t>
            </w:r>
          </w:p>
        </w:tc>
        <w:tc>
          <w:tcPr>
            <w:tcW w:w="1336"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1.053437</w:t>
            </w:r>
          </w:p>
        </w:tc>
        <w:tc>
          <w:tcPr>
            <w:tcW w:w="2668"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4,147,709,929.45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周添益2101期B款</w:t>
            </w:r>
          </w:p>
        </w:tc>
        <w:tc>
          <w:tcPr>
            <w:tcW w:w="1418"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TYG7D2101B</w:t>
            </w:r>
          </w:p>
        </w:tc>
        <w:tc>
          <w:tcPr>
            <w:tcW w:w="1301" w:type="dxa"/>
            <w:gridSpan w:val="2"/>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1.053532</w:t>
            </w:r>
          </w:p>
        </w:tc>
        <w:tc>
          <w:tcPr>
            <w:tcW w:w="1336"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1.053532</w:t>
            </w:r>
          </w:p>
        </w:tc>
        <w:tc>
          <w:tcPr>
            <w:tcW w:w="2668"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34,921,806.49</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3.</w:t>
      </w:r>
      <w:r>
        <w:rPr>
          <w:rFonts w:ascii="仿宋" w:hAnsi="仿宋" w:eastAsia="仿宋" w:cs="仿宋"/>
          <w:b/>
          <w:sz w:val="24"/>
        </w:rPr>
        <w:t>2</w:t>
      </w:r>
      <w:r>
        <w:rPr>
          <w:rFonts w:hint="eastAsia" w:ascii="仿宋" w:hAnsi="仿宋" w:eastAsia="仿宋" w:cs="仿宋"/>
          <w:b/>
          <w:sz w:val="24"/>
        </w:rPr>
        <w:t xml:space="preserve"> 产品收益表现</w:t>
      </w:r>
    </w:p>
    <w:tbl>
      <w:tblPr>
        <w:tblStyle w:val="9"/>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产品名称</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成立以来年化收益率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Style w:val="14"/>
                <w:rFonts w:ascii="仿宋" w:hAnsi="仿宋" w:eastAsia="仿宋" w:cs="仿宋"/>
                <w:sz w:val="24"/>
              </w:rPr>
            </w:pPr>
            <w:r>
              <w:rPr>
                <w:rStyle w:val="14"/>
                <w:rFonts w:hint="eastAsia" w:ascii="仿宋" w:hAnsi="仿宋" w:eastAsia="仿宋" w:cs="仿宋"/>
                <w:sz w:val="24"/>
              </w:rPr>
              <w:t>周添益2101期</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3.23</w:t>
            </w:r>
            <w:r>
              <w:rPr>
                <w:rFonts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Style w:val="14"/>
                <w:rFonts w:ascii="仿宋" w:hAnsi="仿宋" w:eastAsia="仿宋" w:cs="仿宋"/>
                <w:sz w:val="24"/>
              </w:rPr>
            </w:pPr>
            <w:r>
              <w:rPr>
                <w:rStyle w:val="14"/>
                <w:rFonts w:hint="eastAsia" w:ascii="仿宋" w:hAnsi="仿宋" w:eastAsia="仿宋" w:cs="仿宋"/>
                <w:sz w:val="24"/>
              </w:rPr>
              <w:t>周添益2101期B款</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3.24</w:t>
            </w:r>
            <w:r>
              <w:rPr>
                <w:rFonts w:ascii="仿宋" w:hAnsi="仿宋" w:eastAsia="仿宋" w:cs="仿宋"/>
                <w:sz w:val="24"/>
              </w:rPr>
              <w:t>%</w:t>
            </w:r>
          </w:p>
        </w:tc>
      </w:tr>
    </w:tbl>
    <w:p>
      <w:pPr>
        <w:adjustRightInd w:val="0"/>
        <w:snapToGrid w:val="0"/>
        <w:rPr>
          <w:rFonts w:ascii="仿宋" w:hAnsi="仿宋" w:eastAsia="仿宋" w:cs="仿宋"/>
          <w:color w:val="404040"/>
          <w:kern w:val="0"/>
          <w:sz w:val="24"/>
        </w:rPr>
      </w:pPr>
    </w:p>
    <w:p>
      <w:pPr>
        <w:adjustRightInd w:val="0"/>
        <w:snapToGrid w:val="0"/>
        <w:rPr>
          <w:rFonts w:hint="eastAsia" w:ascii="仿宋" w:hAnsi="仿宋" w:eastAsia="仿宋" w:cs="仿宋"/>
          <w:color w:val="404040"/>
          <w:kern w:val="0"/>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§4  投资组合报告</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4.1 报告期内产品投资策略回顾</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一季度收益率表现不同品种差异较大，信用债整体表现好于利率债和同业存单，受到去年四季度的冲击行情后，信用债在一季度还是利差修复为主的行情，在去年12月份下旬高等级信用债信用利差快速修复后，一季度中低评级信用债的信用利差也开始修复，整体呈现收益率下行为主的行情。而利率债和同业存单，受到一季度贷款高预期、经济基本面预期反复的影响，整体呈现震荡行情。</w:t>
      </w:r>
      <w:r>
        <w:rPr>
          <w:rFonts w:hint="eastAsia" w:ascii="仿宋" w:hAnsi="仿宋" w:eastAsia="仿宋" w:cs="仿宋"/>
          <w:sz w:val="24"/>
        </w:rPr>
        <w:cr/>
      </w:r>
      <w:r>
        <w:rPr>
          <w:rFonts w:hint="eastAsia" w:ascii="仿宋" w:hAnsi="仿宋" w:eastAsia="仿宋" w:cs="仿宋"/>
          <w:sz w:val="24"/>
        </w:rPr>
        <w:t>债券市场方面；10年国债收益率最高触及2.92%，1年期国股同业存单最高升至2.75%，分别与去年12月份高点持平；二永债和私募信用债也因为市场流动性改善，呈现整体的下行趋势。</w:t>
      </w:r>
      <w:r>
        <w:rPr>
          <w:rFonts w:hint="eastAsia" w:ascii="仿宋" w:hAnsi="仿宋" w:eastAsia="仿宋" w:cs="仿宋"/>
          <w:sz w:val="24"/>
        </w:rPr>
        <w:cr/>
      </w:r>
      <w:r>
        <w:rPr>
          <w:rFonts w:hint="eastAsia" w:ascii="仿宋" w:hAnsi="仿宋" w:eastAsia="仿宋" w:cs="仿宋"/>
          <w:sz w:val="24"/>
        </w:rPr>
        <w:t>资金方面：一季度央行公开市场微量净投放820亿元，降准释放了接近6000-7000亿的资金，整体较去年四季度变化不大。银行间资金价格较去年四季度相比整体上行，R007均值2.35%，较上年四季度季度均值上行31bp。</w:t>
      </w:r>
      <w:r>
        <w:rPr>
          <w:rFonts w:hint="eastAsia" w:ascii="仿宋" w:hAnsi="仿宋" w:eastAsia="仿宋" w:cs="仿宋"/>
          <w:sz w:val="24"/>
        </w:rPr>
        <w:cr/>
      </w:r>
      <w:r>
        <w:rPr>
          <w:rFonts w:hint="eastAsia" w:ascii="仿宋" w:hAnsi="仿宋" w:eastAsia="仿宋" w:cs="仿宋"/>
          <w:sz w:val="24"/>
        </w:rPr>
        <w:t>整体而言，在一季度，产品适度降低杠杆，并择时投资长期限回购类资产，增厚底仓收益率。目前信用债利差仍处于历史较高水平，信用债短久期品种性价比凸显，管理人后续将结合市场情况，对产品持仓品种进行动态评估。</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4.2产品未来展望</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展望2023年2季度，基本面来看，社融数据出现季节性回升，贷款数据远超预期，高频数据看，地产下游销售数据也出现季节性回暖，但持续性依然有待观察；海外经济存在不确定性胀仍处于高位，信贷数据收缩，海外衰退预期上升；资金面来看，流动性合理充裕的基调仍将持续，但中枢上行。在一季度降准后，短期内降准预期会减弱，但预期市场利率依然会围绕政策利率波动，鉴于市场主体间流动性分层加剧，未来在税期、季末等时点资金价格波动或明显加剧。产品将继续通过久期控制，控制组合收益的波动性。拟通过不断拓展低波动资产，增加组合夏普率，并增加时点的回购类资产交易频率。</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4.3投资组合的流动性风险分析</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流动性风险是指理财产品无法通过变现资产等途径以合理成本及时获得充足资金，用于满足该理财产品的投资者赎回需求、履行其他支付义务的风险。本产品主要投资于货币市场工具、债券类资产及资管计划。产品所投资的货币市场工具及债券资产流动性状况良好，正常情况下能够及时变现资产，筹集资金，满足本产品的投资者赎回需求或其他支付要求。产品所投资资管计划运作规范，能够通过申赎安排满足本产品流动性需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4.4 报告期末穿透前投资组合分类</w:t>
      </w:r>
    </w:p>
    <w:tbl>
      <w:tblPr>
        <w:tblStyle w:val="9"/>
        <w:tblW w:w="9019" w:type="dxa"/>
        <w:tblInd w:w="-5" w:type="dxa"/>
        <w:tblLayout w:type="fixed"/>
        <w:tblCellMar>
          <w:top w:w="0" w:type="dxa"/>
          <w:left w:w="0" w:type="dxa"/>
          <w:bottom w:w="0" w:type="dxa"/>
          <w:right w:w="0" w:type="dxa"/>
        </w:tblCellMar>
      </w:tblPr>
      <w:tblGrid>
        <w:gridCol w:w="572"/>
        <w:gridCol w:w="5614"/>
        <w:gridCol w:w="2833"/>
      </w:tblGrid>
      <w:tr>
        <w:tblPrEx>
          <w:tblLayout w:type="fixed"/>
          <w:tblCellMar>
            <w:top w:w="0" w:type="dxa"/>
            <w:left w:w="0" w:type="dxa"/>
            <w:bottom w:w="0" w:type="dxa"/>
            <w:right w:w="0" w:type="dxa"/>
          </w:tblCellMar>
        </w:tblPrEx>
        <w:trPr>
          <w:trHeight w:val="415"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序号</w:t>
            </w:r>
          </w:p>
        </w:tc>
        <w:tc>
          <w:tcPr>
            <w:tcW w:w="5614"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项目</w:t>
            </w:r>
          </w:p>
        </w:tc>
        <w:tc>
          <w:tcPr>
            <w:tcW w:w="2833"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期末占总资产比例（％）</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现金及银行存款</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2.75%</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同业存单</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3</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拆放同业及债券买入返售</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31.81%</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4</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债券</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30.39%</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5</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非标准化债权类资产</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6</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权益类投资</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7</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金融衍生品</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8</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代客境外理财投资QDII</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9</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商品类资产</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10</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另类资产</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11</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公募基金</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12</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私募基金</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13</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资产管理产品</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35.05%</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14</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委外投资——协议方式</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15</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合计</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100.00%</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4.5 报告期末穿透后投资组合分类</w:t>
      </w:r>
    </w:p>
    <w:tbl>
      <w:tblPr>
        <w:tblStyle w:val="9"/>
        <w:tblW w:w="9019" w:type="dxa"/>
        <w:tblInd w:w="-5" w:type="dxa"/>
        <w:tblLayout w:type="fixed"/>
        <w:tblCellMar>
          <w:top w:w="0" w:type="dxa"/>
          <w:left w:w="0" w:type="dxa"/>
          <w:bottom w:w="0" w:type="dxa"/>
          <w:right w:w="0" w:type="dxa"/>
        </w:tblCellMar>
      </w:tblPr>
      <w:tblGrid>
        <w:gridCol w:w="572"/>
        <w:gridCol w:w="5647"/>
        <w:gridCol w:w="2800"/>
      </w:tblGrid>
      <w:tr>
        <w:tblPrEx>
          <w:tblLayout w:type="fixed"/>
          <w:tblCellMar>
            <w:top w:w="0" w:type="dxa"/>
            <w:left w:w="0" w:type="dxa"/>
            <w:bottom w:w="0" w:type="dxa"/>
            <w:right w:w="0" w:type="dxa"/>
          </w:tblCellMar>
        </w:tblPrEx>
        <w:trPr>
          <w:trHeight w:val="415" w:hRule="atLeast"/>
        </w:trPr>
        <w:tc>
          <w:tcPr>
            <w:tcW w:w="5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序号</w:t>
            </w:r>
          </w:p>
        </w:tc>
        <w:tc>
          <w:tcPr>
            <w:tcW w:w="564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highlight w:val="yellow"/>
              </w:rPr>
            </w:pPr>
            <w:r>
              <w:rPr>
                <w:rFonts w:hint="eastAsia" w:ascii="仿宋" w:hAnsi="仿宋" w:eastAsia="仿宋" w:cs="仿宋"/>
                <w:sz w:val="24"/>
              </w:rPr>
              <w:t>项目</w:t>
            </w:r>
          </w:p>
        </w:tc>
        <w:tc>
          <w:tcPr>
            <w:tcW w:w="280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期末占总资产比例（％）</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现金及银行存款</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4.79%</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2</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同业存单</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3</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拆放同业及债券买入返售</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33.09%</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4</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债券</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60.11%</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5</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非标准化债权类资产</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6</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权益类投资</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7</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金融衍生品</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8</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代客境外理财投资QDII</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9</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商品类资产</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10</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另类资产</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11</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公募基金</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2.02%</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12</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私募基金</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13</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资产管理产品</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14</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委外投资——协议方式</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15</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合计</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100.00%</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4.6报告期末投资前十名资产明细</w:t>
      </w:r>
    </w:p>
    <w:p>
      <w:pPr>
        <w:adjustRightInd w:val="0"/>
        <w:snapToGrid w:val="0"/>
        <w:spacing w:line="440" w:lineRule="exact"/>
        <w:ind w:firstLine="6240" w:firstLineChars="2600"/>
        <w:jc w:val="right"/>
        <w:rPr>
          <w:rFonts w:ascii="仿宋" w:hAnsi="仿宋" w:eastAsia="仿宋" w:cs="仿宋"/>
          <w:sz w:val="24"/>
        </w:rPr>
      </w:pPr>
      <w:r>
        <w:rPr>
          <w:rFonts w:hint="eastAsia" w:ascii="仿宋" w:hAnsi="仿宋" w:eastAsia="仿宋" w:cs="仿宋"/>
          <w:sz w:val="24"/>
        </w:rPr>
        <w:t>单位：人民币元</w:t>
      </w:r>
    </w:p>
    <w:tbl>
      <w:tblPr>
        <w:tblStyle w:val="9"/>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3772"/>
        <w:gridCol w:w="2340"/>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序号</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资产名称</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金额（元）</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占资产净值比例（％）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华润信托钱盈1号集合资金信托计划</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971,106,361.15</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粤财信托安盈稳利1号集合资金信托计划</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572,820,727.83</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质押式逆回购(009884)</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200,000,000.00</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4</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质押式逆回购(118087)</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200,000,000.00</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5</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质押式逆回购(016717)</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200,000,000.00</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6</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20国开07</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132,883,328.77</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7</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平安资产春风43号资产管理产品</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101,125,162.42</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8</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质押式逆回购(230001)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100,061,369.84</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9</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质押式逆回购(290002)</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100,015,616.44</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10</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质押式逆回购(300001)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100,007,671.23</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2.39%</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4.7 报告期融资情况</w:t>
      </w:r>
    </w:p>
    <w:p>
      <w:pPr>
        <w:adjustRightInd w:val="0"/>
        <w:snapToGrid w:val="0"/>
        <w:spacing w:line="440" w:lineRule="exact"/>
        <w:ind w:firstLine="6240" w:firstLineChars="2600"/>
        <w:jc w:val="right"/>
        <w:rPr>
          <w:rFonts w:ascii="仿宋" w:hAnsi="仿宋" w:eastAsia="仿宋" w:cs="仿宋"/>
          <w:sz w:val="24"/>
        </w:rPr>
      </w:pPr>
      <w:r>
        <w:rPr>
          <w:rFonts w:hint="eastAsia" w:ascii="仿宋" w:hAnsi="仿宋" w:eastAsia="仿宋" w:cs="仿宋"/>
          <w:sz w:val="24"/>
        </w:rPr>
        <w:t>单位：人民币元</w:t>
      </w:r>
    </w:p>
    <w:tbl>
      <w:tblPr>
        <w:tblStyle w:val="9"/>
        <w:tblW w:w="8999" w:type="dxa"/>
        <w:tblInd w:w="-5" w:type="dxa"/>
        <w:tblLayout w:type="fixed"/>
        <w:tblCellMar>
          <w:top w:w="0" w:type="dxa"/>
          <w:left w:w="30" w:type="dxa"/>
          <w:bottom w:w="0" w:type="dxa"/>
          <w:right w:w="30" w:type="dxa"/>
        </w:tblCellMar>
      </w:tblPr>
      <w:tblGrid>
        <w:gridCol w:w="632"/>
        <w:gridCol w:w="3167"/>
        <w:gridCol w:w="2433"/>
        <w:gridCol w:w="2767"/>
      </w:tblGrid>
      <w:tr>
        <w:tblPrEx>
          <w:tblLayout w:type="fixed"/>
          <w:tblCellMar>
            <w:top w:w="0" w:type="dxa"/>
            <w:left w:w="30" w:type="dxa"/>
            <w:bottom w:w="0" w:type="dxa"/>
            <w:right w:w="30" w:type="dxa"/>
          </w:tblCellMar>
        </w:tblPrEx>
        <w:trPr>
          <w:trHeight w:val="375" w:hRule="atLeast"/>
        </w:trPr>
        <w:tc>
          <w:tcPr>
            <w:tcW w:w="63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序号</w:t>
            </w:r>
          </w:p>
        </w:tc>
        <w:tc>
          <w:tcPr>
            <w:tcW w:w="316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项目</w:t>
            </w:r>
          </w:p>
        </w:tc>
        <w:tc>
          <w:tcPr>
            <w:tcW w:w="243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金额（元）</w:t>
            </w:r>
          </w:p>
        </w:tc>
        <w:tc>
          <w:tcPr>
            <w:tcW w:w="276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占资产净值比例（％）</w:t>
            </w:r>
          </w:p>
        </w:tc>
      </w:tr>
      <w:tr>
        <w:tblPrEx>
          <w:tblLayout w:type="fixed"/>
          <w:tblCellMar>
            <w:top w:w="0" w:type="dxa"/>
            <w:left w:w="30" w:type="dxa"/>
            <w:bottom w:w="0" w:type="dxa"/>
            <w:right w:w="30" w:type="dxa"/>
          </w:tblCellMar>
        </w:tblPrEx>
        <w:trPr>
          <w:trHeight w:val="295" w:hRule="atLeast"/>
        </w:trPr>
        <w:tc>
          <w:tcPr>
            <w:tcW w:w="63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31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报告期末质押式回购余额</w:t>
            </w:r>
          </w:p>
        </w:tc>
        <w:tc>
          <w:tcPr>
            <w:tcW w:w="24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185,025,342.46</w:t>
            </w:r>
          </w:p>
        </w:tc>
        <w:tc>
          <w:tcPr>
            <w:tcW w:w="2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4.42%</w:t>
            </w:r>
          </w:p>
        </w:tc>
      </w:tr>
      <w:tr>
        <w:tblPrEx>
          <w:tblLayout w:type="fixed"/>
          <w:tblCellMar>
            <w:top w:w="0" w:type="dxa"/>
            <w:left w:w="30" w:type="dxa"/>
            <w:bottom w:w="0" w:type="dxa"/>
            <w:right w:w="30" w:type="dxa"/>
          </w:tblCellMar>
        </w:tblPrEx>
        <w:trPr>
          <w:trHeight w:val="295" w:hRule="atLeast"/>
        </w:trPr>
        <w:tc>
          <w:tcPr>
            <w:tcW w:w="63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31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报告期末同业拆入余额</w:t>
            </w:r>
          </w:p>
        </w:tc>
        <w:tc>
          <w:tcPr>
            <w:tcW w:w="24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c>
          <w:tcPr>
            <w:tcW w:w="2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r>
      <w:tr>
        <w:tblPrEx>
          <w:tblLayout w:type="fixed"/>
          <w:tblCellMar>
            <w:top w:w="0" w:type="dxa"/>
            <w:left w:w="30" w:type="dxa"/>
            <w:bottom w:w="0" w:type="dxa"/>
            <w:right w:w="30" w:type="dxa"/>
          </w:tblCellMar>
        </w:tblPrEx>
        <w:trPr>
          <w:trHeight w:val="295" w:hRule="atLeast"/>
        </w:trPr>
        <w:tc>
          <w:tcPr>
            <w:tcW w:w="63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3</w:t>
            </w:r>
          </w:p>
        </w:tc>
        <w:tc>
          <w:tcPr>
            <w:tcW w:w="31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其他</w:t>
            </w:r>
          </w:p>
        </w:tc>
        <w:tc>
          <w:tcPr>
            <w:tcW w:w="24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c>
          <w:tcPr>
            <w:tcW w:w="2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r>
    </w:tbl>
    <w:p>
      <w:pPr>
        <w:adjustRightInd w:val="0"/>
        <w:snapToGrid w:val="0"/>
        <w:spacing w:line="440" w:lineRule="exact"/>
        <w:outlineLvl w:val="2"/>
        <w:rPr>
          <w:rFonts w:ascii="仿宋" w:hAnsi="仿宋" w:eastAsia="仿宋" w:cs="仿宋"/>
          <w:b/>
          <w:sz w:val="24"/>
        </w:rPr>
      </w:pPr>
      <w:bookmarkStart w:id="1" w:name="_Toc481074947"/>
      <w:r>
        <w:rPr>
          <w:rFonts w:hint="eastAsia" w:ascii="仿宋" w:hAnsi="仿宋" w:eastAsia="仿宋" w:cs="仿宋"/>
          <w:b/>
          <w:sz w:val="24"/>
        </w:rPr>
        <w:t>4.8报告期末投资非标准化债权资产</w:t>
      </w:r>
      <w:bookmarkEnd w:id="1"/>
      <w:r>
        <w:rPr>
          <w:rFonts w:hint="eastAsia" w:ascii="仿宋" w:hAnsi="仿宋" w:eastAsia="仿宋" w:cs="仿宋"/>
          <w:b/>
          <w:sz w:val="24"/>
        </w:rPr>
        <w:t>情况</w:t>
      </w:r>
    </w:p>
    <w:p>
      <w:pPr>
        <w:adjustRightInd w:val="0"/>
        <w:snapToGrid w:val="0"/>
        <w:spacing w:line="380" w:lineRule="exact"/>
        <w:ind w:firstLine="6720" w:firstLineChars="2800"/>
        <w:rPr>
          <w:rFonts w:ascii="仿宋" w:hAnsi="仿宋" w:eastAsia="仿宋" w:cs="仿宋"/>
          <w:sz w:val="24"/>
        </w:rPr>
      </w:pPr>
      <w:r>
        <w:rPr>
          <w:rFonts w:hint="eastAsia" w:ascii="仿宋" w:hAnsi="仿宋" w:eastAsia="仿宋" w:cs="仿宋"/>
          <w:sz w:val="24"/>
        </w:rPr>
        <w:t>单位：人民币元</w:t>
      </w:r>
    </w:p>
    <w:tbl>
      <w:tblPr>
        <w:tblStyle w:val="9"/>
        <w:tblW w:w="8994"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330"/>
        <w:gridCol w:w="1569"/>
        <w:gridCol w:w="1041"/>
        <w:gridCol w:w="1833"/>
        <w:gridCol w:w="802"/>
        <w:gridCol w:w="970"/>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 xml:space="preserve">序号 </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融资客户</w:t>
            </w:r>
          </w:p>
        </w:tc>
        <w:tc>
          <w:tcPr>
            <w:tcW w:w="15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项目名称</w:t>
            </w: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资产到期日</w:t>
            </w:r>
          </w:p>
        </w:tc>
        <w:tc>
          <w:tcPr>
            <w:tcW w:w="18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资产价值（元）</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交易结构</w:t>
            </w: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color w:val="FF0000"/>
                <w:sz w:val="24"/>
              </w:rPr>
            </w:pPr>
            <w:r>
              <w:rPr>
                <w:rFonts w:hint="eastAsia" w:ascii="仿宋" w:hAnsi="仿宋" w:eastAsia="仿宋" w:cs="仿宋"/>
                <w:sz w:val="24"/>
              </w:rPr>
              <w:t>收益分配方式</w:t>
            </w:r>
          </w:p>
        </w:tc>
        <w:tc>
          <w:tcPr>
            <w:tcW w:w="8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风险状况</w:t>
            </w:r>
          </w:p>
        </w:tc>
      </w:tr>
    </w:tbl>
    <w:p>
      <w:pPr>
        <w:adjustRightInd w:val="0"/>
        <w:snapToGrid w:val="0"/>
        <w:spacing w:line="380" w:lineRule="exact"/>
        <w:rPr>
          <w:rFonts w:ascii="仿宋" w:hAnsi="仿宋" w:eastAsia="仿宋" w:cs="仿宋"/>
          <w:color w:val="0000FF"/>
          <w:kern w:val="0"/>
          <w:sz w:val="24"/>
          <w:highlight w:val="yellow"/>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§5  产品份额变动</w:t>
      </w:r>
    </w:p>
    <w:p>
      <w:pPr>
        <w:adjustRightInd w:val="0"/>
        <w:snapToGrid w:val="0"/>
        <w:spacing w:line="440" w:lineRule="exact"/>
        <w:ind w:firstLine="6240" w:firstLineChars="2600"/>
        <w:jc w:val="right"/>
        <w:rPr>
          <w:rFonts w:ascii="仿宋" w:hAnsi="仿宋" w:eastAsia="仿宋" w:cs="仿宋"/>
          <w:sz w:val="24"/>
        </w:rPr>
      </w:pPr>
      <w:r>
        <w:rPr>
          <w:rFonts w:hint="eastAsia" w:ascii="仿宋" w:hAnsi="仿宋" w:eastAsia="仿宋" w:cs="仿宋"/>
          <w:sz w:val="24"/>
        </w:rPr>
        <w:t>单位：份</w:t>
      </w:r>
    </w:p>
    <w:tbl>
      <w:tblPr>
        <w:tblStyle w:val="9"/>
        <w:tblW w:w="8987"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1"/>
        <w:gridCol w:w="4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s="仿宋"/>
                <w:color w:val="000000"/>
                <w:sz w:val="24"/>
              </w:rPr>
            </w:pPr>
            <w:r>
              <w:rPr>
                <w:rFonts w:hint="eastAsia" w:ascii="仿宋" w:hAnsi="仿宋" w:eastAsia="仿宋" w:cs="仿宋"/>
                <w:color w:val="000000"/>
                <w:sz w:val="24"/>
              </w:rPr>
              <w:t>报告期期初产品份额总额</w:t>
            </w:r>
          </w:p>
        </w:tc>
        <w:tc>
          <w:tcPr>
            <w:tcW w:w="4596" w:type="dxa"/>
            <w:tcBorders>
              <w:top w:val="single" w:color="auto" w:sz="4" w:space="0"/>
              <w:left w:val="single" w:color="auto" w:sz="4" w:space="0"/>
              <w:bottom w:val="single" w:color="auto" w:sz="4" w:space="0"/>
              <w:right w:val="single" w:color="auto" w:sz="4" w:space="0"/>
            </w:tcBorders>
          </w:tcPr>
          <w:p>
            <w:pPr>
              <w:adjustRightInd w:val="0"/>
              <w:snapToGrid w:val="0"/>
              <w:jc w:val="right"/>
              <w:rPr>
                <w:rFonts w:ascii="仿宋" w:hAnsi="仿宋" w:eastAsia="仿宋" w:cs="仿宋"/>
                <w:color w:val="000000"/>
                <w:sz w:val="24"/>
              </w:rPr>
            </w:pPr>
            <w:r>
              <w:rPr>
                <w:rFonts w:hint="eastAsia" w:ascii="仿宋" w:hAnsi="仿宋" w:eastAsia="仿宋" w:cs="仿宋"/>
                <w:color w:val="000000"/>
                <w:sz w:val="24"/>
              </w:rPr>
              <w:t>4,363,590,643.88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s="仿宋"/>
                <w:color w:val="000000"/>
                <w:sz w:val="24"/>
              </w:rPr>
            </w:pPr>
            <w:r>
              <w:rPr>
                <w:rFonts w:hint="eastAsia" w:ascii="仿宋" w:hAnsi="仿宋" w:eastAsia="仿宋" w:cs="仿宋"/>
                <w:color w:val="000000"/>
                <w:sz w:val="24"/>
              </w:rPr>
              <w:t>报告期期末产品份额总额</w:t>
            </w:r>
          </w:p>
        </w:tc>
        <w:tc>
          <w:tcPr>
            <w:tcW w:w="4596" w:type="dxa"/>
            <w:tcBorders>
              <w:top w:val="single" w:color="auto" w:sz="4" w:space="0"/>
              <w:left w:val="single" w:color="auto" w:sz="4" w:space="0"/>
              <w:bottom w:val="single" w:color="auto" w:sz="4" w:space="0"/>
              <w:right w:val="single" w:color="auto" w:sz="4" w:space="0"/>
            </w:tcBorders>
          </w:tcPr>
          <w:p>
            <w:pPr>
              <w:adjustRightInd w:val="0"/>
              <w:snapToGrid w:val="0"/>
              <w:jc w:val="right"/>
              <w:rPr>
                <w:rFonts w:ascii="仿宋" w:hAnsi="仿宋" w:eastAsia="仿宋" w:cs="仿宋"/>
                <w:color w:val="000000"/>
                <w:sz w:val="24"/>
              </w:rPr>
            </w:pPr>
            <w:r>
              <w:rPr>
                <w:rFonts w:hint="eastAsia" w:ascii="仿宋" w:hAnsi="仿宋" w:eastAsia="仿宋" w:cs="仿宋"/>
                <w:color w:val="000000"/>
                <w:sz w:val="24"/>
              </w:rPr>
              <w:t>3,970,457,446.53</w:t>
            </w:r>
          </w:p>
        </w:tc>
      </w:tr>
    </w:tbl>
    <w:p>
      <w:pPr>
        <w:widowControl/>
        <w:adjustRightInd w:val="0"/>
        <w:snapToGrid w:val="0"/>
        <w:jc w:val="left"/>
        <w:rPr>
          <w:rFonts w:ascii="仿宋" w:hAnsi="仿宋" w:eastAsia="仿宋" w:cs="仿宋"/>
          <w:color w:val="404040"/>
          <w:kern w:val="0"/>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§6 托管人报告</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本托管人复核了本产品报告中的财务指标、净值表现和投资组合报告等内容。经复核，本产品报告中披露的理财产品财务数据核对一致。</w:t>
      </w:r>
    </w:p>
    <w:p>
      <w:pPr>
        <w:adjustRightInd w:val="0"/>
        <w:snapToGrid w:val="0"/>
        <w:rPr>
          <w:rFonts w:ascii="仿宋" w:hAnsi="仿宋" w:eastAsia="仿宋" w:cs="仿宋"/>
          <w:bCs/>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§7 报告期内关联交易情况</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7.1 产品投资于关联方发行或承销的证券、资产管理产品，或其他关联交易</w:t>
      </w:r>
    </w:p>
    <w:p>
      <w:pPr>
        <w:adjustRightInd w:val="0"/>
        <w:snapToGrid w:val="0"/>
        <w:spacing w:line="440" w:lineRule="exact"/>
        <w:ind w:firstLine="6240" w:firstLineChars="2600"/>
        <w:jc w:val="right"/>
        <w:rPr>
          <w:rFonts w:ascii="仿宋" w:hAnsi="仿宋" w:eastAsia="仿宋" w:cs="仿宋"/>
          <w:b/>
          <w:sz w:val="24"/>
        </w:rPr>
      </w:pPr>
      <w:r>
        <w:rPr>
          <w:rFonts w:hint="eastAsia" w:ascii="仿宋" w:hAnsi="仿宋" w:eastAsia="仿宋" w:cs="仿宋"/>
          <w:sz w:val="24"/>
        </w:rPr>
        <w:t>单位：元、份</w:t>
      </w:r>
    </w:p>
    <w:tbl>
      <w:tblPr>
        <w:tblStyle w:val="10"/>
        <w:tblW w:w="8994"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4"/>
        <w:gridCol w:w="1605"/>
        <w:gridCol w:w="1401"/>
        <w:gridCol w:w="791"/>
        <w:gridCol w:w="754"/>
        <w:gridCol w:w="1904"/>
        <w:gridCol w:w="1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3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序号</w:t>
            </w:r>
          </w:p>
        </w:tc>
        <w:tc>
          <w:tcPr>
            <w:tcW w:w="16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关联方</w:t>
            </w:r>
          </w:p>
        </w:tc>
        <w:tc>
          <w:tcPr>
            <w:tcW w:w="140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资产名称</w:t>
            </w:r>
          </w:p>
        </w:tc>
        <w:tc>
          <w:tcPr>
            <w:tcW w:w="79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资产类型</w:t>
            </w:r>
          </w:p>
        </w:tc>
        <w:tc>
          <w:tcPr>
            <w:tcW w:w="75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交易类型</w:t>
            </w:r>
          </w:p>
        </w:tc>
        <w:tc>
          <w:tcPr>
            <w:tcW w:w="190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交易金额（元）</w:t>
            </w:r>
          </w:p>
        </w:tc>
        <w:tc>
          <w:tcPr>
            <w:tcW w:w="19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份额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63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1</w:t>
            </w:r>
          </w:p>
        </w:tc>
        <w:tc>
          <w:tcPr>
            <w:tcW w:w="16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杭州银行股份有限公司</w:t>
            </w:r>
          </w:p>
        </w:tc>
        <w:tc>
          <w:tcPr>
            <w:tcW w:w="140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22溧水产投PPN001</w:t>
            </w:r>
          </w:p>
        </w:tc>
        <w:tc>
          <w:tcPr>
            <w:tcW w:w="79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债券</w:t>
            </w:r>
          </w:p>
        </w:tc>
        <w:tc>
          <w:tcPr>
            <w:tcW w:w="75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卖出</w:t>
            </w:r>
          </w:p>
        </w:tc>
        <w:tc>
          <w:tcPr>
            <w:tcW w:w="190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20,000,000.00</w:t>
            </w:r>
          </w:p>
        </w:tc>
        <w:tc>
          <w:tcPr>
            <w:tcW w:w="19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200,000.00</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7.2 产品向关联方支付的费用</w:t>
      </w:r>
    </w:p>
    <w:tbl>
      <w:tblPr>
        <w:tblStyle w:val="10"/>
        <w:tblW w:w="8994"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2958"/>
        <w:gridCol w:w="2202"/>
        <w:gridCol w:w="3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4" w:type="dxa"/>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序号</w:t>
            </w:r>
          </w:p>
        </w:tc>
        <w:tc>
          <w:tcPr>
            <w:tcW w:w="2958"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关联方</w:t>
            </w:r>
          </w:p>
        </w:tc>
        <w:tc>
          <w:tcPr>
            <w:tcW w:w="2202"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费用类型</w:t>
            </w:r>
          </w:p>
        </w:tc>
        <w:tc>
          <w:tcPr>
            <w:tcW w:w="3140"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交易金额（元）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7" w:hRule="atLeast"/>
        </w:trPr>
        <w:tc>
          <w:tcPr>
            <w:tcW w:w="694" w:type="dxa"/>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1</w:t>
            </w:r>
          </w:p>
        </w:tc>
        <w:tc>
          <w:tcPr>
            <w:tcW w:w="2958"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杭州银行股份有限公司</w:t>
            </w:r>
          </w:p>
        </w:tc>
        <w:tc>
          <w:tcPr>
            <w:tcW w:w="2202"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托管费</w:t>
            </w:r>
          </w:p>
        </w:tc>
        <w:tc>
          <w:tcPr>
            <w:tcW w:w="3140"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273,358.90</w:t>
            </w:r>
          </w:p>
        </w:tc>
      </w:tr>
    </w:tbl>
    <w:p>
      <w:pPr>
        <w:widowControl/>
        <w:adjustRightInd w:val="0"/>
        <w:snapToGrid w:val="0"/>
        <w:ind w:firstLine="480" w:firstLineChars="200"/>
        <w:jc w:val="left"/>
        <w:rPr>
          <w:rFonts w:ascii="仿宋" w:hAnsi="仿宋" w:eastAsia="仿宋" w:cs="仿宋"/>
          <w:color w:val="404040"/>
          <w:kern w:val="0"/>
          <w:sz w:val="24"/>
        </w:rPr>
      </w:pPr>
    </w:p>
    <w:p>
      <w:pPr>
        <w:widowControl/>
        <w:adjustRightInd w:val="0"/>
        <w:snapToGrid w:val="0"/>
        <w:ind w:firstLine="480" w:firstLineChars="200"/>
        <w:jc w:val="left"/>
        <w:rPr>
          <w:rFonts w:ascii="仿宋" w:hAnsi="仿宋" w:eastAsia="仿宋" w:cs="仿宋"/>
          <w:color w:val="404040"/>
          <w:kern w:val="0"/>
          <w:sz w:val="24"/>
        </w:rPr>
      </w:pPr>
    </w:p>
    <w:p>
      <w:pPr>
        <w:ind w:left="360"/>
        <w:jc w:val="right"/>
        <w:rPr>
          <w:rFonts w:ascii="仿宋" w:hAnsi="仿宋" w:eastAsia="仿宋" w:cs="仿宋"/>
          <w:sz w:val="24"/>
        </w:rPr>
      </w:pPr>
    </w:p>
    <w:p>
      <w:pPr>
        <w:ind w:left="360"/>
        <w:jc w:val="right"/>
        <w:rPr>
          <w:rFonts w:ascii="仿宋" w:hAnsi="仿宋" w:eastAsia="仿宋" w:cs="仿宋"/>
          <w:sz w:val="24"/>
        </w:rPr>
      </w:pPr>
      <w:r>
        <w:rPr>
          <w:rFonts w:hint="eastAsia" w:ascii="仿宋" w:hAnsi="仿宋" w:eastAsia="仿宋" w:cs="仿宋"/>
          <w:sz w:val="24"/>
        </w:rPr>
        <w:t>杭银理财有限责任公司</w:t>
      </w:r>
    </w:p>
    <w:p>
      <w:pPr>
        <w:jc w:val="right"/>
        <w:rPr>
          <w:sz w:val="24"/>
        </w:rPr>
      </w:pPr>
      <w:r>
        <w:rPr>
          <w:rFonts w:hint="eastAsia" w:ascii="仿宋" w:hAnsi="仿宋" w:eastAsia="仿宋" w:cs="仿宋"/>
          <w:sz w:val="24"/>
        </w:rPr>
        <w:t>2023年4月19日</w:t>
      </w:r>
    </w:p>
    <w:p/>
    <w:p/>
    <w:sectPr>
      <w:headerReference r:id="rId3" w:type="default"/>
      <w:pgSz w:w="11906" w:h="16838"/>
      <w:pgMar w:top="2551" w:right="1803" w:bottom="2551"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仿宋简体">
    <w:altName w:val="宋体"/>
    <w:panose1 w:val="00000000000000000000"/>
    <w:charset w:val="86"/>
    <w:family w:val="roman"/>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AE81611"/>
    <w:rsid w:val="5D512382"/>
    <w:rsid w:val="637D7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2"/>
    <w:unhideWhenUsed/>
    <w:qFormat/>
    <w:uiPriority w:val="0"/>
    <w:pPr>
      <w:keepNext/>
      <w:keepLines/>
      <w:spacing w:line="400" w:lineRule="exact"/>
      <w:jc w:val="left"/>
      <w:outlineLvl w:val="1"/>
    </w:pPr>
    <w:rPr>
      <w:rFonts w:ascii="Arial" w:hAnsi="Arial" w:eastAsia="宋体"/>
      <w:b/>
    </w:rPr>
  </w:style>
  <w:style w:type="paragraph" w:styleId="3">
    <w:name w:val="heading 3"/>
    <w:basedOn w:val="1"/>
    <w:next w:val="1"/>
    <w:link w:val="13"/>
    <w:unhideWhenUsed/>
    <w:qFormat/>
    <w:uiPriority w:val="0"/>
    <w:pPr>
      <w:keepNext/>
      <w:keepLines/>
      <w:spacing w:line="400" w:lineRule="exact"/>
      <w:jc w:val="left"/>
      <w:outlineLvl w:val="2"/>
    </w:pPr>
    <w:rPr>
      <w:rFonts w:ascii="Times New Roman" w:hAnsi="Times New Roman" w:eastAsia="宋体"/>
      <w:b/>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4">
    <w:name w:val="Body Text"/>
    <w:basedOn w:val="1"/>
    <w:link w:val="14"/>
    <w:unhideWhenUsed/>
    <w:qFormat/>
    <w:uiPriority w:val="0"/>
    <w:pPr>
      <w:spacing w:after="120"/>
    </w:pPr>
    <w:rPr>
      <w:rFonts w:ascii="Times New Roman" w:hAnsi="Times New Roman" w:eastAsia="方正仿宋简体" w:cs="Times New Roman"/>
      <w:sz w:val="32"/>
      <w:szCs w:val="20"/>
    </w:rPr>
  </w:style>
  <w:style w:type="paragraph" w:styleId="5">
    <w:name w:val="Balloon Text"/>
    <w:basedOn w:val="1"/>
    <w:link w:val="17"/>
    <w:semiHidden/>
    <w:unhideWhenUsed/>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0"/>
    <w:pPr>
      <w:widowControl/>
      <w:spacing w:before="100" w:beforeAutospacing="1" w:after="100" w:afterAutospacing="1"/>
    </w:pPr>
    <w:rPr>
      <w:rFonts w:ascii="宋体" w:hAnsi="宋体" w:eastAsia="宋体" w:cs="Times New Roman"/>
      <w:kern w:val="0"/>
      <w:sz w:val="24"/>
      <w:szCs w:val="20"/>
    </w:rPr>
  </w:style>
  <w:style w:type="table" w:styleId="10">
    <w:name w:val="Table Grid"/>
    <w:basedOn w:val="9"/>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2">
    <w:name w:val="标题 2 字符"/>
    <w:basedOn w:val="11"/>
    <w:link w:val="2"/>
    <w:qFormat/>
    <w:uiPriority w:val="0"/>
    <w:rPr>
      <w:rFonts w:ascii="Arial" w:hAnsi="Arial" w:eastAsia="宋体"/>
      <w:b/>
    </w:rPr>
  </w:style>
  <w:style w:type="character" w:customStyle="1" w:styleId="13">
    <w:name w:val="标题 3 字符"/>
    <w:basedOn w:val="11"/>
    <w:link w:val="3"/>
    <w:qFormat/>
    <w:uiPriority w:val="0"/>
    <w:rPr>
      <w:rFonts w:ascii="Times New Roman" w:hAnsi="Times New Roman" w:eastAsia="宋体"/>
      <w:b/>
    </w:rPr>
  </w:style>
  <w:style w:type="character" w:customStyle="1" w:styleId="14">
    <w:name w:val="正文文本 字符"/>
    <w:basedOn w:val="11"/>
    <w:link w:val="4"/>
    <w:qFormat/>
    <w:uiPriority w:val="0"/>
    <w:rPr>
      <w:rFonts w:ascii="Times New Roman" w:hAnsi="Times New Roman" w:eastAsia="方正仿宋简体" w:cs="Times New Roman"/>
      <w:sz w:val="32"/>
      <w:szCs w:val="20"/>
    </w:rPr>
  </w:style>
  <w:style w:type="character" w:customStyle="1" w:styleId="15">
    <w:name w:val="页眉 字符"/>
    <w:basedOn w:val="11"/>
    <w:link w:val="7"/>
    <w:uiPriority w:val="0"/>
    <w:rPr>
      <w:sz w:val="18"/>
    </w:rPr>
  </w:style>
  <w:style w:type="character" w:customStyle="1" w:styleId="16">
    <w:name w:val="页脚 字符"/>
    <w:basedOn w:val="11"/>
    <w:link w:val="6"/>
    <w:uiPriority w:val="99"/>
    <w:rPr>
      <w:kern w:val="2"/>
      <w:sz w:val="18"/>
      <w:szCs w:val="18"/>
    </w:rPr>
  </w:style>
  <w:style w:type="character" w:customStyle="1" w:styleId="17">
    <w:name w:val="批注框文本 字符"/>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365</Words>
  <Characters>2082</Characters>
  <Lines>17</Lines>
  <Paragraphs>4</Paragraphs>
  <TotalTime>1</TotalTime>
  <ScaleCrop>false</ScaleCrop>
  <LinksUpToDate>false</LinksUpToDate>
  <CharactersWithSpaces>2443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2023-04-13T06:44:00Z</dcterms:created>
  <dc:creator>s c</dc:creator>
  <cp:lastModifiedBy>未定义</cp:lastModifiedBy>
  <dcterms:modified xsi:type="dcterms:W3CDTF">2023-04-19T03:12:41Z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2052-11.8.2.8411</vt:lpwstr>
  </property>
</Properties>
</file>