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Pr>
        <w:pStyle w:val="2"/>
        <w:keepNext w:val="0"/>
        <w:keepLines w:val="0"/>
        <w:autoSpaceDE w:val="0"/>
        <w:autoSpaceDN w:val="0"/>
        <w:spacing w:before="220" w:line="240" w:lineRule="auto"/>
        <w:jc w:val="center"/>
        <w:rPr>
          <w:rFonts w:ascii="仿宋_GB2312" w:hAnsi="仿宋_GB2312" w:eastAsia="仿宋_GB2312" w:cs="仿宋_GB2312"/>
          <w:bCs/>
          <w:kern w:val="0"/>
          <w:sz w:val="52"/>
          <w:szCs w:val="52"/>
          <w:lang w:bidi="zh-CN"/>
        </w:rPr>
      </w:pPr>
      <w:r>
        <w:rPr>
          <w:rFonts w:hint="eastAsia" w:ascii="仿宋_GB2312" w:hAnsi="仿宋_GB2312" w:eastAsia="仿宋_GB2312" w:cs="仿宋_GB2312"/>
          <w:bCs/>
          <w:kern w:val="0"/>
          <w:sz w:val="52"/>
          <w:szCs w:val="52"/>
          <w:lang w:bidi="zh-CN"/>
        </w:rPr>
        <w:t>季添益1913期</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年第1季度报告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2023年4月19日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§1  重要提示</w:t>
      </w: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2023年3月31日</w:t>
            </w:r>
            <w:r>
              <w:rPr>
                <w:rFonts w:hint="eastAsia" w:ascii="仿宋" w:hAnsi="仿宋" w:eastAsia="仿宋" w:cs="仿宋"/>
                <w:color w:val="404040"/>
                <w:kern w:val="0"/>
                <w:sz w:val="24"/>
              </w:rPr>
              <w:t>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2023年1月1日</w:t>
            </w:r>
            <w:r>
              <w:rPr>
                <w:rFonts w:hint="eastAsia" w:ascii="仿宋" w:hAnsi="仿宋" w:eastAsia="仿宋" w:cs="仿宋"/>
                <w:color w:val="404040"/>
                <w:kern w:val="0"/>
                <w:sz w:val="24"/>
              </w:rPr>
              <w:t>起至</w:t>
            </w:r>
            <w:r>
              <w:rPr>
                <w:rFonts w:ascii="仿宋" w:hAnsi="仿宋" w:eastAsia="仿宋" w:cs="仿宋"/>
                <w:color w:val="404040"/>
                <w:sz w:val="24"/>
              </w:rPr>
              <w:t>2023年3月31日</w:t>
            </w:r>
            <w:r>
              <w:rPr>
                <w:rFonts w:hint="eastAsia" w:ascii="仿宋" w:hAnsi="仿宋" w:eastAsia="仿宋" w:cs="仿宋"/>
                <w:color w:val="404040"/>
                <w:kern w:val="0"/>
                <w:sz w:val="24"/>
              </w:rPr>
              <w:t>止。</w:t>
            </w:r>
          </w:p>
        </w:tc>
      </w:tr>
    </w:tbl>
    <w:p>
      <w:pPr>
        <w:rPr>
          <w:rStyle w:val="14"/>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§2  产品概况</w:t>
      </w:r>
    </w:p>
    <w:p>
      <w:pPr>
        <w:adjustRightInd w:val="0"/>
        <w:snapToGrid w:val="0"/>
        <w:spacing w:line="440" w:lineRule="exact"/>
        <w:outlineLvl w:val="2"/>
        <w:rPr>
          <w:rFonts w:ascii="仿宋" w:hAnsi="仿宋" w:eastAsia="仿宋" w:cs="仿宋"/>
          <w:b/>
          <w:sz w:val="24"/>
        </w:rPr>
      </w:pPr>
      <w:bookmarkStart w:id="0" w:name="_Toc354129567"/>
      <w:r>
        <w:rPr>
          <w:rFonts w:hint="eastAsia" w:ascii="仿宋" w:hAnsi="仿宋" w:eastAsia="仿宋" w:cs="仿宋"/>
          <w:b/>
          <w:sz w:val="24"/>
        </w:rPr>
        <w:t>2.1 产品基本情况</w:t>
      </w:r>
      <w:bookmarkEnd w:id="0"/>
    </w:p>
    <w:tbl>
      <w:tblPr>
        <w:tblStyle w:val="1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季添益1913期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TYG3M1913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2019年8月21日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3.00%-3.80%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626,878,012.39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§3  主要财务指标和产品净值表现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3.1 主要财务指标和产品净值表现</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407"/>
        <w:gridCol w:w="99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2023年1月1日</w:t>
            </w:r>
            <w:r>
              <w:rPr>
                <w:rFonts w:hint="eastAsia" w:ascii="仿宋" w:hAnsi="仿宋" w:eastAsia="仿宋" w:cs="仿宋"/>
                <w:color w:val="000000"/>
                <w:kern w:val="0"/>
                <w:sz w:val="24"/>
              </w:rPr>
              <w:t>-</w:t>
            </w:r>
            <w:r>
              <w:rPr>
                <w:rFonts w:ascii="仿宋" w:hAnsi="仿宋" w:eastAsia="仿宋" w:cs="仿宋"/>
                <w:color w:val="000000"/>
                <w:sz w:val="24"/>
              </w:rPr>
              <w:t>2023年3月31日</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626,878,012.39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549,254,074.65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季添益1913期</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TYG3M1913</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1.1411</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1.1411</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510,610,010.63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季添益1913期B款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TYG3M1913B</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1.1421</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1.1421</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91,551,163.15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季添益1913期C款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TYG3M1913C</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1.1420</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1.1420</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24,716,838.61</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季添益1913期</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3.90</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季添益1913期B款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3.93</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季添益1913期C款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3.93</w:t>
            </w:r>
            <w:r>
              <w:rPr>
                <w:rFonts w:ascii="仿宋" w:hAnsi="仿宋" w:eastAsia="仿宋" w:cs="仿宋"/>
                <w:sz w:val="24"/>
              </w:rPr>
              <w:t>%</w:t>
            </w:r>
          </w:p>
        </w:tc>
      </w:tr>
    </w:tbl>
    <w:p>
      <w:pPr>
        <w:adjustRightInd w:val="0"/>
        <w:snapToGrid w:val="0"/>
        <w:rPr>
          <w:rFonts w:ascii="仿宋" w:hAnsi="仿宋" w:eastAsia="仿宋" w:cs="仿宋"/>
          <w:color w:val="404040"/>
          <w:kern w:val="0"/>
          <w:sz w:val="24"/>
        </w:rPr>
      </w:pPr>
    </w:p>
    <w:p>
      <w:pPr>
        <w:adjustRightInd w:val="0"/>
        <w:snapToGrid w:val="0"/>
        <w:rPr>
          <w:rFonts w:hint="eastAsia"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§4  投资组合报告</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4.1 报告期内产品投资策略回顾</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4.2产品未来展望</w:t>
      </w:r>
    </w:p>
    <w:p>
      <w:pPr>
        <w:adjustRightInd w:val="0"/>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本产品以主要投资于债券等固定收益类资产。信用债投资方面，在严格把控信用风险的前提下，挖掘个券的超额收益机会；利率债和同业存单投资方面，继续保持灵活适度操作，择机参与波段机会。</w:t>
      </w:r>
      <w:bookmarkStart w:id="2" w:name="_GoBack"/>
      <w:bookmarkEnd w:id="2"/>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4.3投资组合的流动性风险分析</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4.4 报告期末穿透前投资组合分类</w:t>
      </w:r>
    </w:p>
    <w:tbl>
      <w:tblPr>
        <w:tblStyle w:val="10"/>
        <w:tblW w:w="9019" w:type="dxa"/>
        <w:tblInd w:w="-5" w:type="dxa"/>
        <w:tblLayout w:type="fixed"/>
        <w:tblCellMar>
          <w:top w:w="0" w:type="dxa"/>
          <w:left w:w="0" w:type="dxa"/>
          <w:bottom w:w="0" w:type="dxa"/>
          <w:right w:w="0" w:type="dxa"/>
        </w:tblCellMar>
      </w:tblPr>
      <w:tblGrid>
        <w:gridCol w:w="572"/>
        <w:gridCol w:w="5614"/>
        <w:gridCol w:w="2833"/>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14"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833"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0.13%</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74.36%</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4.70%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20.82%</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4.5 报告期末穿透后投资组合分类</w:t>
      </w:r>
    </w:p>
    <w:tbl>
      <w:tblPr>
        <w:tblStyle w:val="10"/>
        <w:tblW w:w="9019" w:type="dxa"/>
        <w:tblInd w:w="-5" w:type="dxa"/>
        <w:tblLayout w:type="fixed"/>
        <w:tblCellMar>
          <w:top w:w="0" w:type="dxa"/>
          <w:left w:w="0" w:type="dxa"/>
          <w:bottom w:w="0" w:type="dxa"/>
          <w:right w:w="0" w:type="dxa"/>
        </w:tblCellMar>
      </w:tblPr>
      <w:tblGrid>
        <w:gridCol w:w="572"/>
        <w:gridCol w:w="5647"/>
        <w:gridCol w:w="2800"/>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4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highlight w:val="yellow"/>
              </w:rPr>
            </w:pPr>
            <w:r>
              <w:rPr>
                <w:rFonts w:hint="eastAsia" w:ascii="仿宋" w:hAnsi="仿宋" w:eastAsia="仿宋" w:cs="仿宋"/>
                <w:sz w:val="24"/>
              </w:rPr>
              <w:t>项目</w:t>
            </w:r>
          </w:p>
        </w:tc>
        <w:tc>
          <w:tcPr>
            <w:tcW w:w="28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现金及银行存款</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0.35%</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同业存单</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拆放同业及债券买入返售</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0.52%</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债券</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94.43%</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非标准化债权类资产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权益类投资</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4.70%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7</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金融衍生品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代客境外理财投资QDII</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商品类资产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另类资产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公募基金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私募基金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资产管理产品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委外投资——协议方式</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合计</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4.6报告期末投资前十名资产明细</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华润信托钱盈1号集合资金信托计划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132,515,868.20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21盐控02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51,530,835.62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21圆宏控股PPN001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41,028,876.71</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20舟海01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40,560,854.79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22文蓝01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38,264,082.19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19铸康债</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31,455,452.06</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20富阳开发PPN001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20,582,794.52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20九联02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20,553,808.22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21南浦口MTN003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20,509,019.18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22龙控CP001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20,248,712.33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3.23%</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4.7 报告期融资情况</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8,001,621.92</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1.28%</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 w:name="_Toc481074947"/>
      <w:r>
        <w:rPr>
          <w:rFonts w:hint="eastAsia" w:ascii="仿宋" w:hAnsi="仿宋" w:eastAsia="仿宋" w:cs="仿宋"/>
          <w:b/>
          <w:sz w:val="24"/>
        </w:rPr>
        <w:t>4.8报告期末投资非标准化债权资产</w:t>
      </w:r>
      <w:bookmarkEnd w:id="1"/>
      <w:r>
        <w:rPr>
          <w:rFonts w:hint="eastAsia" w:ascii="仿宋" w:hAnsi="仿宋" w:eastAsia="仿宋" w:cs="仿宋"/>
          <w:b/>
          <w:sz w:val="24"/>
        </w:rPr>
        <w:t>情况</w:t>
      </w:r>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10"/>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§5  产品份额变动</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0"/>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907,564,205.44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549,254,074.65</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§6 托管人报告</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§7 报告期内关联交易情况</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7.1 产品投资于关联方发行或承销的证券、资产管理产品，或其他关联交易</w:t>
      </w:r>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21振东新投PPN002</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买入</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20,297,687.40</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21振东新投PPN002</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20,349,236.16</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7.2 产品向关联方支付的费用</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69,700.88</w:t>
            </w:r>
          </w:p>
        </w:tc>
      </w:tr>
    </w:tbl>
    <w:p>
      <w:pPr>
        <w:widowControl/>
        <w:adjustRightInd w:val="0"/>
        <w:snapToGrid w:val="0"/>
        <w:ind w:firstLine="480" w:firstLineChars="200"/>
        <w:jc w:val="left"/>
        <w:rPr>
          <w:rFonts w:ascii="仿宋" w:hAnsi="仿宋" w:eastAsia="仿宋" w:cs="仿宋"/>
          <w:color w:val="404040"/>
          <w:kern w:val="0"/>
          <w:sz w:val="24"/>
        </w:rPr>
      </w:pPr>
    </w:p>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2023年4月19日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14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3"/>
    <w:unhideWhenUsed/>
    <w:qFormat/>
    <w:uiPriority w:val="0"/>
    <w:pPr>
      <w:keepNext/>
      <w:keepLines/>
      <w:spacing w:line="400" w:lineRule="exact"/>
      <w:jc w:val="left"/>
      <w:outlineLvl w:val="2"/>
    </w:pPr>
    <w:rPr>
      <w:rFonts w:ascii="Times New Roman" w:hAnsi="Times New Roman" w:eastAsia="宋体"/>
      <w:b/>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标题 2 字符"/>
    <w:basedOn w:val="9"/>
    <w:link w:val="2"/>
    <w:qFormat/>
    <w:uiPriority w:val="0"/>
    <w:rPr>
      <w:rFonts w:ascii="Arial" w:hAnsi="Arial" w:eastAsia="宋体"/>
      <w:b/>
    </w:rPr>
  </w:style>
  <w:style w:type="character" w:customStyle="1" w:styleId="13">
    <w:name w:val="标题 3 字符"/>
    <w:basedOn w:val="9"/>
    <w:link w:val="3"/>
    <w:qFormat/>
    <w:uiPriority w:val="0"/>
    <w:rPr>
      <w:rFonts w:ascii="Times New Roman" w:hAnsi="Times New Roman" w:eastAsia="宋体"/>
      <w:b/>
    </w:rPr>
  </w:style>
  <w:style w:type="character" w:customStyle="1" w:styleId="14">
    <w:name w:val="正文文本 字符"/>
    <w:basedOn w:val="9"/>
    <w:link w:val="4"/>
    <w:qFormat/>
    <w:uiPriority w:val="0"/>
    <w:rPr>
      <w:rFonts w:ascii="Times New Roman" w:hAnsi="Times New Roman" w:eastAsia="方正仿宋简体" w:cs="Times New Roman"/>
      <w:sz w:val="32"/>
      <w:szCs w:val="20"/>
    </w:rPr>
  </w:style>
  <w:style w:type="character" w:customStyle="1" w:styleId="15">
    <w:name w:val="页眉 字符"/>
    <w:basedOn w:val="9"/>
    <w:link w:val="7"/>
    <w:uiPriority w:val="0"/>
    <w:rPr>
      <w:sz w:val="18"/>
    </w:rPr>
  </w:style>
  <w:style w:type="character" w:customStyle="1" w:styleId="16">
    <w:name w:val="页脚 字符"/>
    <w:basedOn w:val="9"/>
    <w:link w:val="6"/>
    <w:uiPriority w:val="99"/>
    <w:rPr>
      <w:kern w:val="2"/>
      <w:sz w:val="18"/>
      <w:szCs w:val="18"/>
    </w:rPr>
  </w:style>
  <w:style w:type="character" w:customStyle="1" w:styleId="17">
    <w:name w:val="批注框文本 字符"/>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2082</Characters>
  <Lines>17</Lines>
  <Paragraphs>4</Paragraphs>
  <TotalTime>182</TotalTime>
  <ScaleCrop>false</ScaleCrop>
  <LinksUpToDate>false</LinksUpToDate>
  <CharactersWithSpaces>2443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s c</dc:creator>
  <cp:lastModifiedBy>高玉锦</cp:lastModifiedBy>
  <dcterms:modified xsi:type="dcterms:W3CDTF">2023-04-20T08:45:25Z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