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461C5A">
      <w:pPr>
        <w:jc w:val="center"/>
        <w:rPr>
          <w:rFonts w:ascii="宋体" w:eastAsia="宋体" w:hAnsi="宋体"/>
          <w:b/>
          <w:sz w:val="32"/>
          <w:szCs w:val="20"/>
        </w:rPr>
      </w:pPr>
    </w:p>
    <w:p w:rsidR="00461C5A">
      <w:pPr>
        <w:adjustRightInd w:val="0"/>
        <w:snapToGrid w:val="0"/>
        <w:spacing w:line="460" w:lineRule="exact"/>
        <w:jc w:val="center"/>
        <w:rPr>
          <w:rFonts w:ascii="Times New Roman" w:eastAsia="方正楷体简体" w:hAnsi="Times New Roman"/>
          <w:sz w:val="24"/>
        </w:rPr>
      </w:pPr>
    </w:p>
    <w:p w:rsidR="00461C5A">
      <w:pPr>
        <w:pStyle w:val="Heading2"/>
        <w:keepNext w:val="0"/>
        <w:keepLines w:val="0"/>
        <w:autoSpaceDE w:val="0"/>
        <w:autoSpaceDN w:val="0"/>
        <w:spacing w:before="220" w:line="240" w:lineRule="auto"/>
        <w:jc w:val="center"/>
        <w:rPr>
          <w:rFonts w:ascii="仿宋_GB2312" w:eastAsia="仿宋_GB2312" w:hAnsi="仿宋_GB2312" w:cs="仿宋_GB2312"/>
          <w:bCs/>
          <w:kern w:val="0"/>
          <w:sz w:val="52"/>
          <w:szCs w:val="52"/>
          <w:lang w:bidi="zh-CN"/>
        </w:rPr>
      </w:pPr>
      <w:r>
        <w:rPr>
          <w:rFonts w:ascii="仿宋_GB2312" w:eastAsia="仿宋_GB2312" w:hAnsi="仿宋_GB2312" w:cs="仿宋_GB2312" w:hint="eastAsia"/>
          <w:bCs/>
          <w:kern w:val="0"/>
          <w:sz w:val="52"/>
          <w:szCs w:val="52"/>
          <w:lang w:bidi="zh-CN"/>
        </w:rPr>
        <w:t>丰裕固收22075期(共富主题)</w:t>
      </w:r>
    </w:p>
    <w:p w:rsidR="00461C5A">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第1季度报告</w:t>
      </w:r>
    </w:p>
    <w:p w:rsidR="00461C5A">
      <w:pPr>
        <w:jc w:val="center"/>
        <w:rPr>
          <w:rFonts w:ascii="宋体" w:eastAsia="宋体" w:hAnsi="宋体" w:cs="Times New Roman"/>
          <w:color w:val="0000FF"/>
          <w:kern w:val="0"/>
          <w:sz w:val="18"/>
          <w:szCs w:val="20"/>
        </w:rPr>
      </w:pPr>
    </w:p>
    <w:p w:rsidR="00461C5A">
      <w:pPr>
        <w:jc w:val="center"/>
        <w:rPr>
          <w:rFonts w:eastAsia="宋体"/>
          <w:sz w:val="24"/>
        </w:rPr>
      </w:pPr>
    </w:p>
    <w:p w:rsidR="00461C5A">
      <w:pPr>
        <w:jc w:val="center"/>
        <w:rPr>
          <w:rFonts w:eastAsia="宋体"/>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461C5A">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2023年4月19日</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461C5A">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2023年1月1日</w:t>
            </w:r>
            <w:r>
              <w:rPr>
                <w:rFonts w:ascii="仿宋" w:eastAsia="仿宋" w:hAnsi="仿宋" w:cs="仿宋" w:hint="eastAsia"/>
                <w:color w:val="404040"/>
                <w:kern w:val="0"/>
                <w:sz w:val="24"/>
              </w:rPr>
              <w:t>起至</w:t>
            </w:r>
            <w:r>
              <w:rPr>
                <w:rFonts w:ascii="仿宋" w:eastAsia="仿宋" w:hAnsi="仿宋" w:cs="仿宋"/>
                <w:color w:val="404040"/>
                <w:sz w:val="24"/>
              </w:rPr>
              <w:t>2023年3月31日</w:t>
            </w:r>
            <w:r>
              <w:rPr>
                <w:rFonts w:ascii="仿宋" w:eastAsia="仿宋" w:hAnsi="仿宋" w:cs="仿宋" w:hint="eastAsia"/>
                <w:color w:val="404040"/>
                <w:kern w:val="0"/>
                <w:sz w:val="24"/>
              </w:rPr>
              <w:t>止。</w:t>
            </w:r>
          </w:p>
        </w:tc>
      </w:tr>
    </w:tbl>
    <w:p w:rsidR="00461C5A">
      <w:pPr>
        <w:rPr>
          <w:rStyle w:val="a"/>
          <w:rFonts w:ascii="仿宋" w:eastAsia="仿宋" w:hAnsi="仿宋" w:cs="仿宋"/>
          <w:color w:val="0000FF"/>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§2  产品概况</w:t>
      </w:r>
    </w:p>
    <w:p w:rsidR="00461C5A" w:rsidP="00FB089E">
      <w:pPr>
        <w:adjustRightInd w:val="0"/>
        <w:snapToGrid w:val="0"/>
        <w:spacing w:line="440" w:lineRule="exact"/>
        <w:outlineLvl w:val="2"/>
        <w:rPr>
          <w:rFonts w:ascii="仿宋" w:eastAsia="仿宋" w:hAnsi="仿宋" w:cs="仿宋"/>
          <w:b/>
          <w:sz w:val="24"/>
        </w:rPr>
      </w:pPr>
      <w:bookmarkStart w:id="0" w:name="_Toc354129567"/>
      <w:r>
        <w:rPr>
          <w:rFonts w:ascii="仿宋" w:eastAsia="仿宋" w:hAnsi="仿宋" w:cs="仿宋" w:hint="eastAsia"/>
          <w:b/>
          <w:sz w:val="24"/>
        </w:rPr>
        <w:t>2.1 产品基本情况</w:t>
      </w:r>
      <w:bookmarkEnd w:id="0"/>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丰裕固收22075期(共富主题)</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FYG22075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Z7002222000120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2022年12月27日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2024年1月11日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4.10%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122,645,482.48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132.25%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461C5A">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461C5A">
      <w:pPr>
        <w:adjustRightInd w:val="0"/>
        <w:snapToGrid w:val="0"/>
        <w:spacing w:line="360" w:lineRule="exact"/>
        <w:rPr>
          <w:rFonts w:ascii="仿宋" w:eastAsia="仿宋" w:hAnsi="仿宋" w:cs="仿宋"/>
          <w:color w:val="000000"/>
          <w:sz w:val="24"/>
        </w:rPr>
      </w:pPr>
    </w:p>
    <w:p w:rsidR="00461C5A">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§3  主要财务指标和产品净值表现</w:t>
      </w:r>
    </w:p>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3.1 主要财务指标和产品净值表现</w:t>
      </w:r>
    </w:p>
    <w:p w:rsidR="00461C5A" w:rsidP="004458C8">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2023年1月1日</w:t>
            </w:r>
            <w:r>
              <w:rPr>
                <w:rFonts w:ascii="仿宋" w:eastAsia="仿宋" w:hAnsi="仿宋" w:cs="仿宋" w:hint="eastAsia"/>
                <w:color w:val="000000"/>
                <w:kern w:val="0"/>
                <w:sz w:val="24"/>
              </w:rPr>
              <w:t>-</w:t>
            </w:r>
            <w:r>
              <w:rPr>
                <w:rFonts w:ascii="仿宋" w:eastAsia="仿宋" w:hAnsi="仿宋" w:cs="仿宋"/>
                <w:color w:val="000000"/>
                <w:sz w:val="24"/>
              </w:rPr>
              <w:t>2023年3月31日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122,645,482.48</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121,277,103.74</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1.0113</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1.0113</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rsidTr="006D2317">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bl>
    <w:p w:rsidR="00134D0D" w:rsidP="00134D0D">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w:t>
      </w:r>
      <w:r>
        <w:rPr>
          <w:rFonts w:ascii="仿宋" w:eastAsia="仿宋" w:hAnsi="仿宋" w:cs="仿宋" w:hint="eastAsia"/>
          <w:b/>
          <w:sz w:val="24"/>
        </w:rPr>
        <w:t>表现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rsidTr="003D3797">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w:t>
            </w:r>
            <w:r w:rsidR="005F727E">
              <w:rPr>
                <w:rFonts w:ascii="仿宋" w:eastAsia="仿宋" w:hAnsi="仿宋" w:cs="仿宋" w:hint="eastAsia"/>
                <w:color w:val="000000"/>
                <w:kern w:val="0"/>
                <w:sz w:val="24"/>
              </w:rPr>
              <w:t>名称</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丰裕固收22075期(共富主题)</w:t>
            </w:r>
            <w:bookmarkStart w:id="1" w:name="_GoBack"/>
            <w:bookmarkEnd w:id="1"/>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4.38</w:t>
            </w:r>
            <w:r>
              <w:rPr>
                <w:rFonts w:ascii="仿宋" w:eastAsia="仿宋" w:hAnsi="仿宋" w:cs="仿宋"/>
                <w:sz w:val="24"/>
              </w:rPr>
              <w:t>%</w:t>
            </w:r>
          </w:p>
        </w:tc>
      </w:tr>
    </w:tbl>
    <w:p w:rsidR="00461C5A" w:rsidRPr="00134D0D">
      <w:pPr>
        <w:adjustRightInd w:val="0"/>
        <w:snapToGrid w:val="0"/>
        <w:rPr>
          <w:rFonts w:ascii="仿宋" w:eastAsia="仿宋" w:hAnsi="仿宋" w:cs="仿宋"/>
          <w:color w:val="404040"/>
          <w:kern w:val="0"/>
          <w:sz w:val="24"/>
        </w:rPr>
      </w:pPr>
    </w:p>
    <w:p w:rsidR="00134D0D">
      <w:pPr>
        <w:adjustRightInd w:val="0"/>
        <w:snapToGrid w:val="0"/>
        <w:rPr>
          <w:rFonts w:ascii="仿宋" w:eastAsia="仿宋" w:hAnsi="仿宋" w:cs="仿宋" w:hint="eastAsia"/>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§4  投资组合报告</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4.1 </w:t>
      </w:r>
      <w:r w:rsidR="00FB089E">
        <w:rPr>
          <w:rFonts w:ascii="仿宋" w:eastAsia="仿宋" w:hAnsi="仿宋" w:cs="仿宋" w:hint="eastAsia"/>
          <w:b/>
          <w:sz w:val="24"/>
        </w:rPr>
        <w:t>报告期内产品投资策略</w:t>
      </w:r>
      <w:r>
        <w:rPr>
          <w:rFonts w:ascii="仿宋" w:eastAsia="仿宋" w:hAnsi="仿宋" w:cs="仿宋" w:hint="eastAsia"/>
          <w:b/>
          <w:sz w:val="24"/>
        </w:rPr>
        <w:t>回顾</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1季度以来，利率债收益率震荡，信用债收益率整体下行，债市经历了对经济复苏的强预期到弱预期的修复。春节前，受疫情防控政策和房地产政策调整影响，市场对经济复苏预期强烈，春节后，信贷开门红，但市场对实体经济复苏存在较大分歧，理财赎回风波缓解后，银行理财对信用债配置带动信用债收益率大幅下行，3月后，两会设定的GDP增速目标低于市场预期，出口走弱，叠加3月底央行超预期降准，带动中短期债券收益率下行。从收益率来看，当前10年国债收益率2.87%，较年初小幅上行，当前3年期AA+城投债收益率3.23%，较年初下行40bp，当前3年期AAA二级资本债收益率3.28%，较年初下行8bp。本产品主要配置固收类资产，债券部分以信用债为主，部分资产采用摊余成本法估值，净值表现符合预期。</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4.2</w:t>
      </w:r>
      <w:r>
        <w:rPr>
          <w:rFonts w:ascii="仿宋" w:eastAsia="仿宋" w:hAnsi="仿宋" w:cs="仿宋" w:hint="eastAsia"/>
          <w:b/>
          <w:sz w:val="24"/>
        </w:rPr>
        <w:t>产品未来展望</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2季度，从基本面来看，无论从经济高频数据还是前瞻性数据来看，经济逐步复苏的态势仍在延续，从票据利率看银行信贷投放依然积极，消费、地产投资增速仍在修复过程中；从政策面来看，3月央行降准显示对银行间资金面市场的呵护，市场利率大概率围绕政策利率波动，短端债券收益率上行的空间有限。整体来说，经济弱复苏延续，货币政策保持相对宽松，债市流动性环境相对友好，后续理财规模增长情况、出口回落速度、货币政策是否会进一步宽松等将是影响2季度债市的重要变量。我们预期2季度债券收益率整体小幅波动。</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4.3</w:t>
      </w:r>
      <w:r>
        <w:rPr>
          <w:rFonts w:ascii="仿宋" w:eastAsia="仿宋" w:hAnsi="仿宋" w:cs="仿宋" w:hint="eastAsia"/>
          <w:b/>
          <w:sz w:val="24"/>
        </w:rPr>
        <w:t>投资组合的流动性风险分析</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本产品主要直接或者间接投资于债券类资产及非标准化债权资产。产品所投资的债券资质良好，所在交易场所规范且运作时间长，资产流动性状况良好，正常情况下能够及时变现资产，筹集资金，满足本产品的投资者赎回需求或其他支付要求。产品所投资非标准化债权资产终止日不晚于本产品的到期日，该类资产资质较好，正常情况下，其到期兑付资金可满足本产品投资者赎回的支付需求。</w:t>
        <w:cr/>
        <w:t xml:space="preserve">      为防范无法支付到期赎回款而产生的流动性风险，本产品管理人将合理安排所投资产期限，产品到期前完成所投资组合中相关资产变现，尽可能降低产品流动性风险，有效保障产品持有人利益。报告期内，本产品未发生重大流动性风险事件。</w:t>
      </w:r>
    </w:p>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4.4 </w:t>
      </w:r>
      <w:r w:rsidR="00FB089E">
        <w:rPr>
          <w:rFonts w:ascii="仿宋" w:eastAsia="仿宋" w:hAnsi="仿宋" w:cs="仿宋" w:hint="eastAsia"/>
          <w:b/>
          <w:sz w:val="24"/>
        </w:rPr>
        <w:t>报告期末穿透前</w:t>
      </w:r>
      <w:r w:rsidRPr="00FB089E">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14"/>
        <w:gridCol w:w="2833"/>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14"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833"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0.25%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62.93%</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36.82%</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 xml:space="preserve">4.5 </w:t>
      </w:r>
      <w:r w:rsidR="00FB089E">
        <w:rPr>
          <w:rFonts w:ascii="仿宋" w:eastAsia="仿宋" w:hAnsi="仿宋" w:cs="仿宋" w:hint="eastAsia"/>
          <w:b/>
          <w:sz w:val="24"/>
        </w:rPr>
        <w:t>报告期末穿透后</w:t>
      </w:r>
      <w:r>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47"/>
        <w:gridCol w:w="2800"/>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47"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highlight w:val="yellow"/>
              </w:rPr>
            </w:pPr>
            <w:r>
              <w:rPr>
                <w:rFonts w:ascii="仿宋" w:eastAsia="仿宋" w:hAnsi="仿宋" w:cs="仿宋" w:hint="eastAsia"/>
                <w:sz w:val="24"/>
              </w:rPr>
              <w:t>项目</w:t>
            </w:r>
          </w:p>
        </w:tc>
        <w:tc>
          <w:tcPr>
            <w:tcW w:w="2800"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现金及银行存款</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0.25%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同业存单</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拆放同业及债券买入返售</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债券</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62.93%</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非标准化债权类资产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36.82%</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权益类投资</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金融衍生品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代客境外理财投资QDII</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商品类资产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另类资产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公募基金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私募基金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资产管理产品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委外投资——协议方式</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合计</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100.00%</w:t>
            </w:r>
          </w:p>
        </w:tc>
      </w:tr>
    </w:tbl>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4.6报告期末投资前十名资产明细</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23安吉两山01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31,395,478.47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25.60%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22奉化城投08</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28,335,635.62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23.10%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21江宁交通PPN001(乡村振兴)</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10,335,876.71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8.43%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21创鸿资产PPN001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10,296,837.10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8.40%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21锡山资产PPN002(乡村振兴)</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10,282,413.70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8.38%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21金坛建设PPN001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10,225,969.29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8.34%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20柯桥经开PPN002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10,207,373.74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8.32%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20东阳国资PPN002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10,184,874.91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8.30%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20蓉经开PPN001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10,183,720.84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8.30%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21昌阳投资PPN003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10,124,950.78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8.26%</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4.7 报告期融资情况</w:t>
      </w:r>
    </w:p>
    <w:p w:rsidR="00461C5A" w:rsidRPr="004458C8"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39,032,641.20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31.83%</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461C5A" w:rsidP="00FB089E">
      <w:pPr>
        <w:adjustRightInd w:val="0"/>
        <w:snapToGrid w:val="0"/>
        <w:spacing w:line="440" w:lineRule="exact"/>
        <w:outlineLvl w:val="2"/>
        <w:rPr>
          <w:rFonts w:ascii="仿宋" w:eastAsia="仿宋" w:hAnsi="仿宋" w:cs="仿宋"/>
          <w:b/>
          <w:sz w:val="24"/>
        </w:rPr>
      </w:pPr>
      <w:bookmarkStart w:id="2" w:name="_Toc481074947"/>
      <w:r>
        <w:rPr>
          <w:rFonts w:ascii="仿宋" w:eastAsia="仿宋" w:hAnsi="仿宋" w:cs="仿宋" w:hint="eastAsia"/>
          <w:b/>
          <w:sz w:val="24"/>
        </w:rPr>
        <w:t>4.8报告期末投资非标准化债权资产</w:t>
      </w:r>
      <w:bookmarkEnd w:id="2"/>
      <w:r>
        <w:rPr>
          <w:rFonts w:ascii="仿宋" w:eastAsia="仿宋" w:hAnsi="仿宋" w:cs="仿宋" w:hint="eastAsia"/>
          <w:b/>
          <w:sz w:val="24"/>
        </w:rPr>
        <w:t>情况</w:t>
      </w:r>
    </w:p>
    <w:p w:rsidR="00461C5A">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宁波市奉化区城市投资发展集团有限公司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22奉化城投08</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20240103</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28,335,635.62</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理财直接融资工具</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利随本清，到期一次还本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浙江安吉两山国有控股集团有限公司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23安吉两山01</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20231227</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31,395,478.47</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理财直接融资工具</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利随本清，到期一次还本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461C5A">
      <w:pPr>
        <w:adjustRightInd w:val="0"/>
        <w:snapToGrid w:val="0"/>
        <w:spacing w:line="380" w:lineRule="exact"/>
        <w:rPr>
          <w:rFonts w:ascii="仿宋" w:eastAsia="仿宋" w:hAnsi="仿宋" w:cs="仿宋"/>
          <w:color w:val="0000FF"/>
          <w:kern w:val="0"/>
          <w:sz w:val="24"/>
          <w:highlight w:val="yellow"/>
        </w:rPr>
      </w:pPr>
    </w:p>
    <w:p w:rsidR="00461C5A"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w:t>
      </w:r>
      <w:r>
        <w:rPr>
          <w:rFonts w:ascii="仿宋" w:eastAsia="仿宋" w:hAnsi="仿宋" w:cs="仿宋" w:hint="eastAsia"/>
          <w:sz w:val="24"/>
        </w:rPr>
        <w:t>5  产品份额变动</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121,277,103.74</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121,277,103.74</w:t>
            </w:r>
          </w:p>
        </w:tc>
      </w:tr>
    </w:tbl>
    <w:p w:rsidR="00461C5A">
      <w:pPr>
        <w:widowControl/>
        <w:adjustRightInd w:val="0"/>
        <w:snapToGrid w:val="0"/>
        <w:jc w:val="left"/>
        <w:rPr>
          <w:rFonts w:ascii="仿宋" w:eastAsia="仿宋" w:hAnsi="仿宋" w:cs="仿宋"/>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§6 托管人报告</w:t>
      </w:r>
    </w:p>
    <w:p w:rsidR="00461C5A">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461C5A" w:rsidP="004458C8">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4458C8" w:rsidRPr="004458C8" w:rsidP="00FB089E">
      <w:pPr>
        <w:adjustRightInd w:val="0"/>
        <w:snapToGrid w:val="0"/>
        <w:rPr>
          <w:rFonts w:ascii="仿宋" w:eastAsia="仿宋" w:hAnsi="仿宋" w:cs="仿宋"/>
          <w:bCs/>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§7 报告期内关联交易情况</w:t>
      </w:r>
    </w:p>
    <w:p w:rsidR="00461C5A" w:rsidP="004458C8">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p>
    <w:p w:rsidR="00461C5A" w:rsidP="004458C8">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22奉化城投08</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理财直融工具</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28,000,000.00</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28,000,000.00</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23安吉两山01</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理财直融工具</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31,000,000.00</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31,000,000.00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7.2 产品向关联方支付的费用</w:t>
      </w:r>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bl>
    <w:p w:rsidR="00461C5A">
      <w:pPr>
        <w:widowControl/>
        <w:adjustRightInd w:val="0"/>
        <w:snapToGrid w:val="0"/>
        <w:ind w:firstLine="420" w:firstLineChars="200"/>
        <w:jc w:val="left"/>
        <w:rPr>
          <w:rFonts w:ascii="仿宋" w:eastAsia="仿宋" w:hAnsi="仿宋" w:cs="仿宋"/>
          <w:color w:val="404040"/>
          <w:kern w:val="0"/>
          <w:sz w:val="24"/>
        </w:rPr>
      </w:pPr>
    </w:p>
    <w:p w:rsidR="00461C5A">
      <w:pPr>
        <w:widowControl/>
        <w:adjustRightInd w:val="0"/>
        <w:snapToGrid w:val="0"/>
        <w:ind w:firstLine="420" w:firstLineChars="200"/>
        <w:jc w:val="left"/>
        <w:rPr>
          <w:rFonts w:ascii="仿宋" w:eastAsia="仿宋" w:hAnsi="仿宋" w:cs="仿宋"/>
          <w:color w:val="404040"/>
          <w:kern w:val="0"/>
          <w:sz w:val="24"/>
        </w:rPr>
      </w:pPr>
    </w:p>
    <w:p w:rsidR="00461C5A">
      <w:pPr>
        <w:ind w:left="360"/>
        <w:jc w:val="right"/>
        <w:rPr>
          <w:rFonts w:ascii="仿宋" w:eastAsia="仿宋" w:hAnsi="仿宋" w:cs="仿宋"/>
          <w:sz w:val="24"/>
        </w:rPr>
      </w:pPr>
    </w:p>
    <w:p w:rsidR="00461C5A">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461C5A">
      <w:pPr>
        <w:jc w:val="right"/>
        <w:rPr>
          <w:sz w:val="24"/>
        </w:rPr>
      </w:pPr>
      <w:r>
        <w:rPr>
          <w:rFonts w:ascii="仿宋" w:eastAsia="仿宋" w:hAnsi="仿宋" w:cs="仿宋" w:hint="eastAsia"/>
          <w:sz w:val="24"/>
        </w:rPr>
        <w:t>2023年4月19日</w:t>
      </w:r>
    </w:p>
    <w:p w:rsidR="00461C5A"/>
    <w:p w:rsidR="00461C5A"/>
    <w:sectPr>
      <w:headerReference w:type="default" r:id="rId4"/>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C5A">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D0D"/>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paragraph" w:styleId="Footer">
    <w:name w:val="footer"/>
    <w:basedOn w:val="Normal"/>
    <w:link w:val="a1"/>
    <w:uiPriority w:val="99"/>
    <w:unhideWhenUsed/>
    <w:rsid w:val="0082523D"/>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82523D"/>
    <w:rPr>
      <w:kern w:val="2"/>
      <w:sz w:val="18"/>
      <w:szCs w:val="18"/>
    </w:rPr>
  </w:style>
  <w:style w:type="paragraph" w:styleId="BalloonText">
    <w:name w:val="Balloon Text"/>
    <w:basedOn w:val="Normal"/>
    <w:link w:val="a2"/>
    <w:uiPriority w:val="99"/>
    <w:semiHidden/>
    <w:unhideWhenUsed/>
    <w:rsid w:val="00FB089E"/>
    <w:rPr>
      <w:sz w:val="18"/>
      <w:szCs w:val="18"/>
    </w:rPr>
  </w:style>
  <w:style w:type="character" w:customStyle="1" w:styleId="a2">
    <w:name w:val="批注框文本 字符"/>
    <w:basedOn w:val="DefaultParagraphFont"/>
    <w:link w:val="BalloonText"/>
    <w:uiPriority w:val="99"/>
    <w:semiHidden/>
    <w:rsid w:val="00FB08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18</cp:revision>
  <dcterms:created xsi:type="dcterms:W3CDTF">2023-04-13T06:44:00Z</dcterms:created>
  <dcterms:modified xsi:type="dcterms:W3CDTF">2023-04-14T08:04:00Z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2052-5.3.0.7863</vt:lpwstr>
  </property>
</Properties>
</file>