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5.8.0.0 -->
  <w:body>
    <w:p w:rsidR="00461C5A">
      <w:pPr>
        <w:jc w:val="center"/>
        <w:rPr>
          <w:rFonts w:ascii="宋体" w:eastAsia="宋体" w:hAnsi="宋体"/>
          <w:b/>
          <w:sz w:val="32"/>
          <w:szCs w:val="20"/>
        </w:rPr>
      </w:pPr>
    </w:p>
    <w:p w:rsidR="00461C5A">
      <w:pPr>
        <w:adjustRightInd w:val="0"/>
        <w:snapToGrid w:val="0"/>
        <w:spacing w:line="460" w:lineRule="exact"/>
        <w:jc w:val="center"/>
        <w:rPr>
          <w:rFonts w:ascii="Times New Roman" w:eastAsia="方正楷体简体" w:hAnsi="Times New Roman"/>
          <w:sz w:val="24"/>
        </w:rPr>
      </w:pPr>
    </w:p>
    <w:p w:rsidR="00461C5A">
      <w:pPr>
        <w:pStyle w:val="Heading2"/>
        <w:keepNext w:val="0"/>
        <w:keepLines w:val="0"/>
        <w:autoSpaceDE w:val="0"/>
        <w:autoSpaceDN w:val="0"/>
        <w:spacing w:before="220" w:line="240" w:lineRule="auto"/>
        <w:jc w:val="center"/>
        <w:rPr>
          <w:rFonts w:ascii="仿宋_GB2312" w:eastAsia="仿宋_GB2312" w:hAnsi="仿宋_GB2312" w:cs="仿宋_GB2312"/>
          <w:bCs/>
          <w:kern w:val="0"/>
          <w:sz w:val="52"/>
          <w:szCs w:val="52"/>
          <w:lang w:bidi="zh-CN"/>
        </w:rPr>
      </w:pPr>
      <w:r>
        <w:rPr>
          <w:rFonts w:ascii="仿宋_GB2312" w:eastAsia="仿宋_GB2312" w:hAnsi="仿宋_GB2312" w:cs="仿宋_GB2312" w:hint="eastAsia"/>
          <w:bCs/>
          <w:kern w:val="0"/>
          <w:sz w:val="52"/>
          <w:szCs w:val="52"/>
          <w:lang w:bidi="zh-CN"/>
        </w:rPr>
        <w:t>季添益1906期</w:t>
      </w:r>
    </w:p>
    <w:p w:rsidR="00461C5A">
      <w:pPr>
        <w:autoSpaceDE w:val="0"/>
        <w:autoSpaceDN w:val="0"/>
        <w:spacing w:line="360" w:lineRule="auto"/>
        <w:jc w:val="center"/>
        <w:rPr>
          <w:rFonts w:ascii="仿宋_GB2312" w:eastAsia="仿宋_GB2312" w:hAnsi="仿宋_GB2312" w:cs="仿宋_GB2312"/>
          <w:b/>
          <w:bCs/>
          <w:kern w:val="0"/>
          <w:sz w:val="44"/>
          <w:szCs w:val="44"/>
          <w:lang w:bidi="zh-CN"/>
        </w:rPr>
      </w:pPr>
      <w:r>
        <w:rPr>
          <w:rFonts w:ascii="仿宋_GB2312" w:eastAsia="仿宋_GB2312" w:hAnsi="仿宋_GB2312" w:cs="仿宋_GB2312" w:hint="eastAsia"/>
          <w:b/>
          <w:bCs/>
          <w:kern w:val="0"/>
          <w:sz w:val="44"/>
          <w:szCs w:val="44"/>
          <w:lang w:bidi="zh-CN"/>
        </w:rPr>
        <w:t>2023</w:t>
      </w:r>
      <w:r>
        <w:rPr>
          <w:rFonts w:ascii="仿宋_GB2312" w:eastAsia="仿宋_GB2312" w:hAnsi="仿宋_GB2312" w:cs="仿宋_GB2312"/>
          <w:b/>
          <w:sz w:val="44"/>
        </w:rPr>
        <w:t>年</w:t>
      </w:r>
      <w:r>
        <w:rPr>
          <w:rFonts w:ascii="仿宋_GB2312" w:eastAsia="仿宋_GB2312" w:hAnsi="仿宋_GB2312" w:cs="仿宋_GB2312"/>
          <w:b/>
          <w:sz w:val="44"/>
        </w:rPr>
        <w:t>第1季度报告</w:t>
      </w:r>
    </w:p>
    <w:p w:rsidR="00461C5A">
      <w:pPr>
        <w:jc w:val="center"/>
        <w:rPr>
          <w:rFonts w:ascii="宋体" w:eastAsia="宋体" w:hAnsi="宋体" w:cs="Times New Roman"/>
          <w:color w:val="0000FF"/>
          <w:kern w:val="0"/>
          <w:sz w:val="18"/>
          <w:szCs w:val="20"/>
        </w:rPr>
      </w:pPr>
    </w:p>
    <w:p w:rsidR="00461C5A">
      <w:pPr>
        <w:jc w:val="center"/>
        <w:rPr>
          <w:rFonts w:eastAsia="宋体"/>
          <w:sz w:val="24"/>
        </w:rPr>
      </w:pPr>
    </w:p>
    <w:p w:rsidR="00461C5A">
      <w:pPr>
        <w:jc w:val="center"/>
        <w:rPr>
          <w:rFonts w:eastAsia="宋体"/>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产品管理人：</w:t>
      </w:r>
      <w:r>
        <w:rPr>
          <w:rFonts w:ascii="仿宋" w:eastAsia="仿宋" w:hAnsi="仿宋" w:cs="仿宋"/>
          <w:sz w:val="24"/>
        </w:rPr>
        <w:t>杭银理财有限责任公司</w:t>
      </w:r>
    </w:p>
    <w:p w:rsidR="00461C5A">
      <w:pPr>
        <w:jc w:val="center"/>
        <w:rPr>
          <w:rFonts w:ascii="仿宋" w:eastAsia="仿宋" w:hAnsi="仿宋" w:cs="仿宋"/>
          <w:sz w:val="24"/>
        </w:rPr>
      </w:pPr>
      <w:r>
        <w:rPr>
          <w:rFonts w:ascii="仿宋" w:eastAsia="仿宋" w:hAnsi="仿宋" w:cs="仿宋" w:hint="eastAsia"/>
          <w:sz w:val="24"/>
        </w:rPr>
        <w:t>产品托管人：</w:t>
      </w:r>
      <w:r>
        <w:rPr>
          <w:rFonts w:ascii="仿宋" w:eastAsia="仿宋" w:hAnsi="仿宋" w:cs="仿宋"/>
          <w:sz w:val="24"/>
        </w:rPr>
        <w:t>杭州银行股份有限公司</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r>
        <w:rPr>
          <w:rFonts w:ascii="仿宋" w:eastAsia="仿宋" w:hAnsi="仿宋" w:cs="仿宋" w:hint="eastAsia"/>
          <w:sz w:val="24"/>
        </w:rPr>
        <w:t>2023年4月19日</w:t>
      </w:r>
    </w:p>
    <w:p w:rsidR="00461C5A">
      <w:pPr>
        <w:jc w:val="center"/>
        <w:rPr>
          <w:rFonts w:ascii="仿宋" w:eastAsia="仿宋" w:hAnsi="仿宋" w:cs="仿宋"/>
          <w:sz w:val="24"/>
        </w:rPr>
      </w:pPr>
    </w:p>
    <w:p w:rsidR="00461C5A">
      <w:pPr>
        <w:jc w:val="center"/>
        <w:rPr>
          <w:rFonts w:ascii="仿宋" w:eastAsia="仿宋" w:hAnsi="仿宋" w:cs="仿宋"/>
          <w:sz w:val="24"/>
        </w:rPr>
      </w:pPr>
    </w:p>
    <w:p w:rsidR="00461C5A">
      <w:pPr>
        <w:jc w:val="center"/>
        <w:rPr>
          <w:rFonts w:ascii="仿宋" w:eastAsia="仿宋" w:hAnsi="仿宋" w:cs="仿宋"/>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§1  重要提示</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0"/>
      </w:tblGrid>
      <w:tr>
        <w:tblPrEx>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41"/>
        </w:trPr>
        <w:tc>
          <w:tcPr>
            <w:tcW w:w="9120" w:type="dxa"/>
            <w:tcBorders>
              <w:top w:val="single" w:sz="4" w:space="0" w:color="auto"/>
              <w:left w:val="single" w:sz="4" w:space="0" w:color="auto"/>
              <w:bottom w:val="single" w:sz="4" w:space="0" w:color="auto"/>
              <w:right w:val="single" w:sz="4" w:space="0" w:color="auto"/>
            </w:tcBorders>
          </w:tcPr>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产品管理人承诺以诚实信用、勤勉尽责的原则管理和运用产品资产，并如实反映产品财务指标及投资组合情况，但不保证产品一定盈利。</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产品托管人根据本</w:t>
            </w:r>
            <w:r>
              <w:rPr>
                <w:rFonts w:ascii="仿宋" w:eastAsia="仿宋" w:hAnsi="仿宋" w:cs="仿宋" w:hint="eastAsia"/>
                <w:color w:val="000000"/>
                <w:sz w:val="24"/>
              </w:rPr>
              <w:t>产品</w:t>
            </w:r>
            <w:r>
              <w:rPr>
                <w:rFonts w:ascii="仿宋" w:eastAsia="仿宋" w:hAnsi="仿宋" w:cs="仿宋" w:hint="eastAsia"/>
                <w:color w:val="404040"/>
                <w:kern w:val="0"/>
                <w:sz w:val="24"/>
              </w:rPr>
              <w:t>合同规定，于</w:t>
            </w:r>
            <w:r>
              <w:rPr>
                <w:rFonts w:ascii="仿宋" w:eastAsia="仿宋" w:hAnsi="仿宋" w:cs="仿宋"/>
                <w:color w:val="404040"/>
                <w:sz w:val="24"/>
              </w:rPr>
              <w:t>2023年3月31日</w:t>
            </w:r>
            <w:r>
              <w:rPr>
                <w:rFonts w:ascii="仿宋" w:eastAsia="仿宋" w:hAnsi="仿宋" w:cs="仿宋" w:hint="eastAsia"/>
                <w:color w:val="404040"/>
                <w:kern w:val="0"/>
                <w:sz w:val="24"/>
              </w:rPr>
              <w:t>复核了本报告中的财务指标、净值表现和投资组合报告等内容，保证复核内容不存在虚假记载、误导性陈述或者重大遗漏。</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产品的过往业绩并不代表其未来表现。投资有风险，投资者在</w:t>
            </w:r>
            <w:r>
              <w:rPr>
                <w:rFonts w:ascii="仿宋" w:eastAsia="仿宋" w:hAnsi="仿宋" w:cs="仿宋" w:hint="eastAsia"/>
                <w:color w:val="404040"/>
                <w:kern w:val="0"/>
                <w:sz w:val="24"/>
              </w:rPr>
              <w:t>作出</w:t>
            </w:r>
            <w:r>
              <w:rPr>
                <w:rFonts w:ascii="仿宋" w:eastAsia="仿宋" w:hAnsi="仿宋" w:cs="仿宋" w:hint="eastAsia"/>
                <w:color w:val="404040"/>
                <w:kern w:val="0"/>
                <w:sz w:val="24"/>
              </w:rPr>
              <w:t>投资决策前应仔细阅读本</w:t>
            </w:r>
            <w:r>
              <w:rPr>
                <w:rFonts w:ascii="仿宋" w:eastAsia="仿宋" w:hAnsi="仿宋" w:cs="仿宋" w:hint="eastAsia"/>
                <w:color w:val="000000"/>
                <w:sz w:val="24"/>
              </w:rPr>
              <w:t>产品</w:t>
            </w:r>
            <w:r>
              <w:rPr>
                <w:rFonts w:ascii="仿宋" w:eastAsia="仿宋" w:hAnsi="仿宋" w:cs="仿宋" w:hint="eastAsia"/>
                <w:color w:val="404040"/>
                <w:kern w:val="0"/>
                <w:sz w:val="24"/>
              </w:rPr>
              <w:t>的产品说明书。</w:t>
            </w:r>
          </w:p>
          <w:p w:rsidR="00461C5A">
            <w:pPr>
              <w:widowControl/>
              <w:adjustRightInd w:val="0"/>
              <w:snapToGrid w:val="0"/>
              <w:spacing w:line="420" w:lineRule="exact"/>
              <w:ind w:firstLine="420" w:firstLineChars="200"/>
              <w:jc w:val="left"/>
              <w:rPr>
                <w:rFonts w:ascii="仿宋" w:eastAsia="仿宋" w:hAnsi="仿宋" w:cs="仿宋"/>
                <w:color w:val="404040"/>
                <w:kern w:val="0"/>
                <w:sz w:val="24"/>
              </w:rPr>
            </w:pPr>
            <w:r>
              <w:rPr>
                <w:rFonts w:ascii="仿宋" w:eastAsia="仿宋" w:hAnsi="仿宋" w:cs="仿宋" w:hint="eastAsia"/>
                <w:color w:val="404040"/>
                <w:kern w:val="0"/>
                <w:sz w:val="24"/>
              </w:rPr>
              <w:t>本报告中财务资料未经审计。</w:t>
            </w:r>
          </w:p>
          <w:p w:rsidR="00461C5A">
            <w:pPr>
              <w:widowControl/>
              <w:adjustRightInd w:val="0"/>
              <w:snapToGrid w:val="0"/>
              <w:spacing w:line="420" w:lineRule="exact"/>
              <w:ind w:firstLine="420" w:firstLineChars="200"/>
              <w:jc w:val="left"/>
              <w:rPr>
                <w:rFonts w:ascii="仿宋" w:eastAsia="仿宋" w:hAnsi="仿宋" w:cs="仿宋"/>
                <w:sz w:val="24"/>
              </w:rPr>
            </w:pPr>
            <w:r>
              <w:rPr>
                <w:rFonts w:ascii="仿宋" w:eastAsia="仿宋" w:hAnsi="仿宋" w:cs="仿宋" w:hint="eastAsia"/>
                <w:color w:val="404040"/>
                <w:kern w:val="0"/>
                <w:sz w:val="24"/>
              </w:rPr>
              <w:t>本报告期自</w:t>
            </w:r>
            <w:r>
              <w:rPr>
                <w:rFonts w:ascii="仿宋" w:eastAsia="仿宋" w:hAnsi="仿宋" w:cs="仿宋"/>
                <w:color w:val="404040"/>
                <w:sz w:val="24"/>
              </w:rPr>
              <w:t>2023年1月1日</w:t>
            </w:r>
            <w:r>
              <w:rPr>
                <w:rFonts w:ascii="仿宋" w:eastAsia="仿宋" w:hAnsi="仿宋" w:cs="仿宋" w:hint="eastAsia"/>
                <w:color w:val="404040"/>
                <w:kern w:val="0"/>
                <w:sz w:val="24"/>
              </w:rPr>
              <w:t>起至</w:t>
            </w:r>
            <w:r>
              <w:rPr>
                <w:rFonts w:ascii="仿宋" w:eastAsia="仿宋" w:hAnsi="仿宋" w:cs="仿宋"/>
                <w:color w:val="404040"/>
                <w:sz w:val="24"/>
              </w:rPr>
              <w:t>2023年3月31日</w:t>
            </w:r>
            <w:r>
              <w:rPr>
                <w:rFonts w:ascii="仿宋" w:eastAsia="仿宋" w:hAnsi="仿宋" w:cs="仿宋" w:hint="eastAsia"/>
                <w:color w:val="404040"/>
                <w:kern w:val="0"/>
                <w:sz w:val="24"/>
              </w:rPr>
              <w:t>止。</w:t>
            </w:r>
          </w:p>
        </w:tc>
      </w:tr>
    </w:tbl>
    <w:p w:rsidR="00461C5A">
      <w:pPr>
        <w:rPr>
          <w:rStyle w:val="a"/>
          <w:rFonts w:ascii="仿宋" w:eastAsia="仿宋" w:hAnsi="仿宋" w:cs="仿宋"/>
          <w:color w:val="0000FF"/>
          <w:sz w:val="24"/>
        </w:rPr>
      </w:pPr>
    </w:p>
    <w:p w:rsidR="00461C5A" w:rsidP="004458C8">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§2  产品概况</w:t>
      </w:r>
    </w:p>
    <w:p w:rsidR="00461C5A" w:rsidP="00FB089E">
      <w:pPr>
        <w:adjustRightInd w:val="0"/>
        <w:snapToGrid w:val="0"/>
        <w:spacing w:line="440" w:lineRule="exact"/>
        <w:outlineLvl w:val="2"/>
        <w:rPr>
          <w:rFonts w:ascii="仿宋" w:eastAsia="仿宋" w:hAnsi="仿宋" w:cs="仿宋"/>
          <w:b/>
          <w:sz w:val="24"/>
        </w:rPr>
      </w:pPr>
      <w:bookmarkStart w:id="0" w:name="_Toc354129567"/>
      <w:r>
        <w:rPr>
          <w:rFonts w:ascii="仿宋" w:eastAsia="仿宋" w:hAnsi="仿宋" w:cs="仿宋" w:hint="eastAsia"/>
          <w:b/>
          <w:sz w:val="24"/>
        </w:rPr>
        <w:t>2.1 产品基本情况</w:t>
      </w:r>
      <w:bookmarkEnd w:id="0"/>
    </w:p>
    <w:tbl>
      <w:tblPr>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55"/>
        <w:gridCol w:w="5784"/>
      </w:tblGrid>
      <w:tr>
        <w:tblPrEx>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产品名称</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季添益1906期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产品代码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TYG3M1906</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理财信息登记系统登记编码</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Z7002221000277</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产品成立日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2019年7月3日</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产品到期日</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产品募集方式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公募</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产品运作模式</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开放式净值型</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产品投资性质</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固定收益类</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业绩比较基准（%）</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3.00%-3.80%</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报告期末产品规模（元）</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1,338,512,601.33</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杠杆水平（%）</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100.39%</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风险等级</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中低</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产品管理人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杭银理财有限责任公司</w:t>
            </w:r>
          </w:p>
        </w:tc>
      </w:tr>
      <w:tr>
        <w:tblPrEx>
          <w:tblW w:w="9139" w:type="dxa"/>
          <w:tblLayout w:type="fixed"/>
          <w:tblLook w:val="04A0"/>
        </w:tblPrEx>
        <w:tc>
          <w:tcPr>
            <w:tcW w:w="335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sz w:val="24"/>
              </w:rPr>
            </w:pPr>
            <w:r>
              <w:rPr>
                <w:rFonts w:ascii="仿宋" w:eastAsia="仿宋" w:hAnsi="仿宋" w:cs="仿宋" w:hint="eastAsia"/>
                <w:kern w:val="0"/>
                <w:sz w:val="24"/>
              </w:rPr>
              <w:t>产品托管人</w:t>
            </w:r>
          </w:p>
        </w:tc>
        <w:tc>
          <w:tcPr>
            <w:tcW w:w="578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left"/>
              <w:rPr>
                <w:rFonts w:ascii="仿宋" w:eastAsia="仿宋" w:hAnsi="仿宋" w:cs="仿宋"/>
                <w:kern w:val="0"/>
                <w:sz w:val="24"/>
              </w:rPr>
            </w:pPr>
            <w:r>
              <w:rPr>
                <w:rFonts w:ascii="仿宋" w:eastAsia="仿宋" w:hAnsi="仿宋" w:cs="仿宋" w:hint="eastAsia"/>
                <w:kern w:val="0"/>
                <w:sz w:val="24"/>
              </w:rPr>
              <w:t>杭州银行股份有限公司</w:t>
            </w:r>
          </w:p>
        </w:tc>
      </w:tr>
    </w:tbl>
    <w:p w:rsidR="00461C5A">
      <w:pPr>
        <w:adjustRightInd w:val="0"/>
        <w:snapToGrid w:val="0"/>
        <w:spacing w:line="360" w:lineRule="exact"/>
        <w:rPr>
          <w:rFonts w:ascii="仿宋" w:eastAsia="仿宋" w:hAnsi="仿宋" w:cs="仿宋"/>
          <w:sz w:val="24"/>
        </w:rPr>
      </w:pPr>
      <w:r>
        <w:rPr>
          <w:rFonts w:ascii="仿宋" w:eastAsia="仿宋" w:hAnsi="仿宋" w:cs="仿宋" w:hint="eastAsia"/>
          <w:sz w:val="24"/>
        </w:rPr>
        <w:t>*杠杆水平=总资产/理财产品净资产，理财产品净资产=总资产-总负债</w:t>
      </w:r>
    </w:p>
    <w:p w:rsidR="00461C5A">
      <w:pPr>
        <w:adjustRightInd w:val="0"/>
        <w:snapToGrid w:val="0"/>
        <w:spacing w:line="360" w:lineRule="exact"/>
        <w:rPr>
          <w:rFonts w:ascii="仿宋" w:eastAsia="仿宋" w:hAnsi="仿宋" w:cs="仿宋"/>
          <w:color w:val="000000"/>
          <w:sz w:val="24"/>
        </w:rPr>
      </w:pPr>
    </w:p>
    <w:p w:rsidR="00461C5A">
      <w:pPr>
        <w:pStyle w:val="Heading2"/>
        <w:adjustRightInd w:val="0"/>
        <w:snapToGrid w:val="0"/>
        <w:spacing w:line="560" w:lineRule="exact"/>
        <w:jc w:val="center"/>
        <w:rPr>
          <w:rFonts w:ascii="仿宋" w:eastAsia="仿宋" w:hAnsi="仿宋" w:cs="仿宋"/>
          <w:sz w:val="24"/>
        </w:rPr>
      </w:pPr>
      <w:r>
        <w:rPr>
          <w:rFonts w:ascii="仿宋" w:eastAsia="仿宋" w:hAnsi="仿宋" w:cs="仿宋" w:hint="eastAsia"/>
          <w:sz w:val="24"/>
        </w:rPr>
        <w:t>§3  主要财务指标和产品净值表现</w:t>
      </w:r>
    </w:p>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3.1 主要财务指标和产品净值表现</w:t>
      </w:r>
    </w:p>
    <w:p w:rsidR="00461C5A" w:rsidP="004458C8">
      <w:pPr>
        <w:adjustRightInd w:val="0"/>
        <w:snapToGrid w:val="0"/>
        <w:spacing w:line="440" w:lineRule="exact"/>
        <w:jc w:val="right"/>
        <w:rPr>
          <w:rFonts w:ascii="仿宋" w:eastAsia="仿宋" w:hAnsi="仿宋" w:cs="仿宋"/>
          <w:sz w:val="24"/>
        </w:rPr>
      </w:pPr>
      <w:r>
        <w:rPr>
          <w:rFonts w:ascii="仿宋" w:eastAsia="仿宋" w:hAnsi="仿宋" w:cs="仿宋" w:hint="eastAsia"/>
          <w:sz w:val="24"/>
        </w:rPr>
        <w:t>单位：元、份、元/份</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05"/>
        <w:gridCol w:w="1418"/>
        <w:gridCol w:w="585"/>
        <w:gridCol w:w="407"/>
        <w:gridCol w:w="992"/>
        <w:gridCol w:w="3321"/>
      </w:tblGrid>
      <w:tr>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sz w:val="24"/>
              </w:rPr>
              <w:t>主要财务指标</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报告期</w:t>
            </w:r>
          </w:p>
          <w:p w:rsidR="00461C5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w:t>
            </w:r>
            <w:r>
              <w:rPr>
                <w:rFonts w:ascii="仿宋" w:eastAsia="仿宋" w:hAnsi="仿宋" w:cs="仿宋"/>
                <w:color w:val="000000"/>
                <w:sz w:val="24"/>
              </w:rPr>
              <w:t>2023年1月1日</w:t>
            </w:r>
            <w:r>
              <w:rPr>
                <w:rFonts w:ascii="仿宋" w:eastAsia="仿宋" w:hAnsi="仿宋" w:cs="仿宋" w:hint="eastAsia"/>
                <w:color w:val="000000"/>
                <w:kern w:val="0"/>
                <w:sz w:val="24"/>
              </w:rPr>
              <w:t>-</w:t>
            </w:r>
            <w:r>
              <w:rPr>
                <w:rFonts w:ascii="仿宋" w:eastAsia="仿宋" w:hAnsi="仿宋" w:cs="仿宋"/>
                <w:color w:val="000000"/>
                <w:sz w:val="24"/>
              </w:rPr>
              <w:t>2023年3月31日</w:t>
            </w:r>
            <w:r>
              <w:rPr>
                <w:rFonts w:ascii="仿宋" w:eastAsia="仿宋" w:hAnsi="仿宋" w:cs="仿宋" w:hint="eastAsia"/>
                <w:color w:val="000000"/>
                <w:kern w:val="0"/>
                <w:sz w:val="24"/>
              </w:rPr>
              <w:t>）</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1.期末产品资产净值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1,338,512,601.33</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Fonts w:ascii="仿宋" w:eastAsia="仿宋" w:hAnsi="仿宋" w:cs="仿宋"/>
                <w:sz w:val="24"/>
              </w:rPr>
            </w:pPr>
            <w:r>
              <w:rPr>
                <w:rFonts w:ascii="仿宋" w:eastAsia="仿宋" w:hAnsi="仿宋" w:cs="仿宋" w:hint="eastAsia"/>
                <w:sz w:val="24"/>
              </w:rPr>
              <w:t>2.期末产品总份额</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kern w:val="0"/>
                <w:sz w:val="24"/>
              </w:rPr>
            </w:pPr>
            <w:r>
              <w:rPr>
                <w:rFonts w:ascii="仿宋" w:eastAsia="仿宋" w:hAnsi="仿宋" w:cs="仿宋" w:hint="eastAsia"/>
                <w:kern w:val="0"/>
                <w:sz w:val="24"/>
              </w:rPr>
              <w:t>1,173,992,374.35</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3.期末产品份额单位净值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1.1401</w:t>
            </w:r>
          </w:p>
        </w:tc>
      </w:tr>
      <w:tr>
        <w:tblPrEx>
          <w:tblW w:w="9128" w:type="dxa"/>
          <w:tblLayout w:type="fixed"/>
          <w:tblLook w:val="04A0"/>
        </w:tblPrEx>
        <w:trPr>
          <w:trHeight w:val="23"/>
        </w:trPr>
        <w:tc>
          <w:tcPr>
            <w:tcW w:w="4408"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rPr>
                <w:rStyle w:val="a"/>
                <w:rFonts w:ascii="仿宋" w:eastAsia="仿宋" w:hAnsi="仿宋" w:cs="仿宋"/>
                <w:sz w:val="24"/>
              </w:rPr>
            </w:pPr>
            <w:r>
              <w:rPr>
                <w:rFonts w:ascii="仿宋" w:eastAsia="仿宋" w:hAnsi="仿宋" w:cs="仿宋" w:hint="eastAsia"/>
                <w:sz w:val="24"/>
              </w:rPr>
              <w:t>4.期末产品份额累计净值</w:t>
            </w:r>
          </w:p>
        </w:tc>
        <w:tc>
          <w:tcPr>
            <w:tcW w:w="4720" w:type="dxa"/>
            <w:gridSpan w:val="3"/>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right"/>
              <w:rPr>
                <w:rFonts w:ascii="仿宋" w:eastAsia="仿宋" w:hAnsi="仿宋" w:cs="仿宋"/>
                <w:sz w:val="24"/>
              </w:rPr>
            </w:pPr>
            <w:r>
              <w:rPr>
                <w:rFonts w:ascii="仿宋" w:eastAsia="仿宋" w:hAnsi="仿宋" w:cs="仿宋" w:hint="eastAsia"/>
                <w:kern w:val="0"/>
                <w:sz w:val="24"/>
              </w:rPr>
              <w:t>1.1401</w:t>
            </w:r>
          </w:p>
        </w:tc>
      </w:tr>
      <w:tr>
        <w:tblPrEx>
          <w:tblW w:w="9128" w:type="dxa"/>
          <w:tblLayout w:type="fixed"/>
          <w:tblLook w:val="04A0"/>
        </w:tblPrEx>
        <w:trPr>
          <w:trHeight w:val="23"/>
        </w:trPr>
        <w:tc>
          <w:tcPr>
            <w:tcW w:w="9128" w:type="dxa"/>
            <w:gridSpan w:val="6"/>
            <w:tcBorders>
              <w:top w:val="single" w:sz="4" w:space="0" w:color="auto"/>
              <w:left w:val="single" w:sz="4" w:space="0" w:color="auto"/>
              <w:bottom w:val="single" w:sz="4" w:space="0" w:color="auto"/>
              <w:right w:val="single" w:sz="4" w:space="0" w:color="auto"/>
            </w:tcBorders>
            <w:vAlign w:val="center"/>
          </w:tcPr>
          <w:p w:rsidR="00461C5A">
            <w:pPr>
              <w:widowControl/>
              <w:adjustRightInd w:val="0"/>
              <w:snapToGrid w:val="0"/>
              <w:jc w:val="center"/>
              <w:rPr>
                <w:rFonts w:ascii="仿宋" w:eastAsia="仿宋" w:hAnsi="仿宋" w:cs="仿宋"/>
                <w:color w:val="0000FF"/>
                <w:sz w:val="24"/>
              </w:rPr>
            </w:pPr>
            <w:r>
              <w:rPr>
                <w:rFonts w:ascii="仿宋" w:eastAsia="仿宋" w:hAnsi="仿宋" w:cs="仿宋" w:hint="eastAsia"/>
                <w:kern w:val="0"/>
                <w:sz w:val="24"/>
              </w:rPr>
              <w:t>报告期末下属子产品相关信息披露</w:t>
            </w:r>
          </w:p>
        </w:tc>
      </w:tr>
      <w:tr w:rsidTr="006D2317">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子产品名称</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子产品代码</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w:t>
            </w:r>
          </w:p>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净值</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份额累计净值</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475B00">
            <w:pPr>
              <w:widowControl/>
              <w:adjustRightInd w:val="0"/>
              <w:snapToGrid w:val="0"/>
              <w:jc w:val="center"/>
              <w:rPr>
                <w:rFonts w:ascii="仿宋" w:eastAsia="仿宋" w:hAnsi="仿宋" w:cs="仿宋"/>
                <w:kern w:val="0"/>
                <w:sz w:val="24"/>
              </w:rPr>
            </w:pPr>
            <w:r>
              <w:rPr>
                <w:rFonts w:ascii="仿宋" w:eastAsia="仿宋" w:hAnsi="仿宋" w:cs="仿宋" w:hint="eastAsia"/>
                <w:kern w:val="0"/>
                <w:sz w:val="24"/>
              </w:rPr>
              <w:t>资产净值</w:t>
            </w:r>
          </w:p>
        </w:tc>
      </w:tr>
      <w:tr w:rsidTr="00295335">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季添益1906期</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TYG3M1906</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1.1399</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1.1399</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1,080,846,978.25</w:t>
            </w:r>
          </w:p>
        </w:tc>
      </w:tr>
      <w:tr w:rsidTr="00295335">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季添益1906期B款</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TYG3M1906B</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1.1407</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1.1407</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236,673,788.18</w:t>
            </w:r>
          </w:p>
        </w:tc>
      </w:tr>
      <w:tr w:rsidTr="00295335">
        <w:tblPrEx>
          <w:tblW w:w="9128" w:type="dxa"/>
          <w:tblLayout w:type="fixed"/>
          <w:tblLook w:val="04A0"/>
        </w:tblPrEx>
        <w:trPr>
          <w:trHeight w:val="23"/>
        </w:trPr>
        <w:tc>
          <w:tcPr>
            <w:tcW w:w="2405"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季添益1906期C款</w:t>
            </w:r>
          </w:p>
        </w:tc>
        <w:tc>
          <w:tcPr>
            <w:tcW w:w="1418"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TYG3M1906C</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1.1407</w:t>
            </w:r>
          </w:p>
        </w:tc>
        <w:tc>
          <w:tcPr>
            <w:tcW w:w="992" w:type="dxa"/>
            <w:tcBorders>
              <w:top w:val="single" w:sz="4" w:space="0" w:color="auto"/>
              <w:left w:val="single" w:sz="4" w:space="0" w:color="auto"/>
              <w:bottom w:val="single" w:sz="4" w:space="0" w:color="auto"/>
              <w:right w:val="single" w:sz="4" w:space="0" w:color="auto"/>
            </w:tcBorders>
            <w:vAlign w:val="center"/>
          </w:tcPr>
          <w:p w:rsidR="00134D0D" w:rsidP="00475B00">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1.1407</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pStyle w:val="NormalWeb"/>
              <w:adjustRightInd w:val="0"/>
              <w:snapToGrid w:val="0"/>
              <w:spacing w:before="0" w:beforeAutospacing="0" w:after="0" w:afterAutospacing="0"/>
              <w:jc w:val="center"/>
              <w:rPr>
                <w:rFonts w:ascii="仿宋" w:eastAsia="仿宋" w:hAnsi="仿宋" w:cs="仿宋"/>
                <w:color w:val="000000"/>
                <w:szCs w:val="24"/>
              </w:rPr>
            </w:pPr>
            <w:r>
              <w:rPr>
                <w:rFonts w:ascii="仿宋" w:eastAsia="仿宋" w:hAnsi="仿宋" w:cs="仿宋" w:hint="eastAsia"/>
                <w:color w:val="000000"/>
                <w:szCs w:val="24"/>
              </w:rPr>
              <w:t>20,991,834.90</w:t>
            </w:r>
          </w:p>
        </w:tc>
      </w:tr>
    </w:tbl>
    <w:p w:rsidR="00134D0D" w:rsidP="00134D0D">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3.</w:t>
      </w:r>
      <w:r>
        <w:rPr>
          <w:rFonts w:ascii="仿宋" w:eastAsia="仿宋" w:hAnsi="仿宋" w:cs="仿宋"/>
          <w:b/>
          <w:sz w:val="24"/>
        </w:rPr>
        <w:t>2</w:t>
      </w:r>
      <w:r>
        <w:rPr>
          <w:rFonts w:ascii="仿宋" w:eastAsia="仿宋" w:hAnsi="仿宋" w:cs="仿宋" w:hint="eastAsia"/>
          <w:b/>
          <w:sz w:val="24"/>
        </w:rPr>
        <w:t xml:space="preserve"> </w:t>
      </w:r>
      <w:r>
        <w:rPr>
          <w:rFonts w:ascii="仿宋" w:eastAsia="仿宋" w:hAnsi="仿宋" w:cs="仿宋" w:hint="eastAsia"/>
          <w:b/>
          <w:sz w:val="24"/>
        </w:rPr>
        <w:t>产品收益</w:t>
      </w:r>
      <w:r>
        <w:rPr>
          <w:rFonts w:ascii="仿宋" w:eastAsia="仿宋" w:hAnsi="仿宋" w:cs="仿宋" w:hint="eastAsia"/>
          <w:b/>
          <w:sz w:val="24"/>
        </w:rPr>
        <w:t>表现</w:t>
      </w:r>
    </w:p>
    <w:tbl>
      <w:tblPr>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07"/>
        <w:gridCol w:w="3321"/>
      </w:tblGrid>
      <w:tr w:rsidTr="003D3797">
        <w:tblPrEx>
          <w:tblW w:w="9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产品</w:t>
            </w:r>
            <w:r w:rsidR="005F727E">
              <w:rPr>
                <w:rFonts w:ascii="仿宋" w:eastAsia="仿宋" w:hAnsi="仿宋" w:cs="仿宋" w:hint="eastAsia"/>
                <w:color w:val="000000"/>
                <w:kern w:val="0"/>
                <w:sz w:val="24"/>
              </w:rPr>
              <w:t>名称</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C77B8A">
            <w:pPr>
              <w:widowControl/>
              <w:adjustRightInd w:val="0"/>
              <w:snapToGrid w:val="0"/>
              <w:jc w:val="center"/>
              <w:rPr>
                <w:rFonts w:ascii="仿宋" w:eastAsia="仿宋" w:hAnsi="仿宋" w:cs="仿宋"/>
                <w:color w:val="000000"/>
                <w:kern w:val="0"/>
                <w:sz w:val="24"/>
              </w:rPr>
            </w:pPr>
            <w:r>
              <w:rPr>
                <w:rFonts w:ascii="仿宋" w:eastAsia="仿宋" w:hAnsi="仿宋" w:cs="仿宋" w:hint="eastAsia"/>
                <w:color w:val="000000"/>
                <w:kern w:val="0"/>
                <w:sz w:val="24"/>
              </w:rPr>
              <w:t>成立</w:t>
            </w:r>
            <w:r>
              <w:rPr>
                <w:rFonts w:ascii="仿宋" w:eastAsia="仿宋" w:hAnsi="仿宋" w:cs="仿宋" w:hint="eastAsia"/>
                <w:color w:val="000000"/>
                <w:kern w:val="0"/>
                <w:sz w:val="24"/>
              </w:rPr>
              <w:t>以来年化收益率</w:t>
            </w:r>
          </w:p>
        </w:tc>
      </w:tr>
      <w:tr w:rsidTr="003D3797">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2F014C">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季添益1906期</w:t>
            </w:r>
            <w:bookmarkStart w:id="1" w:name="_GoBack"/>
            <w:bookmarkEnd w:id="1"/>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widowControl/>
              <w:adjustRightInd w:val="0"/>
              <w:snapToGrid w:val="0"/>
              <w:jc w:val="center"/>
              <w:rPr>
                <w:rFonts w:ascii="仿宋" w:eastAsia="仿宋" w:hAnsi="仿宋" w:cs="仿宋"/>
                <w:sz w:val="24"/>
              </w:rPr>
            </w:pPr>
            <w:r>
              <w:rPr>
                <w:rFonts w:ascii="仿宋" w:eastAsia="仿宋" w:hAnsi="仿宋" w:cs="仿宋" w:hint="eastAsia"/>
                <w:sz w:val="24"/>
              </w:rPr>
              <w:t>3.73</w:t>
            </w:r>
            <w:r>
              <w:rPr>
                <w:rFonts w:ascii="仿宋" w:eastAsia="仿宋" w:hAnsi="仿宋" w:cs="仿宋"/>
                <w:sz w:val="24"/>
              </w:rPr>
              <w:t>%</w:t>
            </w:r>
          </w:p>
        </w:tc>
      </w:tr>
      <w:tr w:rsidTr="003D3797">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2F014C">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季添益1906期B款</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widowControl/>
              <w:adjustRightInd w:val="0"/>
              <w:snapToGrid w:val="0"/>
              <w:jc w:val="center"/>
              <w:rPr>
                <w:rFonts w:ascii="仿宋" w:eastAsia="仿宋" w:hAnsi="仿宋" w:cs="仿宋"/>
                <w:sz w:val="24"/>
              </w:rPr>
            </w:pPr>
            <w:r>
              <w:rPr>
                <w:rFonts w:ascii="仿宋" w:eastAsia="仿宋" w:hAnsi="仿宋" w:cs="仿宋" w:hint="eastAsia"/>
                <w:sz w:val="24"/>
              </w:rPr>
              <w:t>3.75</w:t>
            </w:r>
            <w:r>
              <w:rPr>
                <w:rFonts w:ascii="仿宋" w:eastAsia="仿宋" w:hAnsi="仿宋" w:cs="仿宋"/>
                <w:sz w:val="24"/>
              </w:rPr>
              <w:t>%</w:t>
            </w:r>
          </w:p>
        </w:tc>
      </w:tr>
      <w:tr w:rsidTr="003D3797">
        <w:tblPrEx>
          <w:tblW w:w="9128" w:type="dxa"/>
          <w:tblLayout w:type="fixed"/>
          <w:tblLook w:val="04A0"/>
        </w:tblPrEx>
        <w:trPr>
          <w:trHeight w:val="23"/>
        </w:trPr>
        <w:tc>
          <w:tcPr>
            <w:tcW w:w="5807" w:type="dxa"/>
            <w:tcBorders>
              <w:top w:val="single" w:sz="4" w:space="0" w:color="auto"/>
              <w:left w:val="single" w:sz="4" w:space="0" w:color="auto"/>
              <w:bottom w:val="single" w:sz="4" w:space="0" w:color="auto"/>
              <w:right w:val="single" w:sz="4" w:space="0" w:color="auto"/>
            </w:tcBorders>
            <w:vAlign w:val="center"/>
          </w:tcPr>
          <w:p w:rsidR="00134D0D" w:rsidP="002F014C">
            <w:pPr>
              <w:widowControl/>
              <w:adjustRightInd w:val="0"/>
              <w:snapToGrid w:val="0"/>
              <w:jc w:val="center"/>
              <w:rPr>
                <w:rStyle w:val="a"/>
                <w:rFonts w:ascii="仿宋" w:eastAsia="仿宋" w:hAnsi="仿宋" w:cs="仿宋"/>
                <w:sz w:val="24"/>
              </w:rPr>
            </w:pPr>
            <w:r>
              <w:rPr>
                <w:rStyle w:val="a"/>
                <w:rFonts w:ascii="仿宋" w:eastAsia="仿宋" w:hAnsi="仿宋" w:cs="仿宋" w:hint="eastAsia"/>
                <w:sz w:val="24"/>
              </w:rPr>
              <w:t>季添益1906期C款</w:t>
            </w:r>
          </w:p>
        </w:tc>
        <w:tc>
          <w:tcPr>
            <w:tcW w:w="3321" w:type="dxa"/>
            <w:tcBorders>
              <w:top w:val="single" w:sz="4" w:space="0" w:color="auto"/>
              <w:left w:val="single" w:sz="4" w:space="0" w:color="auto"/>
              <w:bottom w:val="single" w:sz="4" w:space="0" w:color="auto"/>
              <w:right w:val="single" w:sz="4" w:space="0" w:color="auto"/>
            </w:tcBorders>
            <w:vAlign w:val="center"/>
          </w:tcPr>
          <w:p w:rsidR="00134D0D" w:rsidP="00134D0D">
            <w:pPr>
              <w:widowControl/>
              <w:adjustRightInd w:val="0"/>
              <w:snapToGrid w:val="0"/>
              <w:jc w:val="center"/>
              <w:rPr>
                <w:rFonts w:ascii="仿宋" w:eastAsia="仿宋" w:hAnsi="仿宋" w:cs="仿宋"/>
                <w:sz w:val="24"/>
              </w:rPr>
            </w:pPr>
            <w:r>
              <w:rPr>
                <w:rFonts w:ascii="仿宋" w:eastAsia="仿宋" w:hAnsi="仿宋" w:cs="仿宋" w:hint="eastAsia"/>
                <w:sz w:val="24"/>
              </w:rPr>
              <w:t>3.75</w:t>
            </w:r>
            <w:r>
              <w:rPr>
                <w:rFonts w:ascii="仿宋" w:eastAsia="仿宋" w:hAnsi="仿宋" w:cs="仿宋"/>
                <w:sz w:val="24"/>
              </w:rPr>
              <w:t>%</w:t>
            </w:r>
          </w:p>
        </w:tc>
      </w:tr>
    </w:tbl>
    <w:p w:rsidR="00461C5A" w:rsidRPr="00134D0D">
      <w:pPr>
        <w:adjustRightInd w:val="0"/>
        <w:snapToGrid w:val="0"/>
        <w:rPr>
          <w:rFonts w:ascii="仿宋" w:eastAsia="仿宋" w:hAnsi="仿宋" w:cs="仿宋"/>
          <w:color w:val="404040"/>
          <w:kern w:val="0"/>
          <w:sz w:val="24"/>
        </w:rPr>
      </w:pPr>
    </w:p>
    <w:p w:rsidR="00134D0D">
      <w:pPr>
        <w:adjustRightInd w:val="0"/>
        <w:snapToGrid w:val="0"/>
        <w:rPr>
          <w:rFonts w:ascii="仿宋" w:eastAsia="仿宋" w:hAnsi="仿宋" w:cs="仿宋" w:hint="eastAsia"/>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§4  投资组合报告</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4.1 </w:t>
      </w:r>
      <w:r w:rsidR="00FB089E">
        <w:rPr>
          <w:rFonts w:ascii="仿宋" w:eastAsia="仿宋" w:hAnsi="仿宋" w:cs="仿宋" w:hint="eastAsia"/>
          <w:b/>
          <w:sz w:val="24"/>
        </w:rPr>
        <w:t>报告期内产品投资策略</w:t>
      </w:r>
      <w:r>
        <w:rPr>
          <w:rFonts w:ascii="仿宋" w:eastAsia="仿宋" w:hAnsi="仿宋" w:cs="仿宋" w:hint="eastAsia"/>
          <w:b/>
          <w:sz w:val="24"/>
        </w:rPr>
        <w:t>回顾</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2023年1季度以来，利率债收益率震荡，信用债收益率整体下行，债市经历了对经济复苏的强预期到弱预期的修复。春节前，受疫情防控政策和房地产政策调整影响，市场对经济复苏预期强烈，春节后，信贷开门红，但市场对实体经济复苏存在较大分歧，理财赎回风波缓解后，银行理财对信用债配置带动信用债收益率大幅下行，3月后，两会设定的GDP增速目标低于市场预期，出口走弱，叠加3月底央行超预期降准，带动中短期债券收益率下行。从收益率来看，当前10年国债收益率2.87%，较年初小幅上行，当前3年期AA+城投债收益率3.23%，较年初下行40bp，当前3年期AAA二级资本债收益率3.28%，较年初下行8bp。本产品主要配置固收类资产，债券部分以信用债为主，受益于一季度信用债收益率大幅下行，通过杠杆策略和久期策略，产品净值收益表现较好。</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4.2</w:t>
      </w:r>
      <w:r>
        <w:rPr>
          <w:rFonts w:ascii="仿宋" w:eastAsia="仿宋" w:hAnsi="仿宋" w:cs="仿宋" w:hint="eastAsia"/>
          <w:b/>
          <w:sz w:val="24"/>
        </w:rPr>
        <w:t>产品未来展望</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展望2023年2季度，基本面来看，社融数据出现季节性回升，贷款数据远超预期，高频数据看，地产下游销售数据也出现季节性回暖，但持续性依然有待观察。海外经济存在不确定性，欧美数据虽然在高位，但已出现逐步回落趋势；资金面来看，流动性合理充裕的基调仍将持续，在一季度降准后，短期内降准预期会减弱，但预期市场利率依然会围绕政策利率波动，波动幅度会在税期、季末等时点有所扩大。</w:t>
        <w:cr/>
        <w:t>本产品以主要投资于债券等固定收益类资产。信用债投资方面，在严格把控信用风险的前提下，挖掘个券的超额收益机会；利率债和同业存单投资方面，继续保持灵活适度操作，择机参与波段机会。</w:t>
      </w:r>
    </w:p>
    <w:p w:rsidR="00461C5A"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4.3</w:t>
      </w:r>
      <w:r>
        <w:rPr>
          <w:rFonts w:ascii="仿宋" w:eastAsia="仿宋" w:hAnsi="仿宋" w:cs="仿宋" w:hint="eastAsia"/>
          <w:b/>
          <w:sz w:val="24"/>
        </w:rPr>
        <w:t>投资组合的流动性风险分析</w:t>
      </w:r>
    </w:p>
    <w:p w:rsidR="00461C5A" w:rsidP="00FB089E">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流动性风险是指理财产品无法通过变现资产等途径以合理成本及时获得充足资金，用于满足该理财产品的投资者赎回需求、履行其他支付义务的风险。本产品主要直接或者间接投资于债券类资产，投资的债券资产流动性状况良好，正常情况下能够及时变现资产，筹集资金，满足本产品的投资者赎回需求或其他支付要求。报告期内，本产品组合资产的流动性与产品的申赎安排相匹配，未发生重大流动性风险事件。管理人将继续密切关注市场变化，做好产品端现金流的跟踪与研判，通过合理安排投资品种和期限结构、监控组合资金头寸等方式，确保产品的流动性风险得到有效管理。</w:t>
      </w:r>
    </w:p>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 xml:space="preserve">4.4 </w:t>
      </w:r>
      <w:r w:rsidR="00FB089E">
        <w:rPr>
          <w:rFonts w:ascii="仿宋" w:eastAsia="仿宋" w:hAnsi="仿宋" w:cs="仿宋" w:hint="eastAsia"/>
          <w:b/>
          <w:sz w:val="24"/>
        </w:rPr>
        <w:t>报告期末穿透前</w:t>
      </w:r>
      <w:r w:rsidRPr="00FB089E">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14"/>
        <w:gridCol w:w="2833"/>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14"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833" w:type="dxa"/>
            <w:tcBorders>
              <w:top w:val="single" w:sz="4" w:space="0" w:color="auto"/>
              <w:left w:val="nil"/>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现金及银行存款</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0.17%</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同业存单</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拆放同业及债券买入返售</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8.49%</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债券</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71.86%</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非标准化债权类资产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权益类投资</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金融衍生品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代客境外理财投资QDII</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商品类资产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另类资产</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11</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公募基金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12</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私募基金</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13</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资产管理产品</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19.48%</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14</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委外投资——协议方式</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15</w:t>
            </w:r>
          </w:p>
        </w:tc>
        <w:tc>
          <w:tcPr>
            <w:tcW w:w="5614"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合计</w:t>
            </w:r>
          </w:p>
        </w:tc>
        <w:tc>
          <w:tcPr>
            <w:tcW w:w="2833"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100.00%</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 xml:space="preserve">4.5 </w:t>
      </w:r>
      <w:r w:rsidR="00FB089E">
        <w:rPr>
          <w:rFonts w:ascii="仿宋" w:eastAsia="仿宋" w:hAnsi="仿宋" w:cs="仿宋" w:hint="eastAsia"/>
          <w:b/>
          <w:sz w:val="24"/>
        </w:rPr>
        <w:t>报告期末穿透后</w:t>
      </w:r>
      <w:r>
        <w:rPr>
          <w:rFonts w:ascii="仿宋" w:eastAsia="仿宋" w:hAnsi="仿宋" w:cs="仿宋" w:hint="eastAsia"/>
          <w:b/>
          <w:sz w:val="24"/>
        </w:rPr>
        <w:t>投资组合分类</w:t>
      </w:r>
    </w:p>
    <w:tbl>
      <w:tblPr>
        <w:tblW w:w="9019" w:type="dxa"/>
        <w:tblInd w:w="-5" w:type="dxa"/>
        <w:tblLayout w:type="fixed"/>
        <w:tblCellMar>
          <w:left w:w="0" w:type="dxa"/>
          <w:right w:w="0" w:type="dxa"/>
        </w:tblCellMar>
        <w:tblLook w:val="04A0"/>
      </w:tblPr>
      <w:tblGrid>
        <w:gridCol w:w="572"/>
        <w:gridCol w:w="5647"/>
        <w:gridCol w:w="2800"/>
      </w:tblGrid>
      <w:tr>
        <w:tblPrEx>
          <w:tblW w:w="9019" w:type="dxa"/>
          <w:tblInd w:w="-5" w:type="dxa"/>
          <w:tblLayout w:type="fixed"/>
          <w:tblCellMar>
            <w:left w:w="0" w:type="dxa"/>
            <w:right w:w="0" w:type="dxa"/>
          </w:tblCellMar>
          <w:tblLook w:val="04A0"/>
        </w:tblPrEx>
        <w:trPr>
          <w:trHeight w:val="415"/>
        </w:trPr>
        <w:tc>
          <w:tcPr>
            <w:tcW w:w="57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5647"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highlight w:val="yellow"/>
              </w:rPr>
            </w:pPr>
            <w:r>
              <w:rPr>
                <w:rFonts w:ascii="仿宋" w:eastAsia="仿宋" w:hAnsi="仿宋" w:cs="仿宋" w:hint="eastAsia"/>
                <w:sz w:val="24"/>
              </w:rPr>
              <w:t>项目</w:t>
            </w:r>
          </w:p>
        </w:tc>
        <w:tc>
          <w:tcPr>
            <w:tcW w:w="2800" w:type="dxa"/>
            <w:tcBorders>
              <w:top w:val="single" w:sz="4" w:space="0" w:color="auto"/>
              <w:left w:val="nil"/>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期末占总资产比例（％）</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现金及银行存款</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0.43%</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同业存单</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拆放同业及债券买入返售</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8.88%</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债券</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87.05%</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非标准化债权类资产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6</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权益类投资</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3.65%</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7</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金融衍生品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8</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代客境外理财投资QDII</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9</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商品类资产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另类资产</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11</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公募基金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12</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私募基金</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13</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资产管理产品</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14</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委外投资——协议方式</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0.00%</w:t>
            </w:r>
          </w:p>
        </w:tc>
      </w:tr>
      <w:tr>
        <w:tblPrEx>
          <w:tblW w:w="9019" w:type="dxa"/>
          <w:tblInd w:w="-5" w:type="dxa"/>
          <w:tblLayout w:type="fixed"/>
          <w:tblCellMar>
            <w:left w:w="0" w:type="dxa"/>
            <w:right w:w="0" w:type="dxa"/>
          </w:tblCellMar>
          <w:tblLook w:val="04A0"/>
        </w:tblPrEx>
        <w:trPr>
          <w:trHeight w:val="20"/>
        </w:trPr>
        <w:tc>
          <w:tcPr>
            <w:tcW w:w="572" w:type="dxa"/>
            <w:tcBorders>
              <w:top w:val="single" w:sz="4" w:space="0" w:color="auto"/>
              <w:left w:val="single" w:sz="4" w:space="0" w:color="auto"/>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15</w:t>
            </w:r>
          </w:p>
        </w:tc>
        <w:tc>
          <w:tcPr>
            <w:tcW w:w="5647"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合计</w:t>
            </w:r>
          </w:p>
        </w:tc>
        <w:tc>
          <w:tcPr>
            <w:tcW w:w="2800" w:type="dxa"/>
            <w:tcBorders>
              <w:top w:val="single" w:sz="4" w:space="0" w:color="auto"/>
              <w:left w:val="nil"/>
              <w:bottom w:val="single" w:sz="4" w:space="0" w:color="auto"/>
              <w:right w:val="single" w:sz="4" w:space="0" w:color="auto"/>
            </w:tcBorders>
            <w:vAlign w:val="center"/>
          </w:tcPr>
          <w:p w:rsidR="00461C5A">
            <w:pPr>
              <w:pStyle w:val="Heading3"/>
              <w:adjustRightInd w:val="0"/>
              <w:snapToGrid w:val="0"/>
              <w:spacing w:line="240" w:lineRule="auto"/>
              <w:jc w:val="center"/>
              <w:rPr>
                <w:rFonts w:ascii="仿宋" w:eastAsia="仿宋" w:hAnsi="仿宋" w:cs="仿宋"/>
                <w:b w:val="0"/>
                <w:sz w:val="24"/>
              </w:rPr>
            </w:pPr>
            <w:r>
              <w:rPr>
                <w:rFonts w:ascii="仿宋" w:eastAsia="仿宋" w:hAnsi="仿宋" w:cs="仿宋" w:hint="eastAsia"/>
                <w:b w:val="0"/>
                <w:sz w:val="24"/>
              </w:rPr>
              <w:t>100.00%</w:t>
            </w:r>
          </w:p>
        </w:tc>
      </w:tr>
    </w:tbl>
    <w:p w:rsidR="00461C5A" w:rsidRPr="00FB089E" w:rsidP="00FB089E">
      <w:pPr>
        <w:adjustRightInd w:val="0"/>
        <w:snapToGrid w:val="0"/>
        <w:spacing w:line="440" w:lineRule="exact"/>
        <w:outlineLvl w:val="2"/>
        <w:rPr>
          <w:rFonts w:ascii="仿宋" w:eastAsia="仿宋" w:hAnsi="仿宋" w:cs="仿宋"/>
          <w:b/>
          <w:sz w:val="24"/>
        </w:rPr>
      </w:pPr>
      <w:r w:rsidRPr="00FB089E">
        <w:rPr>
          <w:rFonts w:ascii="仿宋" w:eastAsia="仿宋" w:hAnsi="仿宋" w:cs="仿宋" w:hint="eastAsia"/>
          <w:b/>
          <w:sz w:val="24"/>
        </w:rPr>
        <w:t>4.6报告期末投资前十名资产明细</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62"/>
        <w:gridCol w:w="3772"/>
        <w:gridCol w:w="2340"/>
        <w:gridCol w:w="2356"/>
      </w:tblGrid>
      <w:tr>
        <w:tblPrEx>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资产名称</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华润信托钱盈1号集合资金信托计划</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211,595,796.89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15.81%</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20崇发01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71,270,068.49</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5.32%</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质押式逆回购(361761)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70,038,356.15</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5.23%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23衢州国资SCP001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59,996,663.01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4.48%</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22威海产投MTN001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51,638,972.60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3.86%</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6</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22历下控股PPN001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51,406,438.36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3.84%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7</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22海鸿01</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51,236,972.61</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3.83%</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8</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粤财信托·粤投保盈2号集合资金信托计划</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50,125,000.00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3.74%</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9</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质押式逆回购(359052)</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44,014,623.56</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3.29%</w:t>
            </w:r>
          </w:p>
        </w:tc>
      </w:tr>
      <w:tr>
        <w:tblPrEx>
          <w:tblW w:w="9030" w:type="dxa"/>
          <w:tblLayout w:type="fixed"/>
          <w:tblCellMar>
            <w:left w:w="0" w:type="dxa"/>
            <w:right w:w="0" w:type="dxa"/>
          </w:tblCellMar>
          <w:tblLook w:val="04A0"/>
        </w:tblPrEx>
        <w:tc>
          <w:tcPr>
            <w:tcW w:w="56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10</w:t>
            </w:r>
          </w:p>
        </w:tc>
        <w:tc>
          <w:tcPr>
            <w:tcW w:w="37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20溧开03</w:t>
            </w:r>
          </w:p>
        </w:tc>
        <w:tc>
          <w:tcPr>
            <w:tcW w:w="23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41,168,186.30</w:t>
            </w:r>
          </w:p>
        </w:tc>
        <w:tc>
          <w:tcPr>
            <w:tcW w:w="2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3.08%</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4.7 报告期融资情况</w:t>
      </w:r>
    </w:p>
    <w:p w:rsidR="00461C5A" w:rsidRPr="004458C8"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单位：人民币元</w:t>
      </w:r>
    </w:p>
    <w:tbl>
      <w:tblPr>
        <w:tblW w:w="8999" w:type="dxa"/>
        <w:tblInd w:w="-5" w:type="dxa"/>
        <w:tblLayout w:type="fixed"/>
        <w:tblCellMar>
          <w:left w:w="30" w:type="dxa"/>
          <w:right w:w="30" w:type="dxa"/>
        </w:tblCellMar>
        <w:tblLook w:val="04A0"/>
      </w:tblPr>
      <w:tblGrid>
        <w:gridCol w:w="632"/>
        <w:gridCol w:w="3167"/>
        <w:gridCol w:w="2433"/>
        <w:gridCol w:w="2767"/>
      </w:tblGrid>
      <w:tr>
        <w:tblPrEx>
          <w:tblW w:w="8999" w:type="dxa"/>
          <w:tblInd w:w="-5" w:type="dxa"/>
          <w:tblLayout w:type="fixed"/>
          <w:tblCellMar>
            <w:left w:w="30" w:type="dxa"/>
            <w:right w:w="30" w:type="dxa"/>
          </w:tblCellMar>
          <w:tblLook w:val="04A0"/>
        </w:tblPrEx>
        <w:trPr>
          <w:trHeight w:val="37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序号</w:t>
            </w:r>
          </w:p>
        </w:tc>
        <w:tc>
          <w:tcPr>
            <w:tcW w:w="31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项目</w:t>
            </w:r>
          </w:p>
        </w:tc>
        <w:tc>
          <w:tcPr>
            <w:tcW w:w="2433"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金额（元）</w:t>
            </w:r>
          </w:p>
        </w:tc>
        <w:tc>
          <w:tcPr>
            <w:tcW w:w="2767"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占资产净值比例（％）</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1</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报告期末质押式回购余额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2</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报告期末同业拆入余额</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r>
        <w:tblPrEx>
          <w:tblW w:w="8999" w:type="dxa"/>
          <w:tblInd w:w="-5" w:type="dxa"/>
          <w:tblLayout w:type="fixed"/>
          <w:tblCellMar>
            <w:left w:w="30" w:type="dxa"/>
            <w:right w:w="30" w:type="dxa"/>
          </w:tblCellMar>
          <w:tblLook w:val="04A0"/>
        </w:tblPrEx>
        <w:trPr>
          <w:trHeight w:val="295"/>
        </w:trPr>
        <w:tc>
          <w:tcPr>
            <w:tcW w:w="632" w:type="dxa"/>
            <w:tcBorders>
              <w:top w:val="single" w:sz="4" w:space="0" w:color="auto"/>
              <w:left w:val="single" w:sz="4" w:space="0" w:color="auto"/>
              <w:bottom w:val="single" w:sz="4" w:space="0" w:color="auto"/>
              <w:right w:val="single" w:sz="4" w:space="0" w:color="auto"/>
            </w:tcBorders>
          </w:tcPr>
          <w:p w:rsidR="00461C5A">
            <w:pPr>
              <w:adjustRightInd w:val="0"/>
              <w:snapToGrid w:val="0"/>
              <w:jc w:val="center"/>
              <w:rPr>
                <w:rFonts w:ascii="仿宋" w:eastAsia="仿宋" w:hAnsi="仿宋" w:cs="仿宋"/>
                <w:sz w:val="24"/>
              </w:rPr>
            </w:pPr>
            <w:r>
              <w:rPr>
                <w:rFonts w:ascii="仿宋" w:eastAsia="仿宋" w:hAnsi="仿宋" w:cs="仿宋" w:hint="eastAsia"/>
                <w:sz w:val="24"/>
              </w:rPr>
              <w:t>3</w:t>
            </w:r>
          </w:p>
        </w:tc>
        <w:tc>
          <w:tcPr>
            <w:tcW w:w="31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其他</w:t>
            </w:r>
          </w:p>
        </w:tc>
        <w:tc>
          <w:tcPr>
            <w:tcW w:w="24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c>
          <w:tcPr>
            <w:tcW w:w="2767"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kern w:val="0"/>
                <w:sz w:val="24"/>
              </w:rPr>
            </w:pPr>
            <w:r>
              <w:rPr>
                <w:rFonts w:ascii="仿宋" w:eastAsia="仿宋" w:hAnsi="仿宋" w:cs="仿宋" w:hint="eastAsia"/>
                <w:kern w:val="0"/>
                <w:sz w:val="24"/>
              </w:rPr>
              <w:t>0.00%</w:t>
            </w:r>
          </w:p>
        </w:tc>
      </w:tr>
    </w:tbl>
    <w:p w:rsidR="00461C5A" w:rsidP="00FB089E">
      <w:pPr>
        <w:adjustRightInd w:val="0"/>
        <w:snapToGrid w:val="0"/>
        <w:spacing w:line="440" w:lineRule="exact"/>
        <w:outlineLvl w:val="2"/>
        <w:rPr>
          <w:rFonts w:ascii="仿宋" w:eastAsia="仿宋" w:hAnsi="仿宋" w:cs="仿宋"/>
          <w:b/>
          <w:sz w:val="24"/>
        </w:rPr>
      </w:pPr>
      <w:bookmarkStart w:id="2" w:name="_Toc481074947"/>
      <w:r>
        <w:rPr>
          <w:rFonts w:ascii="仿宋" w:eastAsia="仿宋" w:hAnsi="仿宋" w:cs="仿宋" w:hint="eastAsia"/>
          <w:b/>
          <w:sz w:val="24"/>
        </w:rPr>
        <w:t>4.8报告期末投资非标准化债权资产</w:t>
      </w:r>
      <w:bookmarkEnd w:id="2"/>
      <w:r>
        <w:rPr>
          <w:rFonts w:ascii="仿宋" w:eastAsia="仿宋" w:hAnsi="仿宋" w:cs="仿宋" w:hint="eastAsia"/>
          <w:b/>
          <w:sz w:val="24"/>
        </w:rPr>
        <w:t>情况</w:t>
      </w:r>
    </w:p>
    <w:p w:rsidR="00461C5A">
      <w:pPr>
        <w:adjustRightInd w:val="0"/>
        <w:snapToGrid w:val="0"/>
        <w:spacing w:line="380" w:lineRule="exact"/>
        <w:ind w:firstLine="5880" w:firstLineChars="2800"/>
        <w:rPr>
          <w:rFonts w:ascii="仿宋" w:eastAsia="仿宋" w:hAnsi="仿宋" w:cs="仿宋"/>
          <w:sz w:val="24"/>
        </w:rPr>
      </w:pPr>
      <w:r>
        <w:rPr>
          <w:rFonts w:ascii="仿宋" w:eastAsia="仿宋" w:hAnsi="仿宋" w:cs="仿宋" w:hint="eastAsia"/>
          <w:sz w:val="24"/>
        </w:rPr>
        <w:t>单位：人民币元</w:t>
      </w:r>
    </w:p>
    <w:tbl>
      <w:tblPr>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
        <w:gridCol w:w="1330"/>
        <w:gridCol w:w="1569"/>
        <w:gridCol w:w="1041"/>
        <w:gridCol w:w="1833"/>
        <w:gridCol w:w="802"/>
        <w:gridCol w:w="970"/>
        <w:gridCol w:w="815"/>
      </w:tblGrid>
      <w:tr>
        <w:tblPrEx>
          <w:tblW w:w="8994"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634"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 xml:space="preserve">序号 </w:t>
            </w:r>
          </w:p>
        </w:tc>
        <w:tc>
          <w:tcPr>
            <w:tcW w:w="133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融资客户</w:t>
            </w:r>
          </w:p>
        </w:tc>
        <w:tc>
          <w:tcPr>
            <w:tcW w:w="1569"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项目名称</w:t>
            </w:r>
          </w:p>
        </w:tc>
        <w:tc>
          <w:tcPr>
            <w:tcW w:w="1041"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资产到期日</w:t>
            </w:r>
          </w:p>
        </w:tc>
        <w:tc>
          <w:tcPr>
            <w:tcW w:w="1833"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资产价值（元）</w:t>
            </w:r>
          </w:p>
        </w:tc>
        <w:tc>
          <w:tcPr>
            <w:tcW w:w="802"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交易结构</w:t>
            </w:r>
          </w:p>
        </w:tc>
        <w:tc>
          <w:tcPr>
            <w:tcW w:w="970"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color w:val="FF0000"/>
                <w:sz w:val="24"/>
              </w:rPr>
            </w:pPr>
            <w:r>
              <w:rPr>
                <w:rFonts w:ascii="仿宋" w:eastAsia="仿宋" w:hAnsi="仿宋" w:cs="仿宋" w:hint="eastAsia"/>
                <w:sz w:val="24"/>
              </w:rPr>
              <w:t>收益分配方式</w:t>
            </w:r>
          </w:p>
        </w:tc>
        <w:tc>
          <w:tcPr>
            <w:tcW w:w="815" w:type="dxa"/>
            <w:tcBorders>
              <w:top w:val="single" w:sz="4" w:space="0" w:color="auto"/>
              <w:left w:val="single" w:sz="4" w:space="0" w:color="auto"/>
              <w:bottom w:val="single" w:sz="4" w:space="0" w:color="auto"/>
              <w:right w:val="single" w:sz="4" w:space="0" w:color="auto"/>
            </w:tcBorders>
            <w:vAlign w:val="center"/>
          </w:tcPr>
          <w:p w:rsidR="00461C5A">
            <w:pPr>
              <w:adjustRightInd w:val="0"/>
              <w:snapToGrid w:val="0"/>
              <w:jc w:val="center"/>
              <w:rPr>
                <w:rFonts w:ascii="仿宋" w:eastAsia="仿宋" w:hAnsi="仿宋" w:cs="仿宋"/>
                <w:sz w:val="24"/>
              </w:rPr>
            </w:pPr>
            <w:r>
              <w:rPr>
                <w:rFonts w:ascii="仿宋" w:eastAsia="仿宋" w:hAnsi="仿宋" w:cs="仿宋" w:hint="eastAsia"/>
                <w:sz w:val="24"/>
              </w:rPr>
              <w:t>风险状况</w:t>
            </w:r>
          </w:p>
        </w:tc>
      </w:tr>
    </w:tbl>
    <w:p w:rsidR="00461C5A">
      <w:pPr>
        <w:adjustRightInd w:val="0"/>
        <w:snapToGrid w:val="0"/>
        <w:spacing w:line="380" w:lineRule="exact"/>
        <w:rPr>
          <w:rFonts w:ascii="仿宋" w:eastAsia="仿宋" w:hAnsi="仿宋" w:cs="仿宋"/>
          <w:color w:val="0000FF"/>
          <w:kern w:val="0"/>
          <w:sz w:val="24"/>
          <w:highlight w:val="yellow"/>
        </w:rPr>
      </w:pPr>
    </w:p>
    <w:p w:rsidR="00461C5A"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w:t>
      </w:r>
      <w:r>
        <w:rPr>
          <w:rFonts w:ascii="仿宋" w:eastAsia="仿宋" w:hAnsi="仿宋" w:cs="仿宋" w:hint="eastAsia"/>
          <w:sz w:val="24"/>
        </w:rPr>
        <w:t>5  产品份额变动</w:t>
      </w:r>
    </w:p>
    <w:p w:rsidR="00461C5A" w:rsidP="004458C8">
      <w:pPr>
        <w:adjustRightInd w:val="0"/>
        <w:snapToGrid w:val="0"/>
        <w:spacing w:line="440" w:lineRule="exact"/>
        <w:ind w:firstLine="5460" w:firstLineChars="2600"/>
        <w:jc w:val="right"/>
        <w:rPr>
          <w:rFonts w:ascii="仿宋" w:eastAsia="仿宋" w:hAnsi="仿宋" w:cs="仿宋"/>
          <w:sz w:val="24"/>
        </w:rPr>
      </w:pPr>
      <w:r>
        <w:rPr>
          <w:rFonts w:ascii="仿宋" w:eastAsia="仿宋" w:hAnsi="仿宋" w:cs="仿宋" w:hint="eastAsia"/>
          <w:sz w:val="24"/>
        </w:rPr>
        <w:t>单位：份</w:t>
      </w:r>
    </w:p>
    <w:tbl>
      <w:tblPr>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1"/>
        <w:gridCol w:w="4596"/>
      </w:tblGrid>
      <w:tr>
        <w:tblPrEx>
          <w:tblW w:w="8987"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报告期期初产品份额总额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2,113,173,218.48</w:t>
            </w:r>
          </w:p>
        </w:tc>
      </w:tr>
      <w:tr>
        <w:tblPrEx>
          <w:tblW w:w="8987" w:type="dxa"/>
          <w:tblInd w:w="79" w:type="dxa"/>
          <w:tblLayout w:type="fixed"/>
          <w:tblLook w:val="04A0"/>
        </w:tblPrEx>
        <w:tc>
          <w:tcPr>
            <w:tcW w:w="4391" w:type="dxa"/>
            <w:tcBorders>
              <w:top w:val="single" w:sz="4" w:space="0" w:color="auto"/>
              <w:left w:val="single" w:sz="4" w:space="0" w:color="auto"/>
              <w:bottom w:val="single" w:sz="4" w:space="0" w:color="auto"/>
              <w:right w:val="single" w:sz="4" w:space="0" w:color="auto"/>
            </w:tcBorders>
          </w:tcPr>
          <w:p w:rsidR="00461C5A">
            <w:pPr>
              <w:adjustRightInd w:val="0"/>
              <w:snapToGrid w:val="0"/>
              <w:rPr>
                <w:rFonts w:ascii="仿宋" w:eastAsia="仿宋" w:hAnsi="仿宋" w:cs="仿宋"/>
                <w:color w:val="000000"/>
                <w:sz w:val="24"/>
              </w:rPr>
            </w:pPr>
            <w:r>
              <w:rPr>
                <w:rFonts w:ascii="仿宋" w:eastAsia="仿宋" w:hAnsi="仿宋" w:cs="仿宋" w:hint="eastAsia"/>
                <w:color w:val="000000"/>
                <w:sz w:val="24"/>
              </w:rPr>
              <w:t>报告期期末产品份额总额</w:t>
            </w:r>
          </w:p>
        </w:tc>
        <w:tc>
          <w:tcPr>
            <w:tcW w:w="4596" w:type="dxa"/>
            <w:tcBorders>
              <w:top w:val="single" w:sz="4" w:space="0" w:color="auto"/>
              <w:left w:val="single" w:sz="4" w:space="0" w:color="auto"/>
              <w:bottom w:val="single" w:sz="4" w:space="0" w:color="auto"/>
              <w:right w:val="single" w:sz="4" w:space="0" w:color="auto"/>
            </w:tcBorders>
          </w:tcPr>
          <w:p w:rsidR="00461C5A">
            <w:pPr>
              <w:adjustRightInd w:val="0"/>
              <w:snapToGrid w:val="0"/>
              <w:jc w:val="right"/>
              <w:rPr>
                <w:rFonts w:ascii="仿宋" w:eastAsia="仿宋" w:hAnsi="仿宋" w:cs="仿宋"/>
                <w:color w:val="000000"/>
                <w:sz w:val="24"/>
              </w:rPr>
            </w:pPr>
            <w:r>
              <w:rPr>
                <w:rFonts w:ascii="仿宋" w:eastAsia="仿宋" w:hAnsi="仿宋" w:cs="仿宋" w:hint="eastAsia"/>
                <w:color w:val="000000"/>
                <w:sz w:val="24"/>
              </w:rPr>
              <w:t>1,173,992,374.35</w:t>
            </w:r>
          </w:p>
        </w:tc>
      </w:tr>
    </w:tbl>
    <w:p w:rsidR="00461C5A">
      <w:pPr>
        <w:widowControl/>
        <w:adjustRightInd w:val="0"/>
        <w:snapToGrid w:val="0"/>
        <w:jc w:val="left"/>
        <w:rPr>
          <w:rFonts w:ascii="仿宋" w:eastAsia="仿宋" w:hAnsi="仿宋" w:cs="仿宋"/>
          <w:color w:val="404040"/>
          <w:kern w:val="0"/>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§6 托管人报告</w:t>
      </w:r>
    </w:p>
    <w:p w:rsidR="00461C5A">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报告期内，杭州银行股份有限公司（以下简称“本托管人”）在对本产品的托管过程中，严格遵守了《关于规范金融机构资产管理业务的指导意见》《商业银行理财业务监督管理办法》《商业银行理财子公司管理办法》等相关法律法规、托管协议的规定，依法安全保管了本产品的全部资产，对本产品的投资运作进行了认真、独立的会计核算和必要的投资监督，没有从事任何损害产品份额持有人利益的行为，诚实信用、勤勉尽责地履行了托管人应尽的义务。</w:t>
      </w:r>
    </w:p>
    <w:p w:rsidR="00461C5A" w:rsidP="004458C8">
      <w:pPr>
        <w:adjustRightInd w:val="0"/>
        <w:snapToGrid w:val="0"/>
        <w:spacing w:line="420" w:lineRule="exact"/>
        <w:ind w:firstLine="420" w:firstLineChars="200"/>
        <w:rPr>
          <w:rFonts w:ascii="仿宋" w:eastAsia="仿宋" w:hAnsi="仿宋" w:cs="仿宋"/>
          <w:sz w:val="24"/>
        </w:rPr>
      </w:pPr>
      <w:r>
        <w:rPr>
          <w:rFonts w:ascii="仿宋" w:eastAsia="仿宋" w:hAnsi="仿宋" w:cs="仿宋" w:hint="eastAsia"/>
          <w:sz w:val="24"/>
        </w:rPr>
        <w:t>本托管人复核了本产品报告中的财务指标、净值表现和投资组合报告等内容。经复核，本产品报告中披露的理财产品财务数据核对一致。</w:t>
      </w:r>
    </w:p>
    <w:p w:rsidR="004458C8" w:rsidRPr="004458C8" w:rsidP="00FB089E">
      <w:pPr>
        <w:adjustRightInd w:val="0"/>
        <w:snapToGrid w:val="0"/>
        <w:rPr>
          <w:rFonts w:ascii="仿宋" w:eastAsia="仿宋" w:hAnsi="仿宋" w:cs="仿宋"/>
          <w:bCs/>
          <w:sz w:val="24"/>
        </w:rPr>
      </w:pPr>
    </w:p>
    <w:p w:rsidR="00461C5A" w:rsidRPr="004458C8" w:rsidP="004458C8">
      <w:pPr>
        <w:pStyle w:val="Heading2"/>
        <w:adjustRightInd w:val="0"/>
        <w:snapToGrid w:val="0"/>
        <w:spacing w:line="560" w:lineRule="exact"/>
        <w:jc w:val="center"/>
        <w:rPr>
          <w:rFonts w:ascii="仿宋" w:eastAsia="仿宋" w:hAnsi="仿宋" w:cs="仿宋"/>
          <w:sz w:val="24"/>
        </w:rPr>
      </w:pPr>
      <w:r w:rsidRPr="004458C8">
        <w:rPr>
          <w:rFonts w:ascii="仿宋" w:eastAsia="仿宋" w:hAnsi="仿宋" w:cs="仿宋" w:hint="eastAsia"/>
          <w:sz w:val="24"/>
        </w:rPr>
        <w:t>§7 报告期内关联交易情况</w:t>
      </w:r>
    </w:p>
    <w:p w:rsidR="00461C5A" w:rsidP="004458C8">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7.1 产品投资于关联</w:t>
      </w:r>
      <w:r>
        <w:rPr>
          <w:rFonts w:ascii="仿宋" w:eastAsia="仿宋" w:hAnsi="仿宋" w:cs="仿宋" w:hint="eastAsia"/>
          <w:b/>
          <w:sz w:val="24"/>
        </w:rPr>
        <w:t>方发行</w:t>
      </w:r>
      <w:r>
        <w:rPr>
          <w:rFonts w:ascii="仿宋" w:eastAsia="仿宋" w:hAnsi="仿宋" w:cs="仿宋" w:hint="eastAsia"/>
          <w:b/>
          <w:sz w:val="24"/>
        </w:rPr>
        <w:t>或承销的证券、资产管理产品，或其他关联交易</w:t>
      </w:r>
    </w:p>
    <w:p w:rsidR="00461C5A" w:rsidP="004458C8">
      <w:pPr>
        <w:adjustRightInd w:val="0"/>
        <w:snapToGrid w:val="0"/>
        <w:spacing w:line="440" w:lineRule="exact"/>
        <w:ind w:firstLine="5460" w:firstLineChars="2600"/>
        <w:jc w:val="right"/>
        <w:rPr>
          <w:rFonts w:ascii="仿宋" w:eastAsia="仿宋" w:hAnsi="仿宋" w:cs="仿宋"/>
          <w:b/>
          <w:sz w:val="24"/>
        </w:rPr>
      </w:pPr>
      <w:r>
        <w:rPr>
          <w:rFonts w:ascii="仿宋" w:eastAsia="仿宋" w:hAnsi="仿宋" w:cs="仿宋" w:hint="eastAsia"/>
          <w:sz w:val="24"/>
        </w:rPr>
        <w:t>单位：元、份</w:t>
      </w:r>
    </w:p>
    <w:tbl>
      <w:tblPr>
        <w:tblStyle w:val="TableGrid"/>
        <w:tblW w:w="8994" w:type="dxa"/>
        <w:tblInd w:w="67" w:type="dxa"/>
        <w:tblLayout w:type="fixed"/>
        <w:tblLook w:val="04A0"/>
      </w:tblPr>
      <w:tblGrid>
        <w:gridCol w:w="634"/>
        <w:gridCol w:w="1605"/>
        <w:gridCol w:w="1401"/>
        <w:gridCol w:w="791"/>
        <w:gridCol w:w="754"/>
        <w:gridCol w:w="1904"/>
        <w:gridCol w:w="1905"/>
      </w:tblGrid>
      <w:tr>
        <w:tblPrEx>
          <w:tblW w:w="8994" w:type="dxa"/>
          <w:tblInd w:w="67" w:type="dxa"/>
          <w:tblLayout w:type="fixed"/>
          <w:tblLook w:val="04A0"/>
        </w:tblPrEx>
        <w:trPr>
          <w:trHeight w:val="90"/>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资产名称</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资产类型</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交易类型</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份额</w:t>
            </w:r>
          </w:p>
        </w:tc>
      </w:tr>
      <w:tr>
        <w:tblPrEx>
          <w:tblW w:w="8994" w:type="dxa"/>
          <w:tblInd w:w="67" w:type="dxa"/>
          <w:tblLayout w:type="fixed"/>
          <w:tblLook w:val="04A0"/>
        </w:tblPrEx>
        <w:trPr>
          <w:trHeight w:val="462"/>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22如皋经贸MTN003</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债券</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卖出</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23,994,379.45</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250,000.00</w:t>
            </w:r>
          </w:p>
        </w:tc>
      </w:tr>
      <w:tr>
        <w:tblPrEx>
          <w:tblW w:w="8994" w:type="dxa"/>
          <w:tblInd w:w="67" w:type="dxa"/>
          <w:tblLayout w:type="fixed"/>
          <w:tblLook w:val="04A0"/>
        </w:tblPrEx>
        <w:trPr>
          <w:trHeight w:val="462"/>
        </w:trPr>
        <w:tc>
          <w:tcPr>
            <w:tcW w:w="63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w:t>
            </w:r>
          </w:p>
        </w:tc>
        <w:tc>
          <w:tcPr>
            <w:tcW w:w="16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140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22如皋经贸MTN003</w:t>
            </w:r>
          </w:p>
        </w:tc>
        <w:tc>
          <w:tcPr>
            <w:tcW w:w="791"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债券</w:t>
            </w:r>
          </w:p>
        </w:tc>
        <w:tc>
          <w:tcPr>
            <w:tcW w:w="75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卖出</w:t>
            </w:r>
          </w:p>
        </w:tc>
        <w:tc>
          <w:tcPr>
            <w:tcW w:w="1904"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14,404,247.26</w:t>
            </w:r>
          </w:p>
        </w:tc>
        <w:tc>
          <w:tcPr>
            <w:tcW w:w="1905"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150,000.00</w:t>
            </w:r>
          </w:p>
        </w:tc>
      </w:tr>
    </w:tbl>
    <w:p w:rsidR="00461C5A" w:rsidP="00FB089E">
      <w:pPr>
        <w:adjustRightInd w:val="0"/>
        <w:snapToGrid w:val="0"/>
        <w:spacing w:line="440" w:lineRule="exact"/>
        <w:outlineLvl w:val="2"/>
        <w:rPr>
          <w:rFonts w:ascii="仿宋" w:eastAsia="仿宋" w:hAnsi="仿宋" w:cs="仿宋"/>
          <w:b/>
          <w:sz w:val="24"/>
        </w:rPr>
      </w:pPr>
      <w:r>
        <w:rPr>
          <w:rFonts w:ascii="仿宋" w:eastAsia="仿宋" w:hAnsi="仿宋" w:cs="仿宋" w:hint="eastAsia"/>
          <w:b/>
          <w:sz w:val="24"/>
        </w:rPr>
        <w:t>7.2 产品向关联方支付的费用</w:t>
      </w:r>
    </w:p>
    <w:tbl>
      <w:tblPr>
        <w:tblStyle w:val="TableGrid"/>
        <w:tblW w:w="8994" w:type="dxa"/>
        <w:tblInd w:w="67" w:type="dxa"/>
        <w:tblLayout w:type="fixed"/>
        <w:tblLook w:val="04A0"/>
      </w:tblPr>
      <w:tblGrid>
        <w:gridCol w:w="694"/>
        <w:gridCol w:w="2958"/>
        <w:gridCol w:w="2202"/>
        <w:gridCol w:w="3140"/>
      </w:tblGrid>
      <w:tr>
        <w:tblPrEx>
          <w:tblW w:w="8994" w:type="dxa"/>
          <w:tblInd w:w="67" w:type="dxa"/>
          <w:tblLayout w:type="fixed"/>
          <w:tblLook w:val="04A0"/>
        </w:tblPrEx>
        <w:tc>
          <w:tcPr>
            <w:tcW w:w="694" w:type="dxa"/>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序号</w:t>
            </w:r>
          </w:p>
        </w:tc>
        <w:tc>
          <w:tcPr>
            <w:tcW w:w="2958"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关联方</w:t>
            </w:r>
          </w:p>
        </w:tc>
        <w:tc>
          <w:tcPr>
            <w:tcW w:w="2202"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费用类型</w:t>
            </w:r>
          </w:p>
        </w:tc>
        <w:tc>
          <w:tcPr>
            <w:tcW w:w="3140"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交易金额（元）</w:t>
            </w:r>
          </w:p>
        </w:tc>
      </w:tr>
      <w:tr>
        <w:tblPrEx>
          <w:tblW w:w="8994" w:type="dxa"/>
          <w:tblInd w:w="67" w:type="dxa"/>
          <w:tblLayout w:type="fixed"/>
          <w:tblLook w:val="04A0"/>
        </w:tblPrEx>
        <w:trPr>
          <w:trHeight w:val="187"/>
        </w:trPr>
        <w:tc>
          <w:tcPr>
            <w:tcW w:w="694" w:type="dxa"/>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w:t>
            </w:r>
          </w:p>
        </w:tc>
        <w:tc>
          <w:tcPr>
            <w:tcW w:w="2958"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杭州银行股份有限公司</w:t>
            </w:r>
          </w:p>
        </w:tc>
        <w:tc>
          <w:tcPr>
            <w:tcW w:w="2202"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托管费</w:t>
            </w:r>
          </w:p>
        </w:tc>
        <w:tc>
          <w:tcPr>
            <w:tcW w:w="3140" w:type="dxa"/>
            <w:vAlign w:val="center"/>
          </w:tcPr>
          <w:p w:rsidR="00461C5A" w:rsidP="00990402">
            <w:pPr>
              <w:adjustRightInd w:val="0"/>
              <w:snapToGrid w:val="0"/>
              <w:jc w:val="center"/>
              <w:rPr>
                <w:rFonts w:ascii="仿宋" w:eastAsia="仿宋" w:hAnsi="仿宋" w:cs="仿宋"/>
                <w:color w:val="000000"/>
                <w:kern w:val="0"/>
                <w:sz w:val="24"/>
                <w:szCs w:val="20"/>
              </w:rPr>
            </w:pPr>
            <w:r>
              <w:rPr>
                <w:rFonts w:ascii="仿宋" w:eastAsia="仿宋" w:hAnsi="仿宋" w:cs="仿宋" w:hint="eastAsia"/>
                <w:color w:val="000000"/>
                <w:kern w:val="0"/>
                <w:sz w:val="24"/>
              </w:rPr>
              <w:t>148,957.21</w:t>
            </w:r>
          </w:p>
        </w:tc>
      </w:tr>
    </w:tbl>
    <w:p w:rsidR="00461C5A">
      <w:pPr>
        <w:widowControl/>
        <w:adjustRightInd w:val="0"/>
        <w:snapToGrid w:val="0"/>
        <w:ind w:firstLine="420" w:firstLineChars="200"/>
        <w:jc w:val="left"/>
        <w:rPr>
          <w:rFonts w:ascii="仿宋" w:eastAsia="仿宋" w:hAnsi="仿宋" w:cs="仿宋"/>
          <w:color w:val="404040"/>
          <w:kern w:val="0"/>
          <w:sz w:val="24"/>
        </w:rPr>
      </w:pPr>
    </w:p>
    <w:p w:rsidR="00461C5A">
      <w:pPr>
        <w:widowControl/>
        <w:adjustRightInd w:val="0"/>
        <w:snapToGrid w:val="0"/>
        <w:ind w:firstLine="420" w:firstLineChars="200"/>
        <w:jc w:val="left"/>
        <w:rPr>
          <w:rFonts w:ascii="仿宋" w:eastAsia="仿宋" w:hAnsi="仿宋" w:cs="仿宋"/>
          <w:color w:val="404040"/>
          <w:kern w:val="0"/>
          <w:sz w:val="24"/>
        </w:rPr>
      </w:pPr>
    </w:p>
    <w:p w:rsidR="00461C5A">
      <w:pPr>
        <w:ind w:left="360"/>
        <w:jc w:val="right"/>
        <w:rPr>
          <w:rFonts w:ascii="仿宋" w:eastAsia="仿宋" w:hAnsi="仿宋" w:cs="仿宋"/>
          <w:sz w:val="24"/>
        </w:rPr>
      </w:pPr>
    </w:p>
    <w:p w:rsidR="00461C5A">
      <w:pPr>
        <w:ind w:left="360"/>
        <w:jc w:val="right"/>
        <w:rPr>
          <w:rFonts w:ascii="仿宋" w:eastAsia="仿宋" w:hAnsi="仿宋" w:cs="仿宋"/>
          <w:sz w:val="24"/>
        </w:rPr>
      </w:pPr>
      <w:r>
        <w:rPr>
          <w:rFonts w:ascii="仿宋" w:eastAsia="仿宋" w:hAnsi="仿宋" w:cs="仿宋" w:hint="eastAsia"/>
          <w:sz w:val="24"/>
        </w:rPr>
        <w:t>杭银理财</w:t>
      </w:r>
      <w:r>
        <w:rPr>
          <w:rFonts w:ascii="仿宋" w:eastAsia="仿宋" w:hAnsi="仿宋" w:cs="仿宋" w:hint="eastAsia"/>
          <w:sz w:val="24"/>
        </w:rPr>
        <w:t>有限责任公司</w:t>
      </w:r>
    </w:p>
    <w:p w:rsidR="00461C5A">
      <w:pPr>
        <w:jc w:val="right"/>
        <w:rPr>
          <w:sz w:val="24"/>
        </w:rPr>
      </w:pPr>
      <w:r>
        <w:rPr>
          <w:rFonts w:ascii="仿宋" w:eastAsia="仿宋" w:hAnsi="仿宋" w:cs="仿宋" w:hint="eastAsia"/>
          <w:sz w:val="24"/>
        </w:rPr>
        <w:t>2023年4月19日</w:t>
      </w:r>
    </w:p>
    <w:p w:rsidR="00461C5A"/>
    <w:p w:rsidR="00461C5A"/>
    <w:sectPr>
      <w:headerReference w:type="default" r:id="rId4"/>
      <w:pgSz w:w="11906" w:h="16838"/>
      <w:pgMar w:top="2551" w:right="1803" w:bottom="2551" w:left="1803" w:header="851" w:footer="992" w:gutter="0"/>
      <w:cols w:space="0"/>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宋体"/>
    <w:charset w:val="86"/>
    <w:family w:val="roman"/>
    <w:pitch w:val="default"/>
    <w:sig w:usb0="00000000" w:usb1="00000000" w:usb2="00000000" w:usb3="00000000" w:csb0="00040000" w:csb1="00000000"/>
  </w:font>
  <w:font w:name="方正楷体简体">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61C5A">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543800" cy="10671810"/>
          <wp:effectExtent l="0" t="0" r="0" b="15240"/>
          <wp:wrapNone/>
          <wp:docPr id="5" name="WordPictureWatermark140627" descr="微信图片_20220817144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40627" descr="微信图片_20220817144322"/>
                  <pic:cNvPicPr>
                    <a:picLocks noChangeAspect="1"/>
                  </pic:cNvPicPr>
                </pic:nvPicPr>
                <pic:blipFill>
                  <a:blip xmlns:r="http://schemas.openxmlformats.org/officeDocument/2006/relationships" r:embed="rId1"/>
                  <a:stretch>
                    <a:fillRect/>
                  </a:stretch>
                </pic:blipFill>
                <pic:spPr>
                  <a:xfrm>
                    <a:off x="0" y="0"/>
                    <a:ext cx="7543800" cy="1067181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4D0D"/>
    <w:pPr>
      <w:widowControl w:val="0"/>
      <w:jc w:val="both"/>
    </w:pPr>
    <w:rPr>
      <w:kern w:val="2"/>
      <w:sz w:val="21"/>
      <w:szCs w:val="24"/>
    </w:rPr>
  </w:style>
  <w:style w:type="paragraph" w:styleId="Heading2">
    <w:name w:val="heading 2"/>
    <w:basedOn w:val="Normal"/>
    <w:next w:val="Normal"/>
    <w:link w:val="2"/>
    <w:unhideWhenUsed/>
    <w:qFormat/>
    <w:pPr>
      <w:keepNext/>
      <w:keepLines/>
      <w:spacing w:line="400" w:lineRule="exact"/>
      <w:jc w:val="left"/>
      <w:outlineLvl w:val="1"/>
    </w:pPr>
    <w:rPr>
      <w:rFonts w:ascii="Arial" w:eastAsia="宋体" w:hAnsi="Arial"/>
      <w:b/>
    </w:rPr>
  </w:style>
  <w:style w:type="paragraph" w:styleId="Heading3">
    <w:name w:val="heading 3"/>
    <w:basedOn w:val="Normal"/>
    <w:next w:val="Normal"/>
    <w:link w:val="3"/>
    <w:unhideWhenUsed/>
    <w:qFormat/>
    <w:pPr>
      <w:keepNext/>
      <w:keepLines/>
      <w:spacing w:line="400" w:lineRule="exact"/>
      <w:jc w:val="left"/>
      <w:outlineLvl w:val="2"/>
    </w:pPr>
    <w:rPr>
      <w:rFonts w:ascii="Times New Roman" w:eastAsia="宋体"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qFormat/>
    <w:pPr>
      <w:spacing w:after="120"/>
    </w:pPr>
    <w:rPr>
      <w:rFonts w:ascii="Times New Roman" w:eastAsia="方正仿宋简体" w:hAnsi="Times New Roman" w:cs="Times New Roman"/>
      <w:sz w:val="32"/>
      <w:szCs w:val="20"/>
    </w:rPr>
  </w:style>
  <w:style w:type="paragraph" w:styleId="Header">
    <w:name w:val="header"/>
    <w:basedOn w:val="Normal"/>
    <w:link w:val="a0"/>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unhideWhenUsed/>
    <w:qFormat/>
    <w:pPr>
      <w:widowControl/>
      <w:spacing w:before="100" w:beforeAutospacing="1" w:after="100" w:afterAutospacing="1"/>
    </w:pPr>
    <w:rPr>
      <w:rFonts w:ascii="宋体" w:eastAsia="宋体" w:hAnsi="宋体" w:cs="Times New Roman"/>
      <w:kern w:val="0"/>
      <w:sz w:val="24"/>
      <w:szCs w:val="20"/>
    </w:rPr>
  </w:style>
  <w:style w:type="table" w:styleId="TableGrid">
    <w:name w:val="Table Grid"/>
    <w:basedOn w:val="TableNormal"/>
    <w:unhideWhenUse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
    <w:name w:val="标题 2 字符"/>
    <w:basedOn w:val="DefaultParagraphFont"/>
    <w:link w:val="Heading2"/>
    <w:rPr>
      <w:rFonts w:ascii="Arial" w:eastAsia="宋体" w:hAnsi="Arial"/>
      <w:b/>
    </w:rPr>
  </w:style>
  <w:style w:type="character" w:customStyle="1" w:styleId="3">
    <w:name w:val="标题 3 字符"/>
    <w:basedOn w:val="DefaultParagraphFont"/>
    <w:link w:val="Heading3"/>
    <w:rPr>
      <w:rFonts w:ascii="Times New Roman" w:eastAsia="宋体" w:hAnsi="Times New Roman"/>
      <w:b/>
    </w:rPr>
  </w:style>
  <w:style w:type="character" w:customStyle="1" w:styleId="a">
    <w:name w:val="正文文本 字符"/>
    <w:basedOn w:val="DefaultParagraphFont"/>
    <w:link w:val="BodyText"/>
    <w:qFormat/>
    <w:rPr>
      <w:rFonts w:ascii="Times New Roman" w:eastAsia="方正仿宋简体" w:hAnsi="Times New Roman" w:cs="Times New Roman"/>
      <w:sz w:val="32"/>
      <w:szCs w:val="20"/>
    </w:rPr>
  </w:style>
  <w:style w:type="character" w:customStyle="1" w:styleId="a0">
    <w:name w:val="页眉 字符"/>
    <w:basedOn w:val="DefaultParagraphFont"/>
    <w:link w:val="Header"/>
    <w:rPr>
      <w:sz w:val="18"/>
    </w:rPr>
  </w:style>
  <w:style w:type="paragraph" w:styleId="Footer">
    <w:name w:val="footer"/>
    <w:basedOn w:val="Normal"/>
    <w:link w:val="a1"/>
    <w:uiPriority w:val="99"/>
    <w:unhideWhenUsed/>
    <w:rsid w:val="0082523D"/>
    <w:pPr>
      <w:tabs>
        <w:tab w:val="center" w:pos="4153"/>
        <w:tab w:val="right" w:pos="8306"/>
      </w:tabs>
      <w:snapToGrid w:val="0"/>
      <w:jc w:val="left"/>
    </w:pPr>
    <w:rPr>
      <w:sz w:val="18"/>
      <w:szCs w:val="18"/>
    </w:rPr>
  </w:style>
  <w:style w:type="character" w:customStyle="1" w:styleId="a1">
    <w:name w:val="页脚 字符"/>
    <w:basedOn w:val="DefaultParagraphFont"/>
    <w:link w:val="Footer"/>
    <w:uiPriority w:val="99"/>
    <w:rsid w:val="0082523D"/>
    <w:rPr>
      <w:kern w:val="2"/>
      <w:sz w:val="18"/>
      <w:szCs w:val="18"/>
    </w:rPr>
  </w:style>
  <w:style w:type="paragraph" w:styleId="BalloonText">
    <w:name w:val="Balloon Text"/>
    <w:basedOn w:val="Normal"/>
    <w:link w:val="a2"/>
    <w:uiPriority w:val="99"/>
    <w:semiHidden/>
    <w:unhideWhenUsed/>
    <w:rsid w:val="00FB089E"/>
    <w:rPr>
      <w:sz w:val="18"/>
      <w:szCs w:val="18"/>
    </w:rPr>
  </w:style>
  <w:style w:type="character" w:customStyle="1" w:styleId="a2">
    <w:name w:val="批注框文本 字符"/>
    <w:basedOn w:val="DefaultParagraphFont"/>
    <w:link w:val="BalloonText"/>
    <w:uiPriority w:val="99"/>
    <w:semiHidden/>
    <w:rsid w:val="00FB089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TotalTime>
  <Pages>7</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wong surge</cp:lastModifiedBy>
  <cp:revision>18</cp:revision>
  <dcterms:created xsi:type="dcterms:W3CDTF">2023-04-13T06:44:00Z</dcterms:created>
  <dcterms:modified xsi:type="dcterms:W3CDTF">2023-04-14T08:04:00Z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48CAE58F88821DFB686F3364065ABE78_42</vt:lpwstr>
  </property>
  <property fmtid="{D5CDD505-2E9C-101B-9397-08002B2CF9AE}" pid="3" name="KSOProductBuildVer">
    <vt:lpwstr>2052-5.3.0.7863</vt:lpwstr>
  </property>
</Properties>
</file>