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丰裕固收22083期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丰裕固收22083期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FYG22083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Z7002222000131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45,257,026.87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100.17%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45,257,026.87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44,844,377.00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403,878.09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42,762,063.78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丰裕固收22083期D款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FYG22083D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999,484.87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丰裕固收22083期E款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FYG22083E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1,091,600.13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丰裕固收22083期B款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丰裕固收22083期D款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丰裕固收22083期E款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2.87%，较年初小幅上行，当前3年期AA+城投债收益率3.23%，较年初下行40bp，当前3年期AAA二级资本债收益率3.28%，较年初下行8bp。本产品主要配置固收类资产，债券部分以信用债为主，受益于一季度信用债收益率大幅下行，通过杠杆策略和久期策略，产品净值收益表现较好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。策略上，保持一定杠杆比例，适时把握利率债的阶段性交易机会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92.48%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92.48%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20温国01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4,120,391.85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18合川城投PPN002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4,116,605.82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20东阳国资PPN001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4,100,823.29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20青岛城阳PPN001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4,093,074.84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16宜环科债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4,082,234.44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16嘉湘集团02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4,073,636.44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16南昌经开债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4,066,394.99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16青昌阳债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4,048,927.09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19申太01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3,080,880.35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20虞开02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3,076,201.90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44,844,377.00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44,844,377.00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