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sz w:val="32"/>
          <w:szCs w:val="20"/>
        </w:rPr>
      </w:pPr>
    </w:p>
    <w:p>
      <w:pPr>
        <w:adjustRightInd w:val="0"/>
        <w:snapToGrid w:val="0"/>
        <w:spacing w:line="460" w:lineRule="exact"/>
        <w:jc w:val="center"/>
        <w:rPr>
          <w:rFonts w:ascii="Times New Roman" w:hAnsi="Times New Roman" w:eastAsia="方正楷体简体"/>
          <w:sz w:val="24"/>
        </w:rPr>
      </w:pPr>
    </w:p>
    <w:p>
      <w:pPr>
        <w:pStyle w:val="2"/>
        <w:keepNext w:val="0"/>
        <w:keepLines w:val="0"/>
        <w:autoSpaceDE w:val="0"/>
        <w:autoSpaceDN w:val="0"/>
        <w:spacing w:before="220" w:line="240" w:lineRule="auto"/>
        <w:jc w:val="center"/>
        <w:rPr>
          <w:rFonts w:ascii="仿宋_GB2312" w:hAnsi="仿宋_GB2312" w:eastAsia="仿宋_GB2312" w:cs="仿宋_GB2312"/>
          <w:bCs/>
          <w:kern w:val="0"/>
          <w:sz w:val="52"/>
          <w:szCs w:val="52"/>
          <w:lang w:bidi="zh-CN"/>
        </w:rPr>
      </w:pPr>
      <w:r>
        <w:rPr>
          <w:rFonts w:hint="eastAsia" w:ascii="仿宋_GB2312" w:hAnsi="仿宋_GB2312" w:eastAsia="仿宋_GB2312" w:cs="仿宋_GB2312"/>
          <w:bCs/>
          <w:kern w:val="0"/>
          <w:sz w:val="52"/>
          <w:szCs w:val="52"/>
          <w:lang w:bidi="zh-CN"/>
        </w:rPr>
        <w:t>季添益1903期</w:t>
      </w:r>
    </w:p>
    <w:p>
      <w:pPr>
        <w:autoSpaceDE w:val="0"/>
        <w:autoSpaceDN w:val="0"/>
        <w:spacing w:line="360" w:lineRule="auto"/>
        <w:jc w:val="center"/>
        <w:rPr>
          <w:rFonts w:ascii="仿宋_GB2312" w:hAnsi="仿宋_GB2312" w:eastAsia="仿宋_GB2312" w:cs="仿宋_GB2312"/>
          <w:b/>
          <w:bCs/>
          <w:kern w:val="0"/>
          <w:sz w:val="44"/>
          <w:szCs w:val="44"/>
          <w:lang w:bidi="zh-CN"/>
        </w:rPr>
      </w:pPr>
      <w:r>
        <w:rPr>
          <w:rFonts w:hint="eastAsia" w:ascii="仿宋_GB2312" w:hAnsi="仿宋_GB2312" w:eastAsia="仿宋_GB2312" w:cs="仿宋_GB2312"/>
          <w:b/>
          <w:bCs/>
          <w:kern w:val="0"/>
          <w:sz w:val="44"/>
          <w:szCs w:val="44"/>
          <w:lang w:bidi="zh-CN"/>
        </w:rPr>
        <w:t>2023</w:t>
      </w:r>
      <w:r>
        <w:rPr>
          <w:rFonts w:ascii="仿宋_GB2312" w:hAnsi="仿宋_GB2312" w:eastAsia="仿宋_GB2312" w:cs="仿宋_GB2312"/>
          <w:b/>
          <w:sz w:val="44"/>
        </w:rPr>
        <w:t>年第1季度报告</w:t>
      </w:r>
    </w:p>
    <w:p>
      <w:pPr>
        <w:jc w:val="center"/>
        <w:rPr>
          <w:rFonts w:ascii="宋体" w:hAnsi="宋体" w:eastAsia="宋体" w:cs="Times New Roman"/>
          <w:color w:val="0000FF"/>
          <w:kern w:val="0"/>
          <w:sz w:val="18"/>
          <w:szCs w:val="20"/>
        </w:rPr>
      </w:pPr>
    </w:p>
    <w:p>
      <w:pPr>
        <w:jc w:val="center"/>
        <w:rPr>
          <w:rFonts w:eastAsia="宋体"/>
          <w:sz w:val="24"/>
        </w:rPr>
      </w:pPr>
    </w:p>
    <w:p>
      <w:pPr>
        <w:jc w:val="center"/>
        <w:rPr>
          <w:rFonts w:eastAsia="宋体"/>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r>
        <w:rPr>
          <w:rFonts w:hint="eastAsia" w:ascii="仿宋" w:hAnsi="仿宋" w:eastAsia="仿宋" w:cs="仿宋"/>
          <w:sz w:val="24"/>
        </w:rPr>
        <w:t>产品管理人：</w:t>
      </w:r>
      <w:r>
        <w:rPr>
          <w:rFonts w:ascii="仿宋" w:hAnsi="仿宋" w:eastAsia="仿宋" w:cs="仿宋"/>
          <w:sz w:val="24"/>
        </w:rPr>
        <w:t>杭银理财有限责任公司</w:t>
      </w:r>
    </w:p>
    <w:p>
      <w:pPr>
        <w:jc w:val="center"/>
        <w:rPr>
          <w:rFonts w:ascii="仿宋" w:hAnsi="仿宋" w:eastAsia="仿宋" w:cs="仿宋"/>
          <w:sz w:val="24"/>
        </w:rPr>
      </w:pPr>
      <w:r>
        <w:rPr>
          <w:rFonts w:hint="eastAsia" w:ascii="仿宋" w:hAnsi="仿宋" w:eastAsia="仿宋" w:cs="仿宋"/>
          <w:sz w:val="24"/>
        </w:rPr>
        <w:t>产品托管人：</w:t>
      </w:r>
      <w:r>
        <w:rPr>
          <w:rFonts w:ascii="仿宋" w:hAnsi="仿宋" w:eastAsia="仿宋" w:cs="仿宋"/>
          <w:sz w:val="24"/>
        </w:rPr>
        <w:t>杭州银行股份有限公司</w:t>
      </w: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r>
        <w:rPr>
          <w:rFonts w:hint="eastAsia" w:ascii="仿宋" w:hAnsi="仿宋" w:eastAsia="仿宋" w:cs="仿宋"/>
          <w:sz w:val="24"/>
        </w:rPr>
        <w:t>2023年4月19日</w:t>
      </w: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pStyle w:val="2"/>
        <w:adjustRightInd w:val="0"/>
        <w:snapToGrid w:val="0"/>
        <w:spacing w:line="560" w:lineRule="exact"/>
        <w:jc w:val="center"/>
        <w:rPr>
          <w:rFonts w:ascii="仿宋" w:hAnsi="仿宋" w:eastAsia="仿宋" w:cs="仿宋"/>
          <w:sz w:val="24"/>
        </w:rPr>
      </w:pPr>
      <w:r>
        <w:rPr>
          <w:rFonts w:hint="eastAsia" w:ascii="仿宋" w:hAnsi="仿宋" w:eastAsia="仿宋" w:cs="仿宋"/>
          <w:sz w:val="24"/>
        </w:rPr>
        <w:t>§1  重要提示</w:t>
      </w:r>
    </w:p>
    <w:tbl>
      <w:tblPr>
        <w:tblStyle w:val="10"/>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1" w:hRule="atLeast"/>
        </w:trPr>
        <w:tc>
          <w:tcPr>
            <w:tcW w:w="9120"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420" w:lineRule="exact"/>
              <w:ind w:firstLine="480" w:firstLineChars="200"/>
              <w:jc w:val="left"/>
              <w:rPr>
                <w:rFonts w:ascii="仿宋" w:hAnsi="仿宋" w:eastAsia="仿宋" w:cs="仿宋"/>
                <w:color w:val="404040"/>
                <w:kern w:val="0"/>
                <w:sz w:val="24"/>
              </w:rPr>
            </w:pPr>
            <w:r>
              <w:rPr>
                <w:rFonts w:hint="eastAsia" w:ascii="仿宋" w:hAnsi="仿宋" w:eastAsia="仿宋" w:cs="仿宋"/>
                <w:color w:val="404040"/>
                <w:kern w:val="0"/>
                <w:sz w:val="24"/>
              </w:rPr>
              <w:t>产品管理人承诺以诚实信用、勤勉尽责的原则管理和运用产品资产，并如实反映产品财务指标及投资组合情况，但不保证产品一定盈利。</w:t>
            </w:r>
          </w:p>
          <w:p>
            <w:pPr>
              <w:widowControl/>
              <w:adjustRightInd w:val="0"/>
              <w:snapToGrid w:val="0"/>
              <w:spacing w:line="420" w:lineRule="exact"/>
              <w:ind w:firstLine="480" w:firstLineChars="200"/>
              <w:jc w:val="left"/>
              <w:rPr>
                <w:rFonts w:ascii="仿宋" w:hAnsi="仿宋" w:eastAsia="仿宋" w:cs="仿宋"/>
                <w:color w:val="404040"/>
                <w:kern w:val="0"/>
                <w:sz w:val="24"/>
              </w:rPr>
            </w:pPr>
            <w:r>
              <w:rPr>
                <w:rFonts w:hint="eastAsia" w:ascii="仿宋" w:hAnsi="仿宋" w:eastAsia="仿宋" w:cs="仿宋"/>
                <w:color w:val="404040"/>
                <w:kern w:val="0"/>
                <w:sz w:val="24"/>
              </w:rPr>
              <w:t>产品托管人根据本</w:t>
            </w:r>
            <w:r>
              <w:rPr>
                <w:rFonts w:hint="eastAsia" w:ascii="仿宋" w:hAnsi="仿宋" w:eastAsia="仿宋" w:cs="仿宋"/>
                <w:color w:val="000000"/>
                <w:sz w:val="24"/>
              </w:rPr>
              <w:t>产品</w:t>
            </w:r>
            <w:r>
              <w:rPr>
                <w:rFonts w:hint="eastAsia" w:ascii="仿宋" w:hAnsi="仿宋" w:eastAsia="仿宋" w:cs="仿宋"/>
                <w:color w:val="404040"/>
                <w:kern w:val="0"/>
                <w:sz w:val="24"/>
              </w:rPr>
              <w:t>合同规定，于</w:t>
            </w:r>
            <w:r>
              <w:rPr>
                <w:rFonts w:ascii="仿宋" w:hAnsi="仿宋" w:eastAsia="仿宋" w:cs="仿宋"/>
                <w:color w:val="404040"/>
                <w:sz w:val="24"/>
              </w:rPr>
              <w:t>2023年3月31日</w:t>
            </w:r>
            <w:r>
              <w:rPr>
                <w:rFonts w:hint="eastAsia" w:ascii="仿宋" w:hAnsi="仿宋" w:eastAsia="仿宋" w:cs="仿宋"/>
                <w:color w:val="404040"/>
                <w:kern w:val="0"/>
                <w:sz w:val="24"/>
              </w:rPr>
              <w:t>复核了本报告中的财务指标、净值表现和投资组合报告等内容，保证复核内容不存在虚假记载、误导性陈述或者重大遗漏。</w:t>
            </w:r>
          </w:p>
          <w:p>
            <w:pPr>
              <w:widowControl/>
              <w:adjustRightInd w:val="0"/>
              <w:snapToGrid w:val="0"/>
              <w:spacing w:line="420" w:lineRule="exact"/>
              <w:ind w:firstLine="480" w:firstLineChars="200"/>
              <w:jc w:val="left"/>
              <w:rPr>
                <w:rFonts w:ascii="仿宋" w:hAnsi="仿宋" w:eastAsia="仿宋" w:cs="仿宋"/>
                <w:color w:val="404040"/>
                <w:kern w:val="0"/>
                <w:sz w:val="24"/>
              </w:rPr>
            </w:pPr>
            <w:r>
              <w:rPr>
                <w:rFonts w:hint="eastAsia" w:ascii="仿宋" w:hAnsi="仿宋" w:eastAsia="仿宋" w:cs="仿宋"/>
                <w:color w:val="404040"/>
                <w:kern w:val="0"/>
                <w:sz w:val="24"/>
              </w:rPr>
              <w:t>产品的过往业绩并不代表其未来表现。投资有风险，投资者在作出投资决策前应仔细阅读本</w:t>
            </w:r>
            <w:r>
              <w:rPr>
                <w:rFonts w:hint="eastAsia" w:ascii="仿宋" w:hAnsi="仿宋" w:eastAsia="仿宋" w:cs="仿宋"/>
                <w:color w:val="000000"/>
                <w:sz w:val="24"/>
              </w:rPr>
              <w:t>产品</w:t>
            </w:r>
            <w:r>
              <w:rPr>
                <w:rFonts w:hint="eastAsia" w:ascii="仿宋" w:hAnsi="仿宋" w:eastAsia="仿宋" w:cs="仿宋"/>
                <w:color w:val="404040"/>
                <w:kern w:val="0"/>
                <w:sz w:val="24"/>
              </w:rPr>
              <w:t>的产品说明书。</w:t>
            </w:r>
          </w:p>
          <w:p>
            <w:pPr>
              <w:widowControl/>
              <w:adjustRightInd w:val="0"/>
              <w:snapToGrid w:val="0"/>
              <w:spacing w:line="420" w:lineRule="exact"/>
              <w:ind w:firstLine="480" w:firstLineChars="200"/>
              <w:jc w:val="left"/>
              <w:rPr>
                <w:rFonts w:ascii="仿宋" w:hAnsi="仿宋" w:eastAsia="仿宋" w:cs="仿宋"/>
                <w:color w:val="404040"/>
                <w:kern w:val="0"/>
                <w:sz w:val="24"/>
              </w:rPr>
            </w:pPr>
            <w:r>
              <w:rPr>
                <w:rFonts w:hint="eastAsia" w:ascii="仿宋" w:hAnsi="仿宋" w:eastAsia="仿宋" w:cs="仿宋"/>
                <w:color w:val="404040"/>
                <w:kern w:val="0"/>
                <w:sz w:val="24"/>
              </w:rPr>
              <w:t>本报告中财务资料未经审计。</w:t>
            </w:r>
          </w:p>
          <w:p>
            <w:pPr>
              <w:widowControl/>
              <w:adjustRightInd w:val="0"/>
              <w:snapToGrid w:val="0"/>
              <w:spacing w:line="420" w:lineRule="exact"/>
              <w:ind w:firstLine="480" w:firstLineChars="200"/>
              <w:jc w:val="left"/>
              <w:rPr>
                <w:rFonts w:ascii="仿宋" w:hAnsi="仿宋" w:eastAsia="仿宋" w:cs="仿宋"/>
                <w:sz w:val="24"/>
              </w:rPr>
            </w:pPr>
            <w:r>
              <w:rPr>
                <w:rFonts w:hint="eastAsia" w:ascii="仿宋" w:hAnsi="仿宋" w:eastAsia="仿宋" w:cs="仿宋"/>
                <w:color w:val="404040"/>
                <w:kern w:val="0"/>
                <w:sz w:val="24"/>
              </w:rPr>
              <w:t>本报告期自</w:t>
            </w:r>
            <w:r>
              <w:rPr>
                <w:rFonts w:ascii="仿宋" w:hAnsi="仿宋" w:eastAsia="仿宋" w:cs="仿宋"/>
                <w:color w:val="404040"/>
                <w:sz w:val="24"/>
              </w:rPr>
              <w:t>2023年1月1日</w:t>
            </w:r>
            <w:r>
              <w:rPr>
                <w:rFonts w:hint="eastAsia" w:ascii="仿宋" w:hAnsi="仿宋" w:eastAsia="仿宋" w:cs="仿宋"/>
                <w:color w:val="404040"/>
                <w:kern w:val="0"/>
                <w:sz w:val="24"/>
              </w:rPr>
              <w:t>起至</w:t>
            </w:r>
            <w:r>
              <w:rPr>
                <w:rFonts w:ascii="仿宋" w:hAnsi="仿宋" w:eastAsia="仿宋" w:cs="仿宋"/>
                <w:color w:val="404040"/>
                <w:sz w:val="24"/>
              </w:rPr>
              <w:t>2023年3月31日</w:t>
            </w:r>
            <w:r>
              <w:rPr>
                <w:rFonts w:hint="eastAsia" w:ascii="仿宋" w:hAnsi="仿宋" w:eastAsia="仿宋" w:cs="仿宋"/>
                <w:color w:val="404040"/>
                <w:kern w:val="0"/>
                <w:sz w:val="24"/>
              </w:rPr>
              <w:t>止。</w:t>
            </w:r>
          </w:p>
        </w:tc>
      </w:tr>
    </w:tbl>
    <w:p>
      <w:pPr>
        <w:rPr>
          <w:rStyle w:val="14"/>
          <w:rFonts w:ascii="仿宋" w:hAnsi="仿宋" w:eastAsia="仿宋" w:cs="仿宋"/>
          <w:color w:val="0000FF"/>
          <w:sz w:val="24"/>
        </w:rPr>
      </w:pPr>
    </w:p>
    <w:p>
      <w:pPr>
        <w:pStyle w:val="2"/>
        <w:adjustRightInd w:val="0"/>
        <w:snapToGrid w:val="0"/>
        <w:spacing w:line="560" w:lineRule="exact"/>
        <w:jc w:val="center"/>
        <w:rPr>
          <w:rFonts w:ascii="仿宋" w:hAnsi="仿宋" w:eastAsia="仿宋" w:cs="仿宋"/>
          <w:sz w:val="24"/>
        </w:rPr>
      </w:pPr>
      <w:r>
        <w:rPr>
          <w:rFonts w:hint="eastAsia" w:ascii="仿宋" w:hAnsi="仿宋" w:eastAsia="仿宋" w:cs="仿宋"/>
          <w:sz w:val="24"/>
        </w:rPr>
        <w:t>§2  产品概况</w:t>
      </w:r>
    </w:p>
    <w:p>
      <w:pPr>
        <w:adjustRightInd w:val="0"/>
        <w:snapToGrid w:val="0"/>
        <w:spacing w:line="440" w:lineRule="exact"/>
        <w:outlineLvl w:val="2"/>
        <w:rPr>
          <w:rFonts w:ascii="仿宋" w:hAnsi="仿宋" w:eastAsia="仿宋" w:cs="仿宋"/>
          <w:b/>
          <w:sz w:val="24"/>
        </w:rPr>
      </w:pPr>
      <w:bookmarkStart w:id="0" w:name="_Toc354129567"/>
      <w:r>
        <w:rPr>
          <w:rFonts w:hint="eastAsia" w:ascii="仿宋" w:hAnsi="仿宋" w:eastAsia="仿宋" w:cs="仿宋"/>
          <w:b/>
          <w:sz w:val="24"/>
        </w:rPr>
        <w:t>2.1 产品基本情况</w:t>
      </w:r>
      <w:bookmarkEnd w:id="0"/>
    </w:p>
    <w:tbl>
      <w:tblPr>
        <w:tblStyle w:val="10"/>
        <w:tblW w:w="91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5"/>
        <w:gridCol w:w="5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kern w:val="0"/>
                <w:sz w:val="24"/>
              </w:rPr>
            </w:pPr>
            <w:r>
              <w:rPr>
                <w:rFonts w:hint="eastAsia" w:ascii="仿宋" w:hAnsi="仿宋" w:eastAsia="仿宋" w:cs="仿宋"/>
                <w:kern w:val="0"/>
                <w:sz w:val="24"/>
              </w:rPr>
              <w:t>产品名称</w:t>
            </w:r>
          </w:p>
        </w:tc>
        <w:tc>
          <w:tcPr>
            <w:tcW w:w="57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kern w:val="0"/>
                <w:sz w:val="24"/>
              </w:rPr>
            </w:pPr>
            <w:r>
              <w:rPr>
                <w:rFonts w:hint="eastAsia" w:ascii="仿宋" w:hAnsi="仿宋" w:eastAsia="仿宋" w:cs="仿宋"/>
                <w:kern w:val="0"/>
                <w:sz w:val="24"/>
              </w:rPr>
              <w:t>季添益1903期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kern w:val="0"/>
                <w:sz w:val="24"/>
              </w:rPr>
            </w:pPr>
            <w:r>
              <w:rPr>
                <w:rFonts w:hint="eastAsia" w:ascii="仿宋" w:hAnsi="仿宋" w:eastAsia="仿宋" w:cs="仿宋"/>
                <w:kern w:val="0"/>
                <w:sz w:val="24"/>
              </w:rPr>
              <w:t>产品代码</w:t>
            </w:r>
          </w:p>
        </w:tc>
        <w:tc>
          <w:tcPr>
            <w:tcW w:w="57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kern w:val="0"/>
                <w:sz w:val="24"/>
              </w:rPr>
            </w:pPr>
            <w:r>
              <w:rPr>
                <w:rFonts w:hint="eastAsia" w:ascii="仿宋" w:hAnsi="仿宋" w:eastAsia="仿宋" w:cs="仿宋"/>
                <w:kern w:val="0"/>
                <w:sz w:val="24"/>
              </w:rPr>
              <w:t>TYG3M1903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kern w:val="0"/>
                <w:sz w:val="24"/>
              </w:rPr>
            </w:pPr>
            <w:r>
              <w:rPr>
                <w:rFonts w:hint="eastAsia" w:ascii="仿宋" w:hAnsi="仿宋" w:eastAsia="仿宋" w:cs="仿宋"/>
                <w:kern w:val="0"/>
                <w:sz w:val="24"/>
              </w:rPr>
              <w:t>理财信息登记系统登记编码</w:t>
            </w:r>
          </w:p>
        </w:tc>
        <w:tc>
          <w:tcPr>
            <w:tcW w:w="57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kern w:val="0"/>
                <w:sz w:val="24"/>
              </w:rPr>
            </w:pPr>
            <w:r>
              <w:rPr>
                <w:rFonts w:hint="eastAsia" w:ascii="仿宋" w:hAnsi="仿宋" w:eastAsia="仿宋" w:cs="仿宋"/>
                <w:kern w:val="0"/>
                <w:sz w:val="24"/>
              </w:rPr>
              <w:t>Z7002221000274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sz w:val="24"/>
              </w:rPr>
            </w:pPr>
            <w:r>
              <w:rPr>
                <w:rFonts w:hint="eastAsia" w:ascii="仿宋" w:hAnsi="仿宋" w:eastAsia="仿宋" w:cs="仿宋"/>
                <w:kern w:val="0"/>
                <w:sz w:val="24"/>
              </w:rPr>
              <w:t>产品成立日</w:t>
            </w:r>
          </w:p>
        </w:tc>
        <w:tc>
          <w:tcPr>
            <w:tcW w:w="57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kern w:val="0"/>
                <w:sz w:val="24"/>
              </w:rPr>
            </w:pPr>
            <w:r>
              <w:rPr>
                <w:rFonts w:hint="eastAsia" w:ascii="仿宋" w:hAnsi="仿宋" w:eastAsia="仿宋" w:cs="仿宋"/>
                <w:kern w:val="0"/>
                <w:sz w:val="24"/>
              </w:rPr>
              <w:t>2019年6月12日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kern w:val="0"/>
                <w:sz w:val="24"/>
              </w:rPr>
            </w:pPr>
            <w:r>
              <w:rPr>
                <w:rFonts w:hint="eastAsia" w:ascii="仿宋" w:hAnsi="仿宋" w:eastAsia="仿宋" w:cs="仿宋"/>
                <w:kern w:val="0"/>
                <w:sz w:val="24"/>
              </w:rPr>
              <w:t>产品到期日</w:t>
            </w:r>
          </w:p>
        </w:tc>
        <w:tc>
          <w:tcPr>
            <w:tcW w:w="57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kern w:val="0"/>
                <w:sz w:val="24"/>
              </w:rPr>
            </w:pPr>
            <w:r>
              <w:rPr>
                <w:rFonts w:hint="eastAsia" w:ascii="仿宋" w:hAnsi="仿宋" w:eastAsia="仿宋" w:cs="仿宋"/>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kern w:val="0"/>
                <w:sz w:val="24"/>
              </w:rPr>
            </w:pPr>
            <w:r>
              <w:rPr>
                <w:rFonts w:hint="eastAsia" w:ascii="仿宋" w:hAnsi="仿宋" w:eastAsia="仿宋" w:cs="仿宋"/>
                <w:kern w:val="0"/>
                <w:sz w:val="24"/>
              </w:rPr>
              <w:t>产品募集方式</w:t>
            </w:r>
          </w:p>
        </w:tc>
        <w:tc>
          <w:tcPr>
            <w:tcW w:w="57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kern w:val="0"/>
                <w:sz w:val="24"/>
              </w:rPr>
            </w:pPr>
            <w:r>
              <w:rPr>
                <w:rFonts w:hint="eastAsia" w:ascii="仿宋" w:hAnsi="仿宋" w:eastAsia="仿宋" w:cs="仿宋"/>
                <w:kern w:val="0"/>
                <w:sz w:val="24"/>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kern w:val="0"/>
                <w:sz w:val="24"/>
              </w:rPr>
            </w:pPr>
            <w:r>
              <w:rPr>
                <w:rFonts w:hint="eastAsia" w:ascii="仿宋" w:hAnsi="仿宋" w:eastAsia="仿宋" w:cs="仿宋"/>
                <w:kern w:val="0"/>
                <w:sz w:val="24"/>
              </w:rPr>
              <w:t>产品运作模式</w:t>
            </w:r>
          </w:p>
        </w:tc>
        <w:tc>
          <w:tcPr>
            <w:tcW w:w="57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kern w:val="0"/>
                <w:sz w:val="24"/>
              </w:rPr>
            </w:pPr>
            <w:r>
              <w:rPr>
                <w:rFonts w:hint="eastAsia" w:ascii="仿宋" w:hAnsi="仿宋" w:eastAsia="仿宋" w:cs="仿宋"/>
                <w:kern w:val="0"/>
                <w:sz w:val="24"/>
              </w:rPr>
              <w:t>开放式净值型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kern w:val="0"/>
                <w:sz w:val="24"/>
              </w:rPr>
            </w:pPr>
            <w:r>
              <w:rPr>
                <w:rFonts w:hint="eastAsia" w:ascii="仿宋" w:hAnsi="仿宋" w:eastAsia="仿宋" w:cs="仿宋"/>
                <w:kern w:val="0"/>
                <w:sz w:val="24"/>
              </w:rPr>
              <w:t>产品投资性质</w:t>
            </w:r>
          </w:p>
        </w:tc>
        <w:tc>
          <w:tcPr>
            <w:tcW w:w="57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kern w:val="0"/>
                <w:sz w:val="24"/>
              </w:rPr>
            </w:pPr>
            <w:r>
              <w:rPr>
                <w:rFonts w:hint="eastAsia" w:ascii="仿宋" w:hAnsi="仿宋" w:eastAsia="仿宋" w:cs="仿宋"/>
                <w:kern w:val="0"/>
                <w:sz w:val="24"/>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kern w:val="0"/>
                <w:sz w:val="24"/>
              </w:rPr>
            </w:pPr>
            <w:r>
              <w:rPr>
                <w:rFonts w:hint="eastAsia" w:ascii="仿宋" w:hAnsi="仿宋" w:eastAsia="仿宋" w:cs="仿宋"/>
                <w:kern w:val="0"/>
                <w:sz w:val="24"/>
              </w:rPr>
              <w:t>业绩比较基准（%）</w:t>
            </w:r>
          </w:p>
        </w:tc>
        <w:tc>
          <w:tcPr>
            <w:tcW w:w="57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kern w:val="0"/>
                <w:sz w:val="24"/>
              </w:rPr>
            </w:pPr>
            <w:r>
              <w:rPr>
                <w:rFonts w:hint="eastAsia" w:ascii="仿宋" w:hAnsi="仿宋" w:eastAsia="仿宋" w:cs="仿宋"/>
                <w:kern w:val="0"/>
                <w:sz w:val="24"/>
              </w:rPr>
              <w:t>3.00%-3.80%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sz w:val="24"/>
              </w:rPr>
            </w:pPr>
            <w:r>
              <w:rPr>
                <w:rFonts w:hint="eastAsia" w:ascii="仿宋" w:hAnsi="仿宋" w:eastAsia="仿宋" w:cs="仿宋"/>
                <w:kern w:val="0"/>
                <w:sz w:val="24"/>
              </w:rPr>
              <w:t>报告期末产品规模（元）</w:t>
            </w:r>
          </w:p>
        </w:tc>
        <w:tc>
          <w:tcPr>
            <w:tcW w:w="57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kern w:val="0"/>
                <w:sz w:val="24"/>
              </w:rPr>
            </w:pPr>
            <w:r>
              <w:rPr>
                <w:rFonts w:hint="eastAsia" w:ascii="仿宋" w:hAnsi="仿宋" w:eastAsia="仿宋" w:cs="仿宋"/>
                <w:kern w:val="0"/>
                <w:sz w:val="24"/>
              </w:rPr>
              <w:t>609,922,671.10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sz w:val="24"/>
              </w:rPr>
            </w:pPr>
            <w:r>
              <w:rPr>
                <w:rFonts w:hint="eastAsia" w:ascii="仿宋" w:hAnsi="仿宋" w:eastAsia="仿宋" w:cs="仿宋"/>
                <w:kern w:val="0"/>
                <w:sz w:val="24"/>
              </w:rPr>
              <w:t>杠杆水平（%）</w:t>
            </w:r>
          </w:p>
        </w:tc>
        <w:tc>
          <w:tcPr>
            <w:tcW w:w="57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kern w:val="0"/>
                <w:sz w:val="24"/>
              </w:rPr>
            </w:pPr>
            <w:r>
              <w:rPr>
                <w:rFonts w:hint="eastAsia" w:ascii="仿宋" w:hAnsi="仿宋" w:eastAsia="仿宋" w:cs="仿宋"/>
                <w:kern w:val="0"/>
                <w:sz w:val="24"/>
              </w:rPr>
              <w:t>104.19%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kern w:val="0"/>
                <w:sz w:val="24"/>
              </w:rPr>
            </w:pPr>
            <w:r>
              <w:rPr>
                <w:rFonts w:hint="eastAsia" w:ascii="仿宋" w:hAnsi="仿宋" w:eastAsia="仿宋" w:cs="仿宋"/>
                <w:kern w:val="0"/>
                <w:sz w:val="24"/>
              </w:rPr>
              <w:t>风险等级</w:t>
            </w:r>
          </w:p>
        </w:tc>
        <w:tc>
          <w:tcPr>
            <w:tcW w:w="57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kern w:val="0"/>
                <w:sz w:val="24"/>
              </w:rPr>
            </w:pPr>
            <w:r>
              <w:rPr>
                <w:rFonts w:hint="eastAsia" w:ascii="仿宋" w:hAnsi="仿宋" w:eastAsia="仿宋" w:cs="仿宋"/>
                <w:kern w:val="0"/>
                <w:sz w:val="24"/>
              </w:rPr>
              <w:t>中低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sz w:val="24"/>
              </w:rPr>
            </w:pPr>
            <w:r>
              <w:rPr>
                <w:rFonts w:hint="eastAsia" w:ascii="仿宋" w:hAnsi="仿宋" w:eastAsia="仿宋" w:cs="仿宋"/>
                <w:kern w:val="0"/>
                <w:sz w:val="24"/>
              </w:rPr>
              <w:t>产品管理人</w:t>
            </w:r>
          </w:p>
        </w:tc>
        <w:tc>
          <w:tcPr>
            <w:tcW w:w="57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kern w:val="0"/>
                <w:sz w:val="24"/>
              </w:rPr>
            </w:pPr>
            <w:r>
              <w:rPr>
                <w:rFonts w:hint="eastAsia" w:ascii="仿宋" w:hAnsi="仿宋" w:eastAsia="仿宋" w:cs="仿宋"/>
                <w:kern w:val="0"/>
                <w:sz w:val="24"/>
              </w:rPr>
              <w:t>杭银理财有限责任公司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sz w:val="24"/>
              </w:rPr>
            </w:pPr>
            <w:r>
              <w:rPr>
                <w:rFonts w:hint="eastAsia" w:ascii="仿宋" w:hAnsi="仿宋" w:eastAsia="仿宋" w:cs="仿宋"/>
                <w:kern w:val="0"/>
                <w:sz w:val="24"/>
              </w:rPr>
              <w:t>产品托管人</w:t>
            </w:r>
          </w:p>
        </w:tc>
        <w:tc>
          <w:tcPr>
            <w:tcW w:w="57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kern w:val="0"/>
                <w:sz w:val="24"/>
              </w:rPr>
            </w:pPr>
            <w:r>
              <w:rPr>
                <w:rFonts w:hint="eastAsia" w:ascii="仿宋" w:hAnsi="仿宋" w:eastAsia="仿宋" w:cs="仿宋"/>
                <w:kern w:val="0"/>
                <w:sz w:val="24"/>
              </w:rPr>
              <w:t>杭州银行股份有限公司</w:t>
            </w:r>
          </w:p>
        </w:tc>
      </w:tr>
    </w:tbl>
    <w:p>
      <w:pPr>
        <w:adjustRightInd w:val="0"/>
        <w:snapToGrid w:val="0"/>
        <w:spacing w:line="360" w:lineRule="exact"/>
        <w:rPr>
          <w:rFonts w:ascii="仿宋" w:hAnsi="仿宋" w:eastAsia="仿宋" w:cs="仿宋"/>
          <w:sz w:val="24"/>
        </w:rPr>
      </w:pPr>
      <w:r>
        <w:rPr>
          <w:rFonts w:hint="eastAsia" w:ascii="仿宋" w:hAnsi="仿宋" w:eastAsia="仿宋" w:cs="仿宋"/>
          <w:sz w:val="24"/>
        </w:rPr>
        <w:t>*杠杆水平=总资产/理财产品净资产，理财产品净资产=总资产-总负债</w:t>
      </w:r>
    </w:p>
    <w:p>
      <w:pPr>
        <w:adjustRightInd w:val="0"/>
        <w:snapToGrid w:val="0"/>
        <w:spacing w:line="360" w:lineRule="exact"/>
        <w:rPr>
          <w:rFonts w:ascii="仿宋" w:hAnsi="仿宋" w:eastAsia="仿宋" w:cs="仿宋"/>
          <w:color w:val="000000"/>
          <w:sz w:val="24"/>
        </w:rPr>
      </w:pPr>
    </w:p>
    <w:p>
      <w:pPr>
        <w:pStyle w:val="2"/>
        <w:adjustRightInd w:val="0"/>
        <w:snapToGrid w:val="0"/>
        <w:spacing w:line="560" w:lineRule="exact"/>
        <w:jc w:val="center"/>
        <w:rPr>
          <w:rFonts w:ascii="仿宋" w:hAnsi="仿宋" w:eastAsia="仿宋" w:cs="仿宋"/>
          <w:sz w:val="24"/>
        </w:rPr>
      </w:pPr>
      <w:r>
        <w:rPr>
          <w:rFonts w:hint="eastAsia" w:ascii="仿宋" w:hAnsi="仿宋" w:eastAsia="仿宋" w:cs="仿宋"/>
          <w:sz w:val="24"/>
        </w:rPr>
        <w:t>§3  主要财务指标和产品净值表现</w:t>
      </w:r>
    </w:p>
    <w:p>
      <w:pPr>
        <w:adjustRightInd w:val="0"/>
        <w:snapToGrid w:val="0"/>
        <w:spacing w:line="440" w:lineRule="exact"/>
        <w:outlineLvl w:val="2"/>
        <w:rPr>
          <w:rFonts w:ascii="仿宋" w:hAnsi="仿宋" w:eastAsia="仿宋" w:cs="仿宋"/>
          <w:b/>
          <w:sz w:val="24"/>
        </w:rPr>
      </w:pPr>
      <w:r>
        <w:rPr>
          <w:rFonts w:hint="eastAsia" w:ascii="仿宋" w:hAnsi="仿宋" w:eastAsia="仿宋" w:cs="仿宋"/>
          <w:b/>
          <w:sz w:val="24"/>
        </w:rPr>
        <w:t>3.1 主要财务指标和产品净值表现</w:t>
      </w:r>
    </w:p>
    <w:p>
      <w:pPr>
        <w:adjustRightInd w:val="0"/>
        <w:snapToGrid w:val="0"/>
        <w:spacing w:line="440" w:lineRule="exact"/>
        <w:jc w:val="right"/>
        <w:rPr>
          <w:rFonts w:ascii="仿宋" w:hAnsi="仿宋" w:eastAsia="仿宋" w:cs="仿宋"/>
          <w:sz w:val="24"/>
        </w:rPr>
      </w:pPr>
      <w:r>
        <w:rPr>
          <w:rFonts w:hint="eastAsia" w:ascii="仿宋" w:hAnsi="仿宋" w:eastAsia="仿宋" w:cs="仿宋"/>
          <w:sz w:val="24"/>
        </w:rPr>
        <w:t>单位：元、份、元/份</w:t>
      </w:r>
    </w:p>
    <w:tbl>
      <w:tblPr>
        <w:tblStyle w:val="10"/>
        <w:tblW w:w="9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418"/>
        <w:gridCol w:w="585"/>
        <w:gridCol w:w="407"/>
        <w:gridCol w:w="992"/>
        <w:gridCol w:w="3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408"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
                <w:color w:val="000000"/>
                <w:kern w:val="0"/>
                <w:sz w:val="24"/>
              </w:rPr>
            </w:pPr>
            <w:r>
              <w:rPr>
                <w:rFonts w:hint="eastAsia" w:ascii="仿宋" w:hAnsi="仿宋" w:eastAsia="仿宋" w:cs="仿宋"/>
                <w:sz w:val="24"/>
              </w:rPr>
              <w:t>主要财务指标</w:t>
            </w:r>
          </w:p>
        </w:tc>
        <w:tc>
          <w:tcPr>
            <w:tcW w:w="4720"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
                <w:color w:val="000000"/>
                <w:kern w:val="0"/>
                <w:sz w:val="24"/>
              </w:rPr>
            </w:pPr>
            <w:r>
              <w:rPr>
                <w:rFonts w:hint="eastAsia" w:ascii="仿宋" w:hAnsi="仿宋" w:eastAsia="仿宋" w:cs="仿宋"/>
                <w:color w:val="000000"/>
                <w:kern w:val="0"/>
                <w:sz w:val="24"/>
              </w:rPr>
              <w:t>报告期</w:t>
            </w:r>
          </w:p>
          <w:p>
            <w:pPr>
              <w:widowControl/>
              <w:adjustRightInd w:val="0"/>
              <w:snapToGrid w:val="0"/>
              <w:jc w:val="center"/>
              <w:rPr>
                <w:rFonts w:ascii="仿宋" w:hAnsi="仿宋" w:eastAsia="仿宋" w:cs="仿宋"/>
                <w:color w:val="000000"/>
                <w:kern w:val="0"/>
                <w:sz w:val="24"/>
              </w:rPr>
            </w:pPr>
            <w:r>
              <w:rPr>
                <w:rFonts w:hint="eastAsia" w:ascii="仿宋" w:hAnsi="仿宋" w:eastAsia="仿宋" w:cs="仿宋"/>
                <w:color w:val="000000"/>
                <w:kern w:val="0"/>
                <w:sz w:val="24"/>
              </w:rPr>
              <w:t>（</w:t>
            </w:r>
            <w:r>
              <w:rPr>
                <w:rFonts w:ascii="仿宋" w:hAnsi="仿宋" w:eastAsia="仿宋" w:cs="仿宋"/>
                <w:color w:val="000000"/>
                <w:sz w:val="24"/>
              </w:rPr>
              <w:t>2023年1月1日</w:t>
            </w:r>
            <w:r>
              <w:rPr>
                <w:rFonts w:hint="eastAsia" w:ascii="仿宋" w:hAnsi="仿宋" w:eastAsia="仿宋" w:cs="仿宋"/>
                <w:color w:val="000000"/>
                <w:kern w:val="0"/>
                <w:sz w:val="24"/>
              </w:rPr>
              <w:t>-</w:t>
            </w:r>
            <w:r>
              <w:rPr>
                <w:rFonts w:ascii="仿宋" w:hAnsi="仿宋" w:eastAsia="仿宋" w:cs="仿宋"/>
                <w:color w:val="000000"/>
                <w:sz w:val="24"/>
              </w:rPr>
              <w:t>2023年3月31日</w:t>
            </w:r>
            <w:r>
              <w:rPr>
                <w:rFonts w:hint="eastAsia" w:ascii="仿宋" w:hAnsi="仿宋" w:eastAsia="仿宋" w:cs="仿宋"/>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408"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Style w:val="14"/>
                <w:rFonts w:ascii="仿宋" w:hAnsi="仿宋" w:eastAsia="仿宋" w:cs="仿宋"/>
                <w:sz w:val="24"/>
              </w:rPr>
            </w:pPr>
            <w:r>
              <w:rPr>
                <w:rFonts w:hint="eastAsia" w:ascii="仿宋" w:hAnsi="仿宋" w:eastAsia="仿宋" w:cs="仿宋"/>
                <w:sz w:val="24"/>
              </w:rPr>
              <w:t>1.期末产品资产净值</w:t>
            </w:r>
          </w:p>
        </w:tc>
        <w:tc>
          <w:tcPr>
            <w:tcW w:w="4720"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right"/>
              <w:rPr>
                <w:rFonts w:ascii="仿宋" w:hAnsi="仿宋" w:eastAsia="仿宋" w:cs="仿宋"/>
                <w:sz w:val="24"/>
              </w:rPr>
            </w:pPr>
            <w:r>
              <w:rPr>
                <w:rFonts w:hint="eastAsia" w:ascii="仿宋" w:hAnsi="仿宋" w:eastAsia="仿宋" w:cs="仿宋"/>
                <w:kern w:val="0"/>
                <w:sz w:val="24"/>
              </w:rPr>
              <w:t>609,922,671.10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408"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仿宋"/>
                <w:sz w:val="24"/>
              </w:rPr>
            </w:pPr>
            <w:r>
              <w:rPr>
                <w:rFonts w:hint="eastAsia" w:ascii="仿宋" w:hAnsi="仿宋" w:eastAsia="仿宋" w:cs="仿宋"/>
                <w:sz w:val="24"/>
              </w:rPr>
              <w:t>2.期末产品总份额</w:t>
            </w:r>
          </w:p>
        </w:tc>
        <w:tc>
          <w:tcPr>
            <w:tcW w:w="4720"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right"/>
              <w:rPr>
                <w:rFonts w:ascii="仿宋" w:hAnsi="仿宋" w:eastAsia="仿宋" w:cs="仿宋"/>
                <w:kern w:val="0"/>
                <w:sz w:val="24"/>
              </w:rPr>
            </w:pPr>
            <w:r>
              <w:rPr>
                <w:rFonts w:hint="eastAsia" w:ascii="仿宋" w:hAnsi="仿宋" w:eastAsia="仿宋" w:cs="仿宋"/>
                <w:kern w:val="0"/>
                <w:sz w:val="24"/>
              </w:rPr>
              <w:t>531,702,099.79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408"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Style w:val="14"/>
                <w:rFonts w:ascii="仿宋" w:hAnsi="仿宋" w:eastAsia="仿宋" w:cs="仿宋"/>
                <w:sz w:val="24"/>
              </w:rPr>
            </w:pPr>
            <w:r>
              <w:rPr>
                <w:rFonts w:hint="eastAsia" w:ascii="仿宋" w:hAnsi="仿宋" w:eastAsia="仿宋" w:cs="仿宋"/>
                <w:sz w:val="24"/>
              </w:rPr>
              <w:t>3.期末产品份额单位净值</w:t>
            </w:r>
          </w:p>
        </w:tc>
        <w:tc>
          <w:tcPr>
            <w:tcW w:w="4720"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right"/>
              <w:rPr>
                <w:rFonts w:ascii="仿宋" w:hAnsi="仿宋" w:eastAsia="仿宋" w:cs="仿宋"/>
                <w:sz w:val="24"/>
              </w:rPr>
            </w:pPr>
            <w:r>
              <w:rPr>
                <w:rFonts w:hint="eastAsia" w:ascii="仿宋" w:hAnsi="仿宋" w:eastAsia="仿宋" w:cs="仿宋"/>
                <w:kern w:val="0"/>
                <w:sz w:val="24"/>
              </w:rPr>
              <w:t>1.1471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408"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Style w:val="14"/>
                <w:rFonts w:ascii="仿宋" w:hAnsi="仿宋" w:eastAsia="仿宋" w:cs="仿宋"/>
                <w:sz w:val="24"/>
              </w:rPr>
            </w:pPr>
            <w:r>
              <w:rPr>
                <w:rFonts w:hint="eastAsia" w:ascii="仿宋" w:hAnsi="仿宋" w:eastAsia="仿宋" w:cs="仿宋"/>
                <w:sz w:val="24"/>
              </w:rPr>
              <w:t>4.期末产品份额累计净值</w:t>
            </w:r>
          </w:p>
        </w:tc>
        <w:tc>
          <w:tcPr>
            <w:tcW w:w="4720"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right"/>
              <w:rPr>
                <w:rFonts w:ascii="仿宋" w:hAnsi="仿宋" w:eastAsia="仿宋" w:cs="仿宋"/>
                <w:sz w:val="24"/>
              </w:rPr>
            </w:pPr>
            <w:r>
              <w:rPr>
                <w:rFonts w:hint="eastAsia" w:ascii="仿宋" w:hAnsi="仿宋" w:eastAsia="仿宋" w:cs="仿宋"/>
                <w:kern w:val="0"/>
                <w:sz w:val="24"/>
              </w:rPr>
              <w:t>1.1471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9128" w:type="dxa"/>
            <w:gridSpan w:val="6"/>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
                <w:color w:val="0000FF"/>
                <w:sz w:val="24"/>
              </w:rPr>
            </w:pPr>
            <w:r>
              <w:rPr>
                <w:rFonts w:hint="eastAsia" w:ascii="仿宋" w:hAnsi="仿宋" w:eastAsia="仿宋" w:cs="仿宋"/>
                <w:kern w:val="0"/>
                <w:sz w:val="24"/>
              </w:rPr>
              <w:t>报告期末下属子产品相关信息披露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405" w:type="dxa"/>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before="0" w:beforeAutospacing="0" w:after="0" w:afterAutospacing="0"/>
              <w:jc w:val="center"/>
              <w:rPr>
                <w:rFonts w:ascii="仿宋" w:hAnsi="仿宋" w:eastAsia="仿宋" w:cs="仿宋"/>
                <w:color w:val="000000"/>
                <w:szCs w:val="24"/>
              </w:rPr>
            </w:pPr>
            <w:r>
              <w:rPr>
                <w:rFonts w:hint="eastAsia" w:ascii="仿宋" w:hAnsi="仿宋" w:eastAsia="仿宋" w:cs="仿宋"/>
                <w:color w:val="000000"/>
                <w:szCs w:val="24"/>
              </w:rPr>
              <w:t>子产品名称</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
                <w:kern w:val="0"/>
                <w:sz w:val="24"/>
              </w:rPr>
            </w:pPr>
            <w:r>
              <w:rPr>
                <w:rFonts w:hint="eastAsia" w:ascii="仿宋" w:hAnsi="仿宋" w:eastAsia="仿宋" w:cs="仿宋"/>
                <w:kern w:val="0"/>
                <w:sz w:val="24"/>
              </w:rPr>
              <w:t>子产品代码</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
                <w:kern w:val="0"/>
                <w:sz w:val="24"/>
              </w:rPr>
            </w:pPr>
            <w:r>
              <w:rPr>
                <w:rFonts w:hint="eastAsia" w:ascii="仿宋" w:hAnsi="仿宋" w:eastAsia="仿宋" w:cs="仿宋"/>
                <w:kern w:val="0"/>
                <w:sz w:val="24"/>
              </w:rPr>
              <w:t>份额</w:t>
            </w:r>
          </w:p>
          <w:p>
            <w:pPr>
              <w:widowControl/>
              <w:adjustRightInd w:val="0"/>
              <w:snapToGrid w:val="0"/>
              <w:jc w:val="center"/>
              <w:rPr>
                <w:rFonts w:ascii="仿宋" w:hAnsi="仿宋" w:eastAsia="仿宋" w:cs="仿宋"/>
                <w:kern w:val="0"/>
                <w:sz w:val="24"/>
              </w:rPr>
            </w:pPr>
            <w:r>
              <w:rPr>
                <w:rFonts w:hint="eastAsia" w:ascii="仿宋" w:hAnsi="仿宋" w:eastAsia="仿宋" w:cs="仿宋"/>
                <w:kern w:val="0"/>
                <w:sz w:val="24"/>
              </w:rPr>
              <w:t>净值</w:t>
            </w:r>
          </w:p>
        </w:tc>
        <w:tc>
          <w:tcPr>
            <w:tcW w:w="9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
                <w:kern w:val="0"/>
                <w:sz w:val="24"/>
              </w:rPr>
            </w:pPr>
            <w:r>
              <w:rPr>
                <w:rFonts w:hint="eastAsia" w:ascii="仿宋" w:hAnsi="仿宋" w:eastAsia="仿宋" w:cs="仿宋"/>
                <w:kern w:val="0"/>
                <w:sz w:val="24"/>
              </w:rPr>
              <w:t>份额累计净值</w:t>
            </w:r>
          </w:p>
        </w:tc>
        <w:tc>
          <w:tcPr>
            <w:tcW w:w="33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
                <w:kern w:val="0"/>
                <w:sz w:val="24"/>
              </w:rPr>
            </w:pPr>
            <w:r>
              <w:rPr>
                <w:rFonts w:hint="eastAsia" w:ascii="仿宋" w:hAnsi="仿宋" w:eastAsia="仿宋" w:cs="仿宋"/>
                <w:kern w:val="0"/>
                <w:sz w:val="24"/>
              </w:rPr>
              <w:t>资产净值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405" w:type="dxa"/>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before="0" w:beforeAutospacing="0" w:after="0" w:afterAutospacing="0"/>
              <w:jc w:val="center"/>
              <w:rPr>
                <w:rFonts w:ascii="仿宋" w:hAnsi="仿宋" w:eastAsia="仿宋" w:cs="仿宋"/>
                <w:color w:val="000000"/>
                <w:szCs w:val="24"/>
              </w:rPr>
            </w:pPr>
            <w:r>
              <w:rPr>
                <w:rFonts w:hint="eastAsia" w:ascii="仿宋" w:hAnsi="仿宋" w:eastAsia="仿宋" w:cs="仿宋"/>
                <w:color w:val="000000"/>
                <w:szCs w:val="24"/>
              </w:rPr>
              <w:t>季添益1903期</w:t>
            </w:r>
          </w:p>
        </w:tc>
        <w:tc>
          <w:tcPr>
            <w:tcW w:w="1418" w:type="dxa"/>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before="0" w:beforeAutospacing="0" w:after="0" w:afterAutospacing="0"/>
              <w:jc w:val="center"/>
              <w:rPr>
                <w:rFonts w:ascii="仿宋" w:hAnsi="仿宋" w:eastAsia="仿宋" w:cs="仿宋"/>
                <w:color w:val="000000"/>
                <w:szCs w:val="24"/>
              </w:rPr>
            </w:pPr>
            <w:r>
              <w:rPr>
                <w:rFonts w:hint="eastAsia" w:ascii="仿宋" w:hAnsi="仿宋" w:eastAsia="仿宋" w:cs="仿宋"/>
                <w:color w:val="000000"/>
                <w:szCs w:val="24"/>
              </w:rPr>
              <w:t>TYG3M1903</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before="0" w:beforeAutospacing="0" w:after="0" w:afterAutospacing="0"/>
              <w:jc w:val="center"/>
              <w:rPr>
                <w:rFonts w:ascii="仿宋" w:hAnsi="仿宋" w:eastAsia="仿宋" w:cs="仿宋"/>
                <w:color w:val="000000"/>
                <w:szCs w:val="24"/>
              </w:rPr>
            </w:pPr>
            <w:r>
              <w:rPr>
                <w:rFonts w:hint="eastAsia" w:ascii="仿宋" w:hAnsi="仿宋" w:eastAsia="仿宋" w:cs="仿宋"/>
                <w:color w:val="000000"/>
                <w:szCs w:val="24"/>
              </w:rPr>
              <w:t>1.1469</w:t>
            </w:r>
          </w:p>
        </w:tc>
        <w:tc>
          <w:tcPr>
            <w:tcW w:w="992" w:type="dxa"/>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before="0" w:beforeAutospacing="0" w:after="0" w:afterAutospacing="0"/>
              <w:jc w:val="center"/>
              <w:rPr>
                <w:rFonts w:ascii="仿宋" w:hAnsi="仿宋" w:eastAsia="仿宋" w:cs="仿宋"/>
                <w:color w:val="000000"/>
                <w:szCs w:val="24"/>
              </w:rPr>
            </w:pPr>
            <w:r>
              <w:rPr>
                <w:rFonts w:hint="eastAsia" w:ascii="仿宋" w:hAnsi="仿宋" w:eastAsia="仿宋" w:cs="仿宋"/>
                <w:color w:val="000000"/>
                <w:szCs w:val="24"/>
              </w:rPr>
              <w:t>1.1469</w:t>
            </w:r>
          </w:p>
        </w:tc>
        <w:tc>
          <w:tcPr>
            <w:tcW w:w="3321" w:type="dxa"/>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before="0" w:beforeAutospacing="0" w:after="0" w:afterAutospacing="0"/>
              <w:jc w:val="center"/>
              <w:rPr>
                <w:rFonts w:ascii="仿宋" w:hAnsi="仿宋" w:eastAsia="仿宋" w:cs="仿宋"/>
                <w:color w:val="000000"/>
                <w:szCs w:val="24"/>
              </w:rPr>
            </w:pPr>
            <w:r>
              <w:rPr>
                <w:rFonts w:hint="eastAsia" w:ascii="仿宋" w:hAnsi="仿宋" w:eastAsia="仿宋" w:cs="仿宋"/>
                <w:color w:val="000000"/>
                <w:szCs w:val="24"/>
              </w:rPr>
              <w:t>482,251,635.43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405" w:type="dxa"/>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before="0" w:beforeAutospacing="0" w:after="0" w:afterAutospacing="0"/>
              <w:jc w:val="center"/>
              <w:rPr>
                <w:rFonts w:ascii="仿宋" w:hAnsi="仿宋" w:eastAsia="仿宋" w:cs="仿宋"/>
                <w:color w:val="000000"/>
                <w:szCs w:val="24"/>
              </w:rPr>
            </w:pPr>
            <w:r>
              <w:rPr>
                <w:rFonts w:hint="eastAsia" w:ascii="仿宋" w:hAnsi="仿宋" w:eastAsia="仿宋" w:cs="仿宋"/>
                <w:color w:val="000000"/>
                <w:szCs w:val="24"/>
              </w:rPr>
              <w:t>季添益1903期B款</w:t>
            </w:r>
          </w:p>
        </w:tc>
        <w:tc>
          <w:tcPr>
            <w:tcW w:w="1418" w:type="dxa"/>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before="0" w:beforeAutospacing="0" w:after="0" w:afterAutospacing="0"/>
              <w:jc w:val="center"/>
              <w:rPr>
                <w:rFonts w:ascii="仿宋" w:hAnsi="仿宋" w:eastAsia="仿宋" w:cs="仿宋"/>
                <w:color w:val="000000"/>
                <w:szCs w:val="24"/>
              </w:rPr>
            </w:pPr>
            <w:r>
              <w:rPr>
                <w:rFonts w:hint="eastAsia" w:ascii="仿宋" w:hAnsi="仿宋" w:eastAsia="仿宋" w:cs="仿宋"/>
                <w:color w:val="000000"/>
                <w:szCs w:val="24"/>
              </w:rPr>
              <w:t>TYG3M1903B</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before="0" w:beforeAutospacing="0" w:after="0" w:afterAutospacing="0"/>
              <w:jc w:val="center"/>
              <w:rPr>
                <w:rFonts w:ascii="仿宋" w:hAnsi="仿宋" w:eastAsia="仿宋" w:cs="仿宋"/>
                <w:color w:val="000000"/>
                <w:szCs w:val="24"/>
              </w:rPr>
            </w:pPr>
            <w:r>
              <w:rPr>
                <w:rFonts w:hint="eastAsia" w:ascii="仿宋" w:hAnsi="仿宋" w:eastAsia="仿宋" w:cs="仿宋"/>
                <w:color w:val="000000"/>
                <w:szCs w:val="24"/>
              </w:rPr>
              <w:t>1.1479</w:t>
            </w:r>
          </w:p>
        </w:tc>
        <w:tc>
          <w:tcPr>
            <w:tcW w:w="992" w:type="dxa"/>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before="0" w:beforeAutospacing="0" w:after="0" w:afterAutospacing="0"/>
              <w:jc w:val="center"/>
              <w:rPr>
                <w:rFonts w:ascii="仿宋" w:hAnsi="仿宋" w:eastAsia="仿宋" w:cs="仿宋"/>
                <w:color w:val="000000"/>
                <w:szCs w:val="24"/>
              </w:rPr>
            </w:pPr>
            <w:r>
              <w:rPr>
                <w:rFonts w:hint="eastAsia" w:ascii="仿宋" w:hAnsi="仿宋" w:eastAsia="仿宋" w:cs="仿宋"/>
                <w:color w:val="000000"/>
                <w:szCs w:val="24"/>
              </w:rPr>
              <w:t>1.1479</w:t>
            </w:r>
          </w:p>
        </w:tc>
        <w:tc>
          <w:tcPr>
            <w:tcW w:w="3321" w:type="dxa"/>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before="0" w:beforeAutospacing="0" w:after="0" w:afterAutospacing="0"/>
              <w:jc w:val="center"/>
              <w:rPr>
                <w:rFonts w:ascii="仿宋" w:hAnsi="仿宋" w:eastAsia="仿宋" w:cs="仿宋"/>
                <w:color w:val="000000"/>
                <w:szCs w:val="24"/>
              </w:rPr>
            </w:pPr>
            <w:r>
              <w:rPr>
                <w:rFonts w:hint="eastAsia" w:ascii="仿宋" w:hAnsi="仿宋" w:eastAsia="仿宋" w:cs="仿宋"/>
                <w:color w:val="000000"/>
                <w:szCs w:val="24"/>
              </w:rPr>
              <w:t>92,440,520.03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405" w:type="dxa"/>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before="0" w:beforeAutospacing="0" w:after="0" w:afterAutospacing="0"/>
              <w:jc w:val="center"/>
              <w:rPr>
                <w:rFonts w:ascii="仿宋" w:hAnsi="仿宋" w:eastAsia="仿宋" w:cs="仿宋"/>
                <w:color w:val="000000"/>
                <w:szCs w:val="24"/>
              </w:rPr>
            </w:pPr>
            <w:r>
              <w:rPr>
                <w:rFonts w:hint="eastAsia" w:ascii="仿宋" w:hAnsi="仿宋" w:eastAsia="仿宋" w:cs="仿宋"/>
                <w:color w:val="000000"/>
                <w:szCs w:val="24"/>
              </w:rPr>
              <w:t>季添益1903期C款</w:t>
            </w:r>
          </w:p>
        </w:tc>
        <w:tc>
          <w:tcPr>
            <w:tcW w:w="1418" w:type="dxa"/>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before="0" w:beforeAutospacing="0" w:after="0" w:afterAutospacing="0"/>
              <w:jc w:val="center"/>
              <w:rPr>
                <w:rFonts w:ascii="仿宋" w:hAnsi="仿宋" w:eastAsia="仿宋" w:cs="仿宋"/>
                <w:color w:val="000000"/>
                <w:szCs w:val="24"/>
              </w:rPr>
            </w:pPr>
            <w:r>
              <w:rPr>
                <w:rFonts w:hint="eastAsia" w:ascii="仿宋" w:hAnsi="仿宋" w:eastAsia="仿宋" w:cs="仿宋"/>
                <w:color w:val="000000"/>
                <w:szCs w:val="24"/>
              </w:rPr>
              <w:t>TYG3M1903C</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before="0" w:beforeAutospacing="0" w:after="0" w:afterAutospacing="0"/>
              <w:jc w:val="center"/>
              <w:rPr>
                <w:rFonts w:ascii="仿宋" w:hAnsi="仿宋" w:eastAsia="仿宋" w:cs="仿宋"/>
                <w:color w:val="000000"/>
                <w:szCs w:val="24"/>
              </w:rPr>
            </w:pPr>
            <w:r>
              <w:rPr>
                <w:rFonts w:hint="eastAsia" w:ascii="仿宋" w:hAnsi="仿宋" w:eastAsia="仿宋" w:cs="仿宋"/>
                <w:color w:val="000000"/>
                <w:szCs w:val="24"/>
              </w:rPr>
              <w:t>1.1478</w:t>
            </w:r>
          </w:p>
        </w:tc>
        <w:tc>
          <w:tcPr>
            <w:tcW w:w="992" w:type="dxa"/>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before="0" w:beforeAutospacing="0" w:after="0" w:afterAutospacing="0"/>
              <w:jc w:val="center"/>
              <w:rPr>
                <w:rFonts w:ascii="仿宋" w:hAnsi="仿宋" w:eastAsia="仿宋" w:cs="仿宋"/>
                <w:color w:val="000000"/>
                <w:szCs w:val="24"/>
              </w:rPr>
            </w:pPr>
            <w:r>
              <w:rPr>
                <w:rFonts w:hint="eastAsia" w:ascii="仿宋" w:hAnsi="仿宋" w:eastAsia="仿宋" w:cs="仿宋"/>
                <w:color w:val="000000"/>
                <w:szCs w:val="24"/>
              </w:rPr>
              <w:t>1.1478</w:t>
            </w:r>
          </w:p>
        </w:tc>
        <w:tc>
          <w:tcPr>
            <w:tcW w:w="3321" w:type="dxa"/>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before="0" w:beforeAutospacing="0" w:after="0" w:afterAutospacing="0"/>
              <w:jc w:val="center"/>
              <w:rPr>
                <w:rFonts w:ascii="仿宋" w:hAnsi="仿宋" w:eastAsia="仿宋" w:cs="仿宋"/>
                <w:color w:val="000000"/>
                <w:szCs w:val="24"/>
              </w:rPr>
            </w:pPr>
            <w:r>
              <w:rPr>
                <w:rFonts w:hint="eastAsia" w:ascii="仿宋" w:hAnsi="仿宋" w:eastAsia="仿宋" w:cs="仿宋"/>
                <w:color w:val="000000"/>
                <w:szCs w:val="24"/>
              </w:rPr>
              <w:t>35,230,515.64</w:t>
            </w:r>
          </w:p>
        </w:tc>
      </w:tr>
    </w:tbl>
    <w:p>
      <w:pPr>
        <w:adjustRightInd w:val="0"/>
        <w:snapToGrid w:val="0"/>
        <w:spacing w:line="440" w:lineRule="exact"/>
        <w:outlineLvl w:val="2"/>
        <w:rPr>
          <w:rFonts w:ascii="仿宋" w:hAnsi="仿宋" w:eastAsia="仿宋" w:cs="仿宋"/>
          <w:b/>
          <w:sz w:val="24"/>
        </w:rPr>
      </w:pPr>
      <w:r>
        <w:rPr>
          <w:rFonts w:hint="eastAsia" w:ascii="仿宋" w:hAnsi="仿宋" w:eastAsia="仿宋" w:cs="仿宋"/>
          <w:b/>
          <w:sz w:val="24"/>
        </w:rPr>
        <w:t>3.</w:t>
      </w:r>
      <w:r>
        <w:rPr>
          <w:rFonts w:ascii="仿宋" w:hAnsi="仿宋" w:eastAsia="仿宋" w:cs="仿宋"/>
          <w:b/>
          <w:sz w:val="24"/>
        </w:rPr>
        <w:t>2</w:t>
      </w:r>
      <w:r>
        <w:rPr>
          <w:rFonts w:hint="eastAsia" w:ascii="仿宋" w:hAnsi="仿宋" w:eastAsia="仿宋" w:cs="仿宋"/>
          <w:b/>
          <w:sz w:val="24"/>
        </w:rPr>
        <w:t xml:space="preserve"> 产品收益表现</w:t>
      </w:r>
    </w:p>
    <w:tbl>
      <w:tblPr>
        <w:tblStyle w:val="10"/>
        <w:tblW w:w="9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7"/>
        <w:gridCol w:w="3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580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
                <w:color w:val="000000"/>
                <w:kern w:val="0"/>
                <w:sz w:val="24"/>
              </w:rPr>
            </w:pPr>
            <w:r>
              <w:rPr>
                <w:rFonts w:hint="eastAsia" w:ascii="仿宋" w:hAnsi="仿宋" w:eastAsia="仿宋" w:cs="仿宋"/>
                <w:color w:val="000000"/>
                <w:kern w:val="0"/>
                <w:sz w:val="24"/>
              </w:rPr>
              <w:t>产品名称</w:t>
            </w:r>
          </w:p>
        </w:tc>
        <w:tc>
          <w:tcPr>
            <w:tcW w:w="33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
                <w:color w:val="000000"/>
                <w:kern w:val="0"/>
                <w:sz w:val="24"/>
              </w:rPr>
            </w:pPr>
            <w:r>
              <w:rPr>
                <w:rFonts w:hint="eastAsia" w:ascii="仿宋" w:hAnsi="仿宋" w:eastAsia="仿宋" w:cs="仿宋"/>
                <w:color w:val="000000"/>
                <w:kern w:val="0"/>
                <w:sz w:val="24"/>
              </w:rPr>
              <w:t>成立以来年化收益率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580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Style w:val="14"/>
                <w:rFonts w:ascii="仿宋" w:hAnsi="仿宋" w:eastAsia="仿宋" w:cs="仿宋"/>
                <w:sz w:val="24"/>
              </w:rPr>
            </w:pPr>
            <w:r>
              <w:rPr>
                <w:rStyle w:val="14"/>
                <w:rFonts w:hint="eastAsia" w:ascii="仿宋" w:hAnsi="仿宋" w:eastAsia="仿宋" w:cs="仿宋"/>
                <w:sz w:val="24"/>
              </w:rPr>
              <w:t>季添益1903期</w:t>
            </w:r>
          </w:p>
        </w:tc>
        <w:tc>
          <w:tcPr>
            <w:tcW w:w="33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
                <w:sz w:val="24"/>
              </w:rPr>
            </w:pPr>
            <w:r>
              <w:rPr>
                <w:rFonts w:hint="eastAsia" w:ascii="仿宋" w:hAnsi="仿宋" w:eastAsia="仿宋" w:cs="仿宋"/>
                <w:sz w:val="24"/>
              </w:rPr>
              <w:t>3.86</w:t>
            </w:r>
            <w:r>
              <w:rPr>
                <w:rFonts w:ascii="仿宋" w:hAnsi="仿宋" w:eastAsia="仿宋" w:cs="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580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Style w:val="14"/>
                <w:rFonts w:ascii="仿宋" w:hAnsi="仿宋" w:eastAsia="仿宋" w:cs="仿宋"/>
                <w:sz w:val="24"/>
              </w:rPr>
            </w:pPr>
            <w:r>
              <w:rPr>
                <w:rStyle w:val="14"/>
                <w:rFonts w:hint="eastAsia" w:ascii="仿宋" w:hAnsi="仿宋" w:eastAsia="仿宋" w:cs="仿宋"/>
                <w:sz w:val="24"/>
              </w:rPr>
              <w:t>季添益1903期B款</w:t>
            </w:r>
          </w:p>
        </w:tc>
        <w:tc>
          <w:tcPr>
            <w:tcW w:w="33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
                <w:sz w:val="24"/>
              </w:rPr>
            </w:pPr>
            <w:r>
              <w:rPr>
                <w:rFonts w:hint="eastAsia" w:ascii="仿宋" w:hAnsi="仿宋" w:eastAsia="仿宋" w:cs="仿宋"/>
                <w:sz w:val="24"/>
              </w:rPr>
              <w:t>3.88</w:t>
            </w:r>
            <w:r>
              <w:rPr>
                <w:rFonts w:ascii="仿宋" w:hAnsi="仿宋" w:eastAsia="仿宋" w:cs="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580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Style w:val="14"/>
                <w:rFonts w:ascii="仿宋" w:hAnsi="仿宋" w:eastAsia="仿宋" w:cs="仿宋"/>
                <w:sz w:val="24"/>
              </w:rPr>
            </w:pPr>
            <w:r>
              <w:rPr>
                <w:rStyle w:val="14"/>
                <w:rFonts w:hint="eastAsia" w:ascii="仿宋" w:hAnsi="仿宋" w:eastAsia="仿宋" w:cs="仿宋"/>
                <w:sz w:val="24"/>
              </w:rPr>
              <w:t>季添益1903期C款</w:t>
            </w:r>
          </w:p>
        </w:tc>
        <w:tc>
          <w:tcPr>
            <w:tcW w:w="33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
                <w:sz w:val="24"/>
              </w:rPr>
            </w:pPr>
            <w:r>
              <w:rPr>
                <w:rFonts w:hint="eastAsia" w:ascii="仿宋" w:hAnsi="仿宋" w:eastAsia="仿宋" w:cs="仿宋"/>
                <w:sz w:val="24"/>
              </w:rPr>
              <w:t>3.88</w:t>
            </w:r>
            <w:r>
              <w:rPr>
                <w:rFonts w:ascii="仿宋" w:hAnsi="仿宋" w:eastAsia="仿宋" w:cs="仿宋"/>
                <w:sz w:val="24"/>
              </w:rPr>
              <w:t>%</w:t>
            </w:r>
          </w:p>
        </w:tc>
      </w:tr>
    </w:tbl>
    <w:p>
      <w:pPr>
        <w:adjustRightInd w:val="0"/>
        <w:snapToGrid w:val="0"/>
        <w:rPr>
          <w:rFonts w:ascii="仿宋" w:hAnsi="仿宋" w:eastAsia="仿宋" w:cs="仿宋"/>
          <w:color w:val="404040"/>
          <w:kern w:val="0"/>
          <w:sz w:val="24"/>
        </w:rPr>
      </w:pPr>
    </w:p>
    <w:p>
      <w:pPr>
        <w:adjustRightInd w:val="0"/>
        <w:snapToGrid w:val="0"/>
        <w:rPr>
          <w:rFonts w:hint="eastAsia" w:ascii="仿宋" w:hAnsi="仿宋" w:eastAsia="仿宋" w:cs="仿宋"/>
          <w:color w:val="404040"/>
          <w:kern w:val="0"/>
          <w:sz w:val="24"/>
        </w:rPr>
      </w:pPr>
    </w:p>
    <w:p>
      <w:pPr>
        <w:pStyle w:val="2"/>
        <w:adjustRightInd w:val="0"/>
        <w:snapToGrid w:val="0"/>
        <w:spacing w:line="560" w:lineRule="exact"/>
        <w:jc w:val="center"/>
        <w:rPr>
          <w:rFonts w:ascii="仿宋" w:hAnsi="仿宋" w:eastAsia="仿宋" w:cs="仿宋"/>
          <w:sz w:val="24"/>
        </w:rPr>
      </w:pPr>
      <w:r>
        <w:rPr>
          <w:rFonts w:hint="eastAsia" w:ascii="仿宋" w:hAnsi="仿宋" w:eastAsia="仿宋" w:cs="仿宋"/>
          <w:sz w:val="24"/>
        </w:rPr>
        <w:t>§4  投资组合报告</w:t>
      </w:r>
    </w:p>
    <w:p>
      <w:pPr>
        <w:adjustRightInd w:val="0"/>
        <w:snapToGrid w:val="0"/>
        <w:spacing w:line="440" w:lineRule="exact"/>
        <w:outlineLvl w:val="2"/>
        <w:rPr>
          <w:rFonts w:ascii="仿宋" w:hAnsi="仿宋" w:eastAsia="仿宋" w:cs="仿宋"/>
          <w:b/>
          <w:sz w:val="24"/>
        </w:rPr>
      </w:pPr>
      <w:r>
        <w:rPr>
          <w:rFonts w:hint="eastAsia" w:ascii="仿宋" w:hAnsi="仿宋" w:eastAsia="仿宋" w:cs="仿宋"/>
          <w:b/>
          <w:sz w:val="24"/>
        </w:rPr>
        <w:t>4.1 报告期内产品投资策略回顾</w:t>
      </w:r>
    </w:p>
    <w:p>
      <w:pPr>
        <w:adjustRightInd w:val="0"/>
        <w:snapToGrid w:val="0"/>
        <w:spacing w:line="420" w:lineRule="exact"/>
        <w:ind w:firstLine="480" w:firstLineChars="200"/>
        <w:rPr>
          <w:rFonts w:ascii="仿宋" w:hAnsi="仿宋" w:eastAsia="仿宋" w:cs="仿宋"/>
          <w:sz w:val="24"/>
        </w:rPr>
      </w:pPr>
      <w:r>
        <w:rPr>
          <w:rFonts w:hint="eastAsia" w:ascii="仿宋" w:hAnsi="仿宋" w:eastAsia="仿宋" w:cs="仿宋"/>
          <w:sz w:val="24"/>
        </w:rPr>
        <w:t>2023年1季度以来，利率债收益率震荡，信用债收益率整体下行，债市经历了对经济复苏的强预期到弱预期的修复。春节前，受疫情防控政策和房地产政策调整影响，市场对经济复苏预期强烈，春节后，信贷开门红，但市场对实体经济复苏存在较大分歧，理财赎回风波缓解后，银行理财对信用债配置带动信用债收益率大幅下行，3月后，两会设定的GDP增速目标低于市场预期，出口走弱，叠加3月底央行超预期降准，带动中短期债券收益率下行。从收益率来看，当前10年国债收益率2.87%，较年初小幅上行，当前3年期AA+城投债收益率3.23%，较年初下行40bp，当前3年期AAA二级资本债收益率3.28%，较年初下行8bp。本产品主要配置固收类资产，债券部分以信用债为主，受益于一季度信用债收益率大幅下行，通过杠杆策略和久期策略，产品净值收益表现较好。</w:t>
      </w:r>
    </w:p>
    <w:p>
      <w:pPr>
        <w:adjustRightInd w:val="0"/>
        <w:snapToGrid w:val="0"/>
        <w:spacing w:line="440" w:lineRule="exact"/>
        <w:outlineLvl w:val="2"/>
        <w:rPr>
          <w:rFonts w:ascii="仿宋" w:hAnsi="仿宋" w:eastAsia="仿宋" w:cs="仿宋"/>
          <w:b/>
          <w:sz w:val="24"/>
        </w:rPr>
      </w:pPr>
      <w:r>
        <w:rPr>
          <w:rFonts w:hint="eastAsia" w:ascii="仿宋" w:hAnsi="仿宋" w:eastAsia="仿宋" w:cs="仿宋"/>
          <w:b/>
          <w:sz w:val="24"/>
        </w:rPr>
        <w:t>4.2产品未来展望</w:t>
      </w:r>
    </w:p>
    <w:p>
      <w:pPr>
        <w:adjustRightInd w:val="0"/>
        <w:snapToGrid w:val="0"/>
        <w:spacing w:line="420" w:lineRule="exact"/>
        <w:ind w:firstLine="480" w:firstLineChars="200"/>
        <w:rPr>
          <w:rFonts w:hint="eastAsia" w:ascii="仿宋" w:hAnsi="仿宋" w:eastAsia="仿宋" w:cs="仿宋"/>
          <w:sz w:val="24"/>
        </w:rPr>
      </w:pPr>
      <w:r>
        <w:rPr>
          <w:rFonts w:hint="eastAsia" w:ascii="仿宋" w:hAnsi="仿宋" w:eastAsia="仿宋" w:cs="仿宋"/>
          <w:sz w:val="24"/>
        </w:rPr>
        <w:t>展望2023年2季度，基本面来看，社融数据出现季节性回升，贷款数据远超预期，高频数据看，地产下游销售数据也出现季节性回暖，但持续性依然有待观察。海外经济存在不确定性，欧美数据虽然在高位，但已出现逐步回落趋势；资金面来看，流动性合理充裕的基调仍将持续，在一季度降准后，短期内降准预期会减弱，但预期市场利率依然会围绕政策利率波动，波动幅度会在税期、季末等时点有所扩大。</w:t>
      </w:r>
    </w:p>
    <w:p>
      <w:pPr>
        <w:adjustRightInd w:val="0"/>
        <w:snapToGrid w:val="0"/>
        <w:spacing w:line="420" w:lineRule="exact"/>
        <w:ind w:firstLine="480" w:firstLineChars="200"/>
        <w:rPr>
          <w:rFonts w:ascii="仿宋" w:hAnsi="仿宋" w:eastAsia="仿宋" w:cs="仿宋"/>
          <w:sz w:val="24"/>
        </w:rPr>
      </w:pPr>
      <w:r>
        <w:rPr>
          <w:rFonts w:hint="eastAsia" w:ascii="仿宋" w:hAnsi="仿宋" w:eastAsia="仿宋" w:cs="仿宋"/>
          <w:sz w:val="24"/>
        </w:rPr>
        <w:t>本产品以主要投资于债券等固定收益类资产。信用债投资方面，在严格把控信用风险的前提下，挖掘个券的超额收益机会；利率债和同业存单投资方面，继续保持灵活适度操作，择机参与波段机会。</w:t>
      </w:r>
      <w:bookmarkStart w:id="2" w:name="_GoBack"/>
      <w:bookmarkEnd w:id="2"/>
    </w:p>
    <w:p>
      <w:pPr>
        <w:adjustRightInd w:val="0"/>
        <w:snapToGrid w:val="0"/>
        <w:spacing w:line="440" w:lineRule="exact"/>
        <w:outlineLvl w:val="2"/>
        <w:rPr>
          <w:rFonts w:ascii="仿宋" w:hAnsi="仿宋" w:eastAsia="仿宋" w:cs="仿宋"/>
          <w:b/>
          <w:sz w:val="24"/>
        </w:rPr>
      </w:pPr>
      <w:r>
        <w:rPr>
          <w:rFonts w:hint="eastAsia" w:ascii="仿宋" w:hAnsi="仿宋" w:eastAsia="仿宋" w:cs="仿宋"/>
          <w:b/>
          <w:sz w:val="24"/>
        </w:rPr>
        <w:t>4.3投资组合的流动性风险分析</w:t>
      </w:r>
    </w:p>
    <w:p>
      <w:pPr>
        <w:adjustRightInd w:val="0"/>
        <w:snapToGrid w:val="0"/>
        <w:spacing w:line="420" w:lineRule="exact"/>
        <w:ind w:firstLine="480" w:firstLineChars="200"/>
        <w:rPr>
          <w:rFonts w:ascii="仿宋" w:hAnsi="仿宋" w:eastAsia="仿宋" w:cs="仿宋"/>
          <w:sz w:val="24"/>
        </w:rPr>
      </w:pPr>
      <w:r>
        <w:rPr>
          <w:rFonts w:hint="eastAsia" w:ascii="仿宋" w:hAnsi="仿宋" w:eastAsia="仿宋" w:cs="仿宋"/>
          <w:sz w:val="24"/>
        </w:rPr>
        <w:t>流动性风险是指理财产品无法通过变现资产等途径以合理成本及时获得充足资金，用于满足该理财产品的投资者赎回需求、履行其他支付义务的风险。本产品主要直接或者间接投资于债券类资产，投资的债券资产流动性状况良好，正常情况下能够及时变现资产，筹集资金，满足本产品的投资者赎回需求或其他支付要求。报告期内，本产品组合资产的流动性与产品的申赎安排相匹配，未发生重大流动性风险事件。管理人将继续密切关注市场变化，做好产品端现金流的跟踪与研判，通过合理安排投资品种和期限结构、监控组合资金头寸等方式，确保产品的流动性风险得到有效管理。</w:t>
      </w:r>
    </w:p>
    <w:p>
      <w:pPr>
        <w:adjustRightInd w:val="0"/>
        <w:snapToGrid w:val="0"/>
        <w:spacing w:line="440" w:lineRule="exact"/>
        <w:outlineLvl w:val="2"/>
        <w:rPr>
          <w:rFonts w:ascii="仿宋" w:hAnsi="仿宋" w:eastAsia="仿宋" w:cs="仿宋"/>
          <w:b/>
          <w:sz w:val="24"/>
        </w:rPr>
      </w:pPr>
      <w:r>
        <w:rPr>
          <w:rFonts w:hint="eastAsia" w:ascii="仿宋" w:hAnsi="仿宋" w:eastAsia="仿宋" w:cs="仿宋"/>
          <w:b/>
          <w:sz w:val="24"/>
        </w:rPr>
        <w:t>4.4 报告期末穿透前投资组合分类</w:t>
      </w:r>
    </w:p>
    <w:tbl>
      <w:tblPr>
        <w:tblStyle w:val="10"/>
        <w:tblW w:w="9019" w:type="dxa"/>
        <w:tblInd w:w="-5" w:type="dxa"/>
        <w:tblLayout w:type="fixed"/>
        <w:tblCellMar>
          <w:top w:w="0" w:type="dxa"/>
          <w:left w:w="0" w:type="dxa"/>
          <w:bottom w:w="0" w:type="dxa"/>
          <w:right w:w="0" w:type="dxa"/>
        </w:tblCellMar>
      </w:tblPr>
      <w:tblGrid>
        <w:gridCol w:w="572"/>
        <w:gridCol w:w="5614"/>
        <w:gridCol w:w="2833"/>
      </w:tblGrid>
      <w:tr>
        <w:tblPrEx>
          <w:tblLayout w:type="fixed"/>
          <w:tblCellMar>
            <w:top w:w="0" w:type="dxa"/>
            <w:left w:w="0" w:type="dxa"/>
            <w:bottom w:w="0" w:type="dxa"/>
            <w:right w:w="0" w:type="dxa"/>
          </w:tblCellMar>
        </w:tblPrEx>
        <w:trPr>
          <w:trHeight w:val="415" w:hRule="atLeast"/>
        </w:trPr>
        <w:tc>
          <w:tcPr>
            <w:tcW w:w="572"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s="仿宋"/>
                <w:sz w:val="24"/>
              </w:rPr>
            </w:pPr>
            <w:r>
              <w:rPr>
                <w:rFonts w:hint="eastAsia" w:ascii="仿宋" w:hAnsi="仿宋" w:eastAsia="仿宋" w:cs="仿宋"/>
                <w:sz w:val="24"/>
              </w:rPr>
              <w:t>序号</w:t>
            </w:r>
          </w:p>
        </w:tc>
        <w:tc>
          <w:tcPr>
            <w:tcW w:w="5614" w:type="dxa"/>
            <w:tcBorders>
              <w:top w:val="single" w:color="auto" w:sz="4" w:space="0"/>
              <w:left w:val="nil"/>
              <w:bottom w:val="single" w:color="auto" w:sz="4" w:space="0"/>
              <w:right w:val="single" w:color="auto" w:sz="4" w:space="0"/>
            </w:tcBorders>
          </w:tcPr>
          <w:p>
            <w:pPr>
              <w:adjustRightInd w:val="0"/>
              <w:snapToGrid w:val="0"/>
              <w:jc w:val="center"/>
              <w:rPr>
                <w:rFonts w:ascii="仿宋" w:hAnsi="仿宋" w:eastAsia="仿宋" w:cs="仿宋"/>
                <w:sz w:val="24"/>
              </w:rPr>
            </w:pPr>
            <w:r>
              <w:rPr>
                <w:rFonts w:hint="eastAsia" w:ascii="仿宋" w:hAnsi="仿宋" w:eastAsia="仿宋" w:cs="仿宋"/>
                <w:sz w:val="24"/>
              </w:rPr>
              <w:t>项目</w:t>
            </w:r>
          </w:p>
        </w:tc>
        <w:tc>
          <w:tcPr>
            <w:tcW w:w="2833" w:type="dxa"/>
            <w:tcBorders>
              <w:top w:val="single" w:color="auto" w:sz="4" w:space="0"/>
              <w:left w:val="nil"/>
              <w:bottom w:val="single" w:color="auto" w:sz="4" w:space="0"/>
              <w:right w:val="single" w:color="auto" w:sz="4" w:space="0"/>
            </w:tcBorders>
          </w:tcPr>
          <w:p>
            <w:pPr>
              <w:adjustRightInd w:val="0"/>
              <w:snapToGrid w:val="0"/>
              <w:jc w:val="center"/>
              <w:rPr>
                <w:rFonts w:ascii="仿宋" w:hAnsi="仿宋" w:eastAsia="仿宋" w:cs="仿宋"/>
                <w:sz w:val="24"/>
              </w:rPr>
            </w:pPr>
            <w:r>
              <w:rPr>
                <w:rFonts w:hint="eastAsia" w:ascii="仿宋" w:hAnsi="仿宋" w:eastAsia="仿宋" w:cs="仿宋"/>
                <w:sz w:val="24"/>
              </w:rPr>
              <w:t>期末占总资产比例（％）</w:t>
            </w:r>
          </w:p>
        </w:tc>
      </w:tr>
      <w:tr>
        <w:tblPrEx>
          <w:tblLayout w:type="fixed"/>
          <w:tblCellMar>
            <w:top w:w="0" w:type="dxa"/>
            <w:left w:w="0" w:type="dxa"/>
            <w:bottom w:w="0" w:type="dxa"/>
            <w:right w:w="0" w:type="dxa"/>
          </w:tblCellMar>
        </w:tblPrEx>
        <w:trPr>
          <w:trHeight w:val="20" w:hRule="atLeast"/>
        </w:trPr>
        <w:tc>
          <w:tcPr>
            <w:tcW w:w="572"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s="仿宋"/>
                <w:sz w:val="24"/>
              </w:rPr>
            </w:pPr>
            <w:r>
              <w:rPr>
                <w:rFonts w:hint="eastAsia" w:ascii="仿宋" w:hAnsi="仿宋" w:eastAsia="仿宋" w:cs="仿宋"/>
                <w:sz w:val="24"/>
              </w:rPr>
              <w:t>1</w:t>
            </w:r>
          </w:p>
        </w:tc>
        <w:tc>
          <w:tcPr>
            <w:tcW w:w="561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现金及银行存款</w:t>
            </w:r>
          </w:p>
        </w:tc>
        <w:tc>
          <w:tcPr>
            <w:tcW w:w="2833"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0.31%</w:t>
            </w:r>
          </w:p>
        </w:tc>
      </w:tr>
      <w:tr>
        <w:tblPrEx>
          <w:tblLayout w:type="fixed"/>
          <w:tblCellMar>
            <w:top w:w="0" w:type="dxa"/>
            <w:left w:w="0" w:type="dxa"/>
            <w:bottom w:w="0" w:type="dxa"/>
            <w:right w:w="0" w:type="dxa"/>
          </w:tblCellMar>
        </w:tblPrEx>
        <w:trPr>
          <w:trHeight w:val="20" w:hRule="atLeast"/>
        </w:trPr>
        <w:tc>
          <w:tcPr>
            <w:tcW w:w="572"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s="仿宋"/>
                <w:sz w:val="24"/>
              </w:rPr>
            </w:pPr>
            <w:r>
              <w:rPr>
                <w:rFonts w:hint="eastAsia" w:ascii="仿宋" w:hAnsi="仿宋" w:eastAsia="仿宋" w:cs="仿宋"/>
                <w:sz w:val="24"/>
              </w:rPr>
              <w:t>2</w:t>
            </w:r>
          </w:p>
        </w:tc>
        <w:tc>
          <w:tcPr>
            <w:tcW w:w="561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同业存单</w:t>
            </w:r>
          </w:p>
        </w:tc>
        <w:tc>
          <w:tcPr>
            <w:tcW w:w="2833"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0.00%</w:t>
            </w:r>
          </w:p>
        </w:tc>
      </w:tr>
      <w:tr>
        <w:tblPrEx>
          <w:tblLayout w:type="fixed"/>
          <w:tblCellMar>
            <w:top w:w="0" w:type="dxa"/>
            <w:left w:w="0" w:type="dxa"/>
            <w:bottom w:w="0" w:type="dxa"/>
            <w:right w:w="0" w:type="dxa"/>
          </w:tblCellMar>
        </w:tblPrEx>
        <w:trPr>
          <w:trHeight w:val="20" w:hRule="atLeast"/>
        </w:trPr>
        <w:tc>
          <w:tcPr>
            <w:tcW w:w="572"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s="仿宋"/>
                <w:sz w:val="24"/>
              </w:rPr>
            </w:pPr>
            <w:r>
              <w:rPr>
                <w:rFonts w:hint="eastAsia" w:ascii="仿宋" w:hAnsi="仿宋" w:eastAsia="仿宋" w:cs="仿宋"/>
                <w:sz w:val="24"/>
              </w:rPr>
              <w:t>3</w:t>
            </w:r>
          </w:p>
        </w:tc>
        <w:tc>
          <w:tcPr>
            <w:tcW w:w="561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拆放同业及债券买入返售</w:t>
            </w:r>
          </w:p>
        </w:tc>
        <w:tc>
          <w:tcPr>
            <w:tcW w:w="2833"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0.08%</w:t>
            </w:r>
          </w:p>
        </w:tc>
      </w:tr>
      <w:tr>
        <w:tblPrEx>
          <w:tblLayout w:type="fixed"/>
          <w:tblCellMar>
            <w:top w:w="0" w:type="dxa"/>
            <w:left w:w="0" w:type="dxa"/>
            <w:bottom w:w="0" w:type="dxa"/>
            <w:right w:w="0" w:type="dxa"/>
          </w:tblCellMar>
        </w:tblPrEx>
        <w:trPr>
          <w:trHeight w:val="20" w:hRule="atLeast"/>
        </w:trPr>
        <w:tc>
          <w:tcPr>
            <w:tcW w:w="572"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s="仿宋"/>
                <w:sz w:val="24"/>
              </w:rPr>
            </w:pPr>
            <w:r>
              <w:rPr>
                <w:rFonts w:hint="eastAsia" w:ascii="仿宋" w:hAnsi="仿宋" w:eastAsia="仿宋" w:cs="仿宋"/>
                <w:sz w:val="24"/>
              </w:rPr>
              <w:t>4</w:t>
            </w:r>
          </w:p>
        </w:tc>
        <w:tc>
          <w:tcPr>
            <w:tcW w:w="561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债券</w:t>
            </w:r>
          </w:p>
        </w:tc>
        <w:tc>
          <w:tcPr>
            <w:tcW w:w="2833"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71.00%</w:t>
            </w:r>
          </w:p>
        </w:tc>
      </w:tr>
      <w:tr>
        <w:tblPrEx>
          <w:tblLayout w:type="fixed"/>
          <w:tblCellMar>
            <w:top w:w="0" w:type="dxa"/>
            <w:left w:w="0" w:type="dxa"/>
            <w:bottom w:w="0" w:type="dxa"/>
            <w:right w:w="0" w:type="dxa"/>
          </w:tblCellMar>
        </w:tblPrEx>
        <w:trPr>
          <w:trHeight w:val="20" w:hRule="atLeast"/>
        </w:trPr>
        <w:tc>
          <w:tcPr>
            <w:tcW w:w="572"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s="仿宋"/>
                <w:sz w:val="24"/>
              </w:rPr>
            </w:pPr>
            <w:r>
              <w:rPr>
                <w:rFonts w:hint="eastAsia" w:ascii="仿宋" w:hAnsi="仿宋" w:eastAsia="仿宋" w:cs="仿宋"/>
                <w:sz w:val="24"/>
              </w:rPr>
              <w:t>5</w:t>
            </w:r>
          </w:p>
        </w:tc>
        <w:tc>
          <w:tcPr>
            <w:tcW w:w="561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非标准化债权类资产</w:t>
            </w:r>
          </w:p>
        </w:tc>
        <w:tc>
          <w:tcPr>
            <w:tcW w:w="2833"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14.64%</w:t>
            </w:r>
          </w:p>
        </w:tc>
      </w:tr>
      <w:tr>
        <w:tblPrEx>
          <w:tblLayout w:type="fixed"/>
          <w:tblCellMar>
            <w:top w:w="0" w:type="dxa"/>
            <w:left w:w="0" w:type="dxa"/>
            <w:bottom w:w="0" w:type="dxa"/>
            <w:right w:w="0" w:type="dxa"/>
          </w:tblCellMar>
        </w:tblPrEx>
        <w:trPr>
          <w:trHeight w:val="20" w:hRule="atLeast"/>
        </w:trPr>
        <w:tc>
          <w:tcPr>
            <w:tcW w:w="572"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s="仿宋"/>
                <w:sz w:val="24"/>
              </w:rPr>
            </w:pPr>
            <w:r>
              <w:rPr>
                <w:rFonts w:hint="eastAsia" w:ascii="仿宋" w:hAnsi="仿宋" w:eastAsia="仿宋" w:cs="仿宋"/>
                <w:sz w:val="24"/>
              </w:rPr>
              <w:t>6</w:t>
            </w:r>
          </w:p>
        </w:tc>
        <w:tc>
          <w:tcPr>
            <w:tcW w:w="561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权益类投资</w:t>
            </w:r>
          </w:p>
        </w:tc>
        <w:tc>
          <w:tcPr>
            <w:tcW w:w="2833"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0.29%</w:t>
            </w:r>
          </w:p>
        </w:tc>
      </w:tr>
      <w:tr>
        <w:tblPrEx>
          <w:tblLayout w:type="fixed"/>
          <w:tblCellMar>
            <w:top w:w="0" w:type="dxa"/>
            <w:left w:w="0" w:type="dxa"/>
            <w:bottom w:w="0" w:type="dxa"/>
            <w:right w:w="0" w:type="dxa"/>
          </w:tblCellMar>
        </w:tblPrEx>
        <w:trPr>
          <w:trHeight w:val="20" w:hRule="atLeast"/>
        </w:trPr>
        <w:tc>
          <w:tcPr>
            <w:tcW w:w="572"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s="仿宋"/>
                <w:sz w:val="24"/>
              </w:rPr>
            </w:pPr>
            <w:r>
              <w:rPr>
                <w:rFonts w:hint="eastAsia" w:ascii="仿宋" w:hAnsi="仿宋" w:eastAsia="仿宋" w:cs="仿宋"/>
                <w:sz w:val="24"/>
              </w:rPr>
              <w:t>7</w:t>
            </w:r>
          </w:p>
        </w:tc>
        <w:tc>
          <w:tcPr>
            <w:tcW w:w="561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金融衍生品</w:t>
            </w:r>
          </w:p>
        </w:tc>
        <w:tc>
          <w:tcPr>
            <w:tcW w:w="2833"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0.00%</w:t>
            </w:r>
          </w:p>
        </w:tc>
      </w:tr>
      <w:tr>
        <w:tblPrEx>
          <w:tblLayout w:type="fixed"/>
          <w:tblCellMar>
            <w:top w:w="0" w:type="dxa"/>
            <w:left w:w="0" w:type="dxa"/>
            <w:bottom w:w="0" w:type="dxa"/>
            <w:right w:w="0" w:type="dxa"/>
          </w:tblCellMar>
        </w:tblPrEx>
        <w:trPr>
          <w:trHeight w:val="20" w:hRule="atLeast"/>
        </w:trPr>
        <w:tc>
          <w:tcPr>
            <w:tcW w:w="572"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s="仿宋"/>
                <w:sz w:val="24"/>
              </w:rPr>
            </w:pPr>
            <w:r>
              <w:rPr>
                <w:rFonts w:hint="eastAsia" w:ascii="仿宋" w:hAnsi="仿宋" w:eastAsia="仿宋" w:cs="仿宋"/>
                <w:sz w:val="24"/>
              </w:rPr>
              <w:t>8</w:t>
            </w:r>
          </w:p>
        </w:tc>
        <w:tc>
          <w:tcPr>
            <w:tcW w:w="561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代客境外理财投资QDII</w:t>
            </w:r>
          </w:p>
        </w:tc>
        <w:tc>
          <w:tcPr>
            <w:tcW w:w="2833"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0.00%</w:t>
            </w:r>
          </w:p>
        </w:tc>
      </w:tr>
      <w:tr>
        <w:tblPrEx>
          <w:tblLayout w:type="fixed"/>
          <w:tblCellMar>
            <w:top w:w="0" w:type="dxa"/>
            <w:left w:w="0" w:type="dxa"/>
            <w:bottom w:w="0" w:type="dxa"/>
            <w:right w:w="0" w:type="dxa"/>
          </w:tblCellMar>
        </w:tblPrEx>
        <w:trPr>
          <w:trHeight w:val="20" w:hRule="atLeast"/>
        </w:trPr>
        <w:tc>
          <w:tcPr>
            <w:tcW w:w="572"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s="仿宋"/>
                <w:sz w:val="24"/>
              </w:rPr>
            </w:pPr>
            <w:r>
              <w:rPr>
                <w:rFonts w:hint="eastAsia" w:ascii="仿宋" w:hAnsi="仿宋" w:eastAsia="仿宋" w:cs="仿宋"/>
                <w:sz w:val="24"/>
              </w:rPr>
              <w:t>9</w:t>
            </w:r>
          </w:p>
        </w:tc>
        <w:tc>
          <w:tcPr>
            <w:tcW w:w="561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商品类资产</w:t>
            </w:r>
          </w:p>
        </w:tc>
        <w:tc>
          <w:tcPr>
            <w:tcW w:w="2833"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0.00%</w:t>
            </w:r>
          </w:p>
        </w:tc>
      </w:tr>
      <w:tr>
        <w:tblPrEx>
          <w:tblLayout w:type="fixed"/>
          <w:tblCellMar>
            <w:top w:w="0" w:type="dxa"/>
            <w:left w:w="0" w:type="dxa"/>
            <w:bottom w:w="0" w:type="dxa"/>
            <w:right w:w="0" w:type="dxa"/>
          </w:tblCellMar>
        </w:tblPrEx>
        <w:trPr>
          <w:trHeight w:val="20" w:hRule="atLeast"/>
        </w:trPr>
        <w:tc>
          <w:tcPr>
            <w:tcW w:w="572"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s="仿宋"/>
                <w:sz w:val="24"/>
              </w:rPr>
            </w:pPr>
            <w:r>
              <w:rPr>
                <w:rFonts w:hint="eastAsia" w:ascii="仿宋" w:hAnsi="仿宋" w:eastAsia="仿宋" w:cs="仿宋"/>
                <w:sz w:val="24"/>
              </w:rPr>
              <w:t>10</w:t>
            </w:r>
          </w:p>
        </w:tc>
        <w:tc>
          <w:tcPr>
            <w:tcW w:w="561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另类资产</w:t>
            </w:r>
          </w:p>
        </w:tc>
        <w:tc>
          <w:tcPr>
            <w:tcW w:w="2833"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0.00%</w:t>
            </w:r>
          </w:p>
        </w:tc>
      </w:tr>
      <w:tr>
        <w:tblPrEx>
          <w:tblLayout w:type="fixed"/>
          <w:tblCellMar>
            <w:top w:w="0" w:type="dxa"/>
            <w:left w:w="0" w:type="dxa"/>
            <w:bottom w:w="0" w:type="dxa"/>
            <w:right w:w="0" w:type="dxa"/>
          </w:tblCellMar>
        </w:tblPrEx>
        <w:trPr>
          <w:trHeight w:val="20" w:hRule="atLeast"/>
        </w:trPr>
        <w:tc>
          <w:tcPr>
            <w:tcW w:w="572"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s="仿宋"/>
                <w:sz w:val="24"/>
              </w:rPr>
            </w:pPr>
            <w:r>
              <w:rPr>
                <w:rFonts w:hint="eastAsia" w:ascii="仿宋" w:hAnsi="仿宋" w:eastAsia="仿宋" w:cs="仿宋"/>
                <w:sz w:val="24"/>
              </w:rPr>
              <w:t>11</w:t>
            </w:r>
          </w:p>
        </w:tc>
        <w:tc>
          <w:tcPr>
            <w:tcW w:w="561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公募基金</w:t>
            </w:r>
          </w:p>
        </w:tc>
        <w:tc>
          <w:tcPr>
            <w:tcW w:w="2833"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0.00%</w:t>
            </w:r>
          </w:p>
        </w:tc>
      </w:tr>
      <w:tr>
        <w:tblPrEx>
          <w:tblLayout w:type="fixed"/>
          <w:tblCellMar>
            <w:top w:w="0" w:type="dxa"/>
            <w:left w:w="0" w:type="dxa"/>
            <w:bottom w:w="0" w:type="dxa"/>
            <w:right w:w="0" w:type="dxa"/>
          </w:tblCellMar>
        </w:tblPrEx>
        <w:trPr>
          <w:trHeight w:val="20" w:hRule="atLeast"/>
        </w:trPr>
        <w:tc>
          <w:tcPr>
            <w:tcW w:w="572"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s="仿宋"/>
                <w:sz w:val="24"/>
              </w:rPr>
            </w:pPr>
            <w:r>
              <w:rPr>
                <w:rFonts w:hint="eastAsia" w:ascii="仿宋" w:hAnsi="仿宋" w:eastAsia="仿宋" w:cs="仿宋"/>
                <w:sz w:val="24"/>
              </w:rPr>
              <w:t>12</w:t>
            </w:r>
          </w:p>
        </w:tc>
        <w:tc>
          <w:tcPr>
            <w:tcW w:w="561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私募基金</w:t>
            </w:r>
          </w:p>
        </w:tc>
        <w:tc>
          <w:tcPr>
            <w:tcW w:w="2833"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0.00%</w:t>
            </w:r>
          </w:p>
        </w:tc>
      </w:tr>
      <w:tr>
        <w:tblPrEx>
          <w:tblLayout w:type="fixed"/>
          <w:tblCellMar>
            <w:top w:w="0" w:type="dxa"/>
            <w:left w:w="0" w:type="dxa"/>
            <w:bottom w:w="0" w:type="dxa"/>
            <w:right w:w="0" w:type="dxa"/>
          </w:tblCellMar>
        </w:tblPrEx>
        <w:trPr>
          <w:trHeight w:val="20" w:hRule="atLeast"/>
        </w:trPr>
        <w:tc>
          <w:tcPr>
            <w:tcW w:w="572"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s="仿宋"/>
                <w:sz w:val="24"/>
              </w:rPr>
            </w:pPr>
            <w:r>
              <w:rPr>
                <w:rFonts w:hint="eastAsia" w:ascii="仿宋" w:hAnsi="仿宋" w:eastAsia="仿宋" w:cs="仿宋"/>
                <w:sz w:val="24"/>
              </w:rPr>
              <w:t>13</w:t>
            </w:r>
          </w:p>
        </w:tc>
        <w:tc>
          <w:tcPr>
            <w:tcW w:w="561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资产管理产品</w:t>
            </w:r>
          </w:p>
        </w:tc>
        <w:tc>
          <w:tcPr>
            <w:tcW w:w="2833"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13.68%</w:t>
            </w:r>
          </w:p>
        </w:tc>
      </w:tr>
      <w:tr>
        <w:tblPrEx>
          <w:tblLayout w:type="fixed"/>
          <w:tblCellMar>
            <w:top w:w="0" w:type="dxa"/>
            <w:left w:w="0" w:type="dxa"/>
            <w:bottom w:w="0" w:type="dxa"/>
            <w:right w:w="0" w:type="dxa"/>
          </w:tblCellMar>
        </w:tblPrEx>
        <w:trPr>
          <w:trHeight w:val="20" w:hRule="atLeast"/>
        </w:trPr>
        <w:tc>
          <w:tcPr>
            <w:tcW w:w="572"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s="仿宋"/>
                <w:sz w:val="24"/>
              </w:rPr>
            </w:pPr>
            <w:r>
              <w:rPr>
                <w:rFonts w:hint="eastAsia" w:ascii="仿宋" w:hAnsi="仿宋" w:eastAsia="仿宋" w:cs="仿宋"/>
                <w:sz w:val="24"/>
              </w:rPr>
              <w:t>14</w:t>
            </w:r>
          </w:p>
        </w:tc>
        <w:tc>
          <w:tcPr>
            <w:tcW w:w="561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委外投资——协议方式</w:t>
            </w:r>
          </w:p>
        </w:tc>
        <w:tc>
          <w:tcPr>
            <w:tcW w:w="2833"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0.00%</w:t>
            </w:r>
          </w:p>
        </w:tc>
      </w:tr>
      <w:tr>
        <w:tblPrEx>
          <w:tblLayout w:type="fixed"/>
          <w:tblCellMar>
            <w:top w:w="0" w:type="dxa"/>
            <w:left w:w="0" w:type="dxa"/>
            <w:bottom w:w="0" w:type="dxa"/>
            <w:right w:w="0" w:type="dxa"/>
          </w:tblCellMar>
        </w:tblPrEx>
        <w:trPr>
          <w:trHeight w:val="20" w:hRule="atLeast"/>
        </w:trPr>
        <w:tc>
          <w:tcPr>
            <w:tcW w:w="572"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s="仿宋"/>
                <w:sz w:val="24"/>
              </w:rPr>
            </w:pPr>
            <w:r>
              <w:rPr>
                <w:rFonts w:hint="eastAsia" w:ascii="仿宋" w:hAnsi="仿宋" w:eastAsia="仿宋" w:cs="仿宋"/>
                <w:sz w:val="24"/>
              </w:rPr>
              <w:t>15</w:t>
            </w:r>
          </w:p>
        </w:tc>
        <w:tc>
          <w:tcPr>
            <w:tcW w:w="561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合计</w:t>
            </w:r>
          </w:p>
        </w:tc>
        <w:tc>
          <w:tcPr>
            <w:tcW w:w="2833"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100.00%</w:t>
            </w:r>
          </w:p>
        </w:tc>
      </w:tr>
    </w:tbl>
    <w:p>
      <w:pPr>
        <w:adjustRightInd w:val="0"/>
        <w:snapToGrid w:val="0"/>
        <w:spacing w:line="440" w:lineRule="exact"/>
        <w:outlineLvl w:val="2"/>
        <w:rPr>
          <w:rFonts w:ascii="仿宋" w:hAnsi="仿宋" w:eastAsia="仿宋" w:cs="仿宋"/>
          <w:b/>
          <w:sz w:val="24"/>
        </w:rPr>
      </w:pPr>
      <w:r>
        <w:rPr>
          <w:rFonts w:hint="eastAsia" w:ascii="仿宋" w:hAnsi="仿宋" w:eastAsia="仿宋" w:cs="仿宋"/>
          <w:b/>
          <w:sz w:val="24"/>
        </w:rPr>
        <w:t>4.5 报告期末穿透后投资组合分类</w:t>
      </w:r>
    </w:p>
    <w:tbl>
      <w:tblPr>
        <w:tblStyle w:val="10"/>
        <w:tblW w:w="9019" w:type="dxa"/>
        <w:tblInd w:w="-5" w:type="dxa"/>
        <w:tblLayout w:type="fixed"/>
        <w:tblCellMar>
          <w:top w:w="0" w:type="dxa"/>
          <w:left w:w="0" w:type="dxa"/>
          <w:bottom w:w="0" w:type="dxa"/>
          <w:right w:w="0" w:type="dxa"/>
        </w:tblCellMar>
      </w:tblPr>
      <w:tblGrid>
        <w:gridCol w:w="572"/>
        <w:gridCol w:w="5647"/>
        <w:gridCol w:w="2800"/>
      </w:tblGrid>
      <w:tr>
        <w:tblPrEx>
          <w:tblLayout w:type="fixed"/>
          <w:tblCellMar>
            <w:top w:w="0" w:type="dxa"/>
            <w:left w:w="0" w:type="dxa"/>
            <w:bottom w:w="0" w:type="dxa"/>
            <w:right w:w="0" w:type="dxa"/>
          </w:tblCellMar>
        </w:tblPrEx>
        <w:trPr>
          <w:trHeight w:val="415" w:hRule="atLeast"/>
        </w:trPr>
        <w:tc>
          <w:tcPr>
            <w:tcW w:w="57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序号</w:t>
            </w:r>
          </w:p>
        </w:tc>
        <w:tc>
          <w:tcPr>
            <w:tcW w:w="5647"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highlight w:val="yellow"/>
              </w:rPr>
            </w:pPr>
            <w:r>
              <w:rPr>
                <w:rFonts w:hint="eastAsia" w:ascii="仿宋" w:hAnsi="仿宋" w:eastAsia="仿宋" w:cs="仿宋"/>
                <w:sz w:val="24"/>
              </w:rPr>
              <w:t>项目</w:t>
            </w:r>
          </w:p>
        </w:tc>
        <w:tc>
          <w:tcPr>
            <w:tcW w:w="2800"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期末占总资产比例（％）</w:t>
            </w:r>
          </w:p>
        </w:tc>
      </w:tr>
      <w:tr>
        <w:tblPrEx>
          <w:tblLayout w:type="fixed"/>
          <w:tblCellMar>
            <w:top w:w="0" w:type="dxa"/>
            <w:left w:w="0" w:type="dxa"/>
            <w:bottom w:w="0" w:type="dxa"/>
            <w:right w:w="0" w:type="dxa"/>
          </w:tblCellMar>
        </w:tblPrEx>
        <w:trPr>
          <w:trHeight w:val="20" w:hRule="atLeast"/>
        </w:trPr>
        <w:tc>
          <w:tcPr>
            <w:tcW w:w="572" w:type="dxa"/>
            <w:tcBorders>
              <w:top w:val="single" w:color="auto" w:sz="4" w:space="0"/>
              <w:left w:val="single" w:color="auto" w:sz="4" w:space="0"/>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1</w:t>
            </w:r>
          </w:p>
        </w:tc>
        <w:tc>
          <w:tcPr>
            <w:tcW w:w="5647" w:type="dxa"/>
            <w:tcBorders>
              <w:top w:val="single" w:color="auto" w:sz="4" w:space="0"/>
              <w:left w:val="nil"/>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现金及银行存款</w:t>
            </w:r>
          </w:p>
        </w:tc>
        <w:tc>
          <w:tcPr>
            <w:tcW w:w="2800" w:type="dxa"/>
            <w:tcBorders>
              <w:top w:val="single" w:color="auto" w:sz="4" w:space="0"/>
              <w:left w:val="nil"/>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0.46%</w:t>
            </w:r>
          </w:p>
        </w:tc>
      </w:tr>
      <w:tr>
        <w:tblPrEx>
          <w:tblLayout w:type="fixed"/>
          <w:tblCellMar>
            <w:top w:w="0" w:type="dxa"/>
            <w:left w:w="0" w:type="dxa"/>
            <w:bottom w:w="0" w:type="dxa"/>
            <w:right w:w="0" w:type="dxa"/>
          </w:tblCellMar>
        </w:tblPrEx>
        <w:trPr>
          <w:trHeight w:val="20" w:hRule="atLeast"/>
        </w:trPr>
        <w:tc>
          <w:tcPr>
            <w:tcW w:w="572" w:type="dxa"/>
            <w:tcBorders>
              <w:top w:val="single" w:color="auto" w:sz="4" w:space="0"/>
              <w:left w:val="single" w:color="auto" w:sz="4" w:space="0"/>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2</w:t>
            </w:r>
          </w:p>
        </w:tc>
        <w:tc>
          <w:tcPr>
            <w:tcW w:w="5647" w:type="dxa"/>
            <w:tcBorders>
              <w:top w:val="single" w:color="auto" w:sz="4" w:space="0"/>
              <w:left w:val="nil"/>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同业存单</w:t>
            </w:r>
          </w:p>
        </w:tc>
        <w:tc>
          <w:tcPr>
            <w:tcW w:w="2800" w:type="dxa"/>
            <w:tcBorders>
              <w:top w:val="single" w:color="auto" w:sz="4" w:space="0"/>
              <w:left w:val="nil"/>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0.00%</w:t>
            </w:r>
          </w:p>
        </w:tc>
      </w:tr>
      <w:tr>
        <w:tblPrEx>
          <w:tblLayout w:type="fixed"/>
          <w:tblCellMar>
            <w:top w:w="0" w:type="dxa"/>
            <w:left w:w="0" w:type="dxa"/>
            <w:bottom w:w="0" w:type="dxa"/>
            <w:right w:w="0" w:type="dxa"/>
          </w:tblCellMar>
        </w:tblPrEx>
        <w:trPr>
          <w:trHeight w:val="20" w:hRule="atLeast"/>
        </w:trPr>
        <w:tc>
          <w:tcPr>
            <w:tcW w:w="572" w:type="dxa"/>
            <w:tcBorders>
              <w:top w:val="single" w:color="auto" w:sz="4" w:space="0"/>
              <w:left w:val="single" w:color="auto" w:sz="4" w:space="0"/>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3</w:t>
            </w:r>
          </w:p>
        </w:tc>
        <w:tc>
          <w:tcPr>
            <w:tcW w:w="5647" w:type="dxa"/>
            <w:tcBorders>
              <w:top w:val="single" w:color="auto" w:sz="4" w:space="0"/>
              <w:left w:val="nil"/>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拆放同业及债券买入返售</w:t>
            </w:r>
          </w:p>
        </w:tc>
        <w:tc>
          <w:tcPr>
            <w:tcW w:w="2800" w:type="dxa"/>
            <w:tcBorders>
              <w:top w:val="single" w:color="auto" w:sz="4" w:space="0"/>
              <w:left w:val="nil"/>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0.43%</w:t>
            </w:r>
          </w:p>
        </w:tc>
      </w:tr>
      <w:tr>
        <w:tblPrEx>
          <w:tblLayout w:type="fixed"/>
          <w:tblCellMar>
            <w:top w:w="0" w:type="dxa"/>
            <w:left w:w="0" w:type="dxa"/>
            <w:bottom w:w="0" w:type="dxa"/>
            <w:right w:w="0" w:type="dxa"/>
          </w:tblCellMar>
        </w:tblPrEx>
        <w:trPr>
          <w:trHeight w:val="20" w:hRule="atLeast"/>
        </w:trPr>
        <w:tc>
          <w:tcPr>
            <w:tcW w:w="572" w:type="dxa"/>
            <w:tcBorders>
              <w:top w:val="single" w:color="auto" w:sz="4" w:space="0"/>
              <w:left w:val="single" w:color="auto" w:sz="4" w:space="0"/>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4</w:t>
            </w:r>
          </w:p>
        </w:tc>
        <w:tc>
          <w:tcPr>
            <w:tcW w:w="5647" w:type="dxa"/>
            <w:tcBorders>
              <w:top w:val="single" w:color="auto" w:sz="4" w:space="0"/>
              <w:left w:val="nil"/>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债券</w:t>
            </w:r>
          </w:p>
        </w:tc>
        <w:tc>
          <w:tcPr>
            <w:tcW w:w="2800" w:type="dxa"/>
            <w:tcBorders>
              <w:top w:val="single" w:color="auto" w:sz="4" w:space="0"/>
              <w:left w:val="nil"/>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84.19%</w:t>
            </w:r>
          </w:p>
        </w:tc>
      </w:tr>
      <w:tr>
        <w:tblPrEx>
          <w:tblLayout w:type="fixed"/>
          <w:tblCellMar>
            <w:top w:w="0" w:type="dxa"/>
            <w:left w:w="0" w:type="dxa"/>
            <w:bottom w:w="0" w:type="dxa"/>
            <w:right w:w="0" w:type="dxa"/>
          </w:tblCellMar>
        </w:tblPrEx>
        <w:trPr>
          <w:trHeight w:val="20" w:hRule="atLeast"/>
        </w:trPr>
        <w:tc>
          <w:tcPr>
            <w:tcW w:w="572" w:type="dxa"/>
            <w:tcBorders>
              <w:top w:val="single" w:color="auto" w:sz="4" w:space="0"/>
              <w:left w:val="single" w:color="auto" w:sz="4" w:space="0"/>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5</w:t>
            </w:r>
          </w:p>
        </w:tc>
        <w:tc>
          <w:tcPr>
            <w:tcW w:w="5647" w:type="dxa"/>
            <w:tcBorders>
              <w:top w:val="single" w:color="auto" w:sz="4" w:space="0"/>
              <w:left w:val="nil"/>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非标准化债权类资产</w:t>
            </w:r>
          </w:p>
        </w:tc>
        <w:tc>
          <w:tcPr>
            <w:tcW w:w="2800" w:type="dxa"/>
            <w:tcBorders>
              <w:top w:val="single" w:color="auto" w:sz="4" w:space="0"/>
              <w:left w:val="nil"/>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14.64%</w:t>
            </w:r>
          </w:p>
        </w:tc>
      </w:tr>
      <w:tr>
        <w:tblPrEx>
          <w:tblLayout w:type="fixed"/>
          <w:tblCellMar>
            <w:top w:w="0" w:type="dxa"/>
            <w:left w:w="0" w:type="dxa"/>
            <w:bottom w:w="0" w:type="dxa"/>
            <w:right w:w="0" w:type="dxa"/>
          </w:tblCellMar>
        </w:tblPrEx>
        <w:trPr>
          <w:trHeight w:val="20" w:hRule="atLeast"/>
        </w:trPr>
        <w:tc>
          <w:tcPr>
            <w:tcW w:w="572" w:type="dxa"/>
            <w:tcBorders>
              <w:top w:val="single" w:color="auto" w:sz="4" w:space="0"/>
              <w:left w:val="single" w:color="auto" w:sz="4" w:space="0"/>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6</w:t>
            </w:r>
          </w:p>
        </w:tc>
        <w:tc>
          <w:tcPr>
            <w:tcW w:w="5647" w:type="dxa"/>
            <w:tcBorders>
              <w:top w:val="single" w:color="auto" w:sz="4" w:space="0"/>
              <w:left w:val="nil"/>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权益类投资</w:t>
            </w:r>
          </w:p>
        </w:tc>
        <w:tc>
          <w:tcPr>
            <w:tcW w:w="2800" w:type="dxa"/>
            <w:tcBorders>
              <w:top w:val="single" w:color="auto" w:sz="4" w:space="0"/>
              <w:left w:val="nil"/>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0.29%</w:t>
            </w:r>
          </w:p>
        </w:tc>
      </w:tr>
      <w:tr>
        <w:tblPrEx>
          <w:tblLayout w:type="fixed"/>
          <w:tblCellMar>
            <w:top w:w="0" w:type="dxa"/>
            <w:left w:w="0" w:type="dxa"/>
            <w:bottom w:w="0" w:type="dxa"/>
            <w:right w:w="0" w:type="dxa"/>
          </w:tblCellMar>
        </w:tblPrEx>
        <w:trPr>
          <w:trHeight w:val="20" w:hRule="atLeast"/>
        </w:trPr>
        <w:tc>
          <w:tcPr>
            <w:tcW w:w="572" w:type="dxa"/>
            <w:tcBorders>
              <w:top w:val="single" w:color="auto" w:sz="4" w:space="0"/>
              <w:left w:val="single" w:color="auto" w:sz="4" w:space="0"/>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7</w:t>
            </w:r>
          </w:p>
        </w:tc>
        <w:tc>
          <w:tcPr>
            <w:tcW w:w="5647" w:type="dxa"/>
            <w:tcBorders>
              <w:top w:val="single" w:color="auto" w:sz="4" w:space="0"/>
              <w:left w:val="nil"/>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金融衍生品</w:t>
            </w:r>
          </w:p>
        </w:tc>
        <w:tc>
          <w:tcPr>
            <w:tcW w:w="2800" w:type="dxa"/>
            <w:tcBorders>
              <w:top w:val="single" w:color="auto" w:sz="4" w:space="0"/>
              <w:left w:val="nil"/>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0.00%</w:t>
            </w:r>
          </w:p>
        </w:tc>
      </w:tr>
      <w:tr>
        <w:tblPrEx>
          <w:tblLayout w:type="fixed"/>
          <w:tblCellMar>
            <w:top w:w="0" w:type="dxa"/>
            <w:left w:w="0" w:type="dxa"/>
            <w:bottom w:w="0" w:type="dxa"/>
            <w:right w:w="0" w:type="dxa"/>
          </w:tblCellMar>
        </w:tblPrEx>
        <w:trPr>
          <w:trHeight w:val="20" w:hRule="atLeast"/>
        </w:trPr>
        <w:tc>
          <w:tcPr>
            <w:tcW w:w="572" w:type="dxa"/>
            <w:tcBorders>
              <w:top w:val="single" w:color="auto" w:sz="4" w:space="0"/>
              <w:left w:val="single" w:color="auto" w:sz="4" w:space="0"/>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8</w:t>
            </w:r>
          </w:p>
        </w:tc>
        <w:tc>
          <w:tcPr>
            <w:tcW w:w="5647" w:type="dxa"/>
            <w:tcBorders>
              <w:top w:val="single" w:color="auto" w:sz="4" w:space="0"/>
              <w:left w:val="nil"/>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代客境外理财投资QDII</w:t>
            </w:r>
          </w:p>
        </w:tc>
        <w:tc>
          <w:tcPr>
            <w:tcW w:w="2800" w:type="dxa"/>
            <w:tcBorders>
              <w:top w:val="single" w:color="auto" w:sz="4" w:space="0"/>
              <w:left w:val="nil"/>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0.00%</w:t>
            </w:r>
          </w:p>
        </w:tc>
      </w:tr>
      <w:tr>
        <w:tblPrEx>
          <w:tblLayout w:type="fixed"/>
          <w:tblCellMar>
            <w:top w:w="0" w:type="dxa"/>
            <w:left w:w="0" w:type="dxa"/>
            <w:bottom w:w="0" w:type="dxa"/>
            <w:right w:w="0" w:type="dxa"/>
          </w:tblCellMar>
        </w:tblPrEx>
        <w:trPr>
          <w:trHeight w:val="20" w:hRule="atLeast"/>
        </w:trPr>
        <w:tc>
          <w:tcPr>
            <w:tcW w:w="572" w:type="dxa"/>
            <w:tcBorders>
              <w:top w:val="single" w:color="auto" w:sz="4" w:space="0"/>
              <w:left w:val="single" w:color="auto" w:sz="4" w:space="0"/>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9</w:t>
            </w:r>
          </w:p>
        </w:tc>
        <w:tc>
          <w:tcPr>
            <w:tcW w:w="5647" w:type="dxa"/>
            <w:tcBorders>
              <w:top w:val="single" w:color="auto" w:sz="4" w:space="0"/>
              <w:left w:val="nil"/>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商品类资产</w:t>
            </w:r>
          </w:p>
        </w:tc>
        <w:tc>
          <w:tcPr>
            <w:tcW w:w="2800" w:type="dxa"/>
            <w:tcBorders>
              <w:top w:val="single" w:color="auto" w:sz="4" w:space="0"/>
              <w:left w:val="nil"/>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0.00%</w:t>
            </w:r>
          </w:p>
        </w:tc>
      </w:tr>
      <w:tr>
        <w:tblPrEx>
          <w:tblLayout w:type="fixed"/>
          <w:tblCellMar>
            <w:top w:w="0" w:type="dxa"/>
            <w:left w:w="0" w:type="dxa"/>
            <w:bottom w:w="0" w:type="dxa"/>
            <w:right w:w="0" w:type="dxa"/>
          </w:tblCellMar>
        </w:tblPrEx>
        <w:trPr>
          <w:trHeight w:val="20" w:hRule="atLeast"/>
        </w:trPr>
        <w:tc>
          <w:tcPr>
            <w:tcW w:w="572" w:type="dxa"/>
            <w:tcBorders>
              <w:top w:val="single" w:color="auto" w:sz="4" w:space="0"/>
              <w:left w:val="single" w:color="auto" w:sz="4" w:space="0"/>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10</w:t>
            </w:r>
          </w:p>
        </w:tc>
        <w:tc>
          <w:tcPr>
            <w:tcW w:w="5647" w:type="dxa"/>
            <w:tcBorders>
              <w:top w:val="single" w:color="auto" w:sz="4" w:space="0"/>
              <w:left w:val="nil"/>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另类资产</w:t>
            </w:r>
          </w:p>
        </w:tc>
        <w:tc>
          <w:tcPr>
            <w:tcW w:w="2800" w:type="dxa"/>
            <w:tcBorders>
              <w:top w:val="single" w:color="auto" w:sz="4" w:space="0"/>
              <w:left w:val="nil"/>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0.00%</w:t>
            </w:r>
          </w:p>
        </w:tc>
      </w:tr>
      <w:tr>
        <w:tblPrEx>
          <w:tblLayout w:type="fixed"/>
          <w:tblCellMar>
            <w:top w:w="0" w:type="dxa"/>
            <w:left w:w="0" w:type="dxa"/>
            <w:bottom w:w="0" w:type="dxa"/>
            <w:right w:w="0" w:type="dxa"/>
          </w:tblCellMar>
        </w:tblPrEx>
        <w:trPr>
          <w:trHeight w:val="20" w:hRule="atLeast"/>
        </w:trPr>
        <w:tc>
          <w:tcPr>
            <w:tcW w:w="572" w:type="dxa"/>
            <w:tcBorders>
              <w:top w:val="single" w:color="auto" w:sz="4" w:space="0"/>
              <w:left w:val="single" w:color="auto" w:sz="4" w:space="0"/>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11</w:t>
            </w:r>
          </w:p>
        </w:tc>
        <w:tc>
          <w:tcPr>
            <w:tcW w:w="5647" w:type="dxa"/>
            <w:tcBorders>
              <w:top w:val="single" w:color="auto" w:sz="4" w:space="0"/>
              <w:left w:val="nil"/>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公募基金</w:t>
            </w:r>
          </w:p>
        </w:tc>
        <w:tc>
          <w:tcPr>
            <w:tcW w:w="2800" w:type="dxa"/>
            <w:tcBorders>
              <w:top w:val="single" w:color="auto" w:sz="4" w:space="0"/>
              <w:left w:val="nil"/>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0.00%</w:t>
            </w:r>
          </w:p>
        </w:tc>
      </w:tr>
      <w:tr>
        <w:tblPrEx>
          <w:tblLayout w:type="fixed"/>
          <w:tblCellMar>
            <w:top w:w="0" w:type="dxa"/>
            <w:left w:w="0" w:type="dxa"/>
            <w:bottom w:w="0" w:type="dxa"/>
            <w:right w:w="0" w:type="dxa"/>
          </w:tblCellMar>
        </w:tblPrEx>
        <w:trPr>
          <w:trHeight w:val="20" w:hRule="atLeast"/>
        </w:trPr>
        <w:tc>
          <w:tcPr>
            <w:tcW w:w="572" w:type="dxa"/>
            <w:tcBorders>
              <w:top w:val="single" w:color="auto" w:sz="4" w:space="0"/>
              <w:left w:val="single" w:color="auto" w:sz="4" w:space="0"/>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12</w:t>
            </w:r>
          </w:p>
        </w:tc>
        <w:tc>
          <w:tcPr>
            <w:tcW w:w="5647" w:type="dxa"/>
            <w:tcBorders>
              <w:top w:val="single" w:color="auto" w:sz="4" w:space="0"/>
              <w:left w:val="nil"/>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私募基金</w:t>
            </w:r>
          </w:p>
        </w:tc>
        <w:tc>
          <w:tcPr>
            <w:tcW w:w="2800" w:type="dxa"/>
            <w:tcBorders>
              <w:top w:val="single" w:color="auto" w:sz="4" w:space="0"/>
              <w:left w:val="nil"/>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0.00%</w:t>
            </w:r>
          </w:p>
        </w:tc>
      </w:tr>
      <w:tr>
        <w:tblPrEx>
          <w:tblLayout w:type="fixed"/>
          <w:tblCellMar>
            <w:top w:w="0" w:type="dxa"/>
            <w:left w:w="0" w:type="dxa"/>
            <w:bottom w:w="0" w:type="dxa"/>
            <w:right w:w="0" w:type="dxa"/>
          </w:tblCellMar>
        </w:tblPrEx>
        <w:trPr>
          <w:trHeight w:val="20" w:hRule="atLeast"/>
        </w:trPr>
        <w:tc>
          <w:tcPr>
            <w:tcW w:w="572" w:type="dxa"/>
            <w:tcBorders>
              <w:top w:val="single" w:color="auto" w:sz="4" w:space="0"/>
              <w:left w:val="single" w:color="auto" w:sz="4" w:space="0"/>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13</w:t>
            </w:r>
          </w:p>
        </w:tc>
        <w:tc>
          <w:tcPr>
            <w:tcW w:w="5647" w:type="dxa"/>
            <w:tcBorders>
              <w:top w:val="single" w:color="auto" w:sz="4" w:space="0"/>
              <w:left w:val="nil"/>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资产管理产品</w:t>
            </w:r>
          </w:p>
        </w:tc>
        <w:tc>
          <w:tcPr>
            <w:tcW w:w="2800" w:type="dxa"/>
            <w:tcBorders>
              <w:top w:val="single" w:color="auto" w:sz="4" w:space="0"/>
              <w:left w:val="nil"/>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0.00%</w:t>
            </w:r>
          </w:p>
        </w:tc>
      </w:tr>
      <w:tr>
        <w:tblPrEx>
          <w:tblLayout w:type="fixed"/>
          <w:tblCellMar>
            <w:top w:w="0" w:type="dxa"/>
            <w:left w:w="0" w:type="dxa"/>
            <w:bottom w:w="0" w:type="dxa"/>
            <w:right w:w="0" w:type="dxa"/>
          </w:tblCellMar>
        </w:tblPrEx>
        <w:trPr>
          <w:trHeight w:val="20" w:hRule="atLeast"/>
        </w:trPr>
        <w:tc>
          <w:tcPr>
            <w:tcW w:w="572" w:type="dxa"/>
            <w:tcBorders>
              <w:top w:val="single" w:color="auto" w:sz="4" w:space="0"/>
              <w:left w:val="single" w:color="auto" w:sz="4" w:space="0"/>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14</w:t>
            </w:r>
          </w:p>
        </w:tc>
        <w:tc>
          <w:tcPr>
            <w:tcW w:w="5647" w:type="dxa"/>
            <w:tcBorders>
              <w:top w:val="single" w:color="auto" w:sz="4" w:space="0"/>
              <w:left w:val="nil"/>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委外投资——协议方式</w:t>
            </w:r>
          </w:p>
        </w:tc>
        <w:tc>
          <w:tcPr>
            <w:tcW w:w="2800" w:type="dxa"/>
            <w:tcBorders>
              <w:top w:val="single" w:color="auto" w:sz="4" w:space="0"/>
              <w:left w:val="nil"/>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0.00%</w:t>
            </w:r>
          </w:p>
        </w:tc>
      </w:tr>
      <w:tr>
        <w:tblPrEx>
          <w:tblLayout w:type="fixed"/>
          <w:tblCellMar>
            <w:top w:w="0" w:type="dxa"/>
            <w:left w:w="0" w:type="dxa"/>
            <w:bottom w:w="0" w:type="dxa"/>
            <w:right w:w="0" w:type="dxa"/>
          </w:tblCellMar>
        </w:tblPrEx>
        <w:trPr>
          <w:trHeight w:val="20" w:hRule="atLeast"/>
        </w:trPr>
        <w:tc>
          <w:tcPr>
            <w:tcW w:w="572" w:type="dxa"/>
            <w:tcBorders>
              <w:top w:val="single" w:color="auto" w:sz="4" w:space="0"/>
              <w:left w:val="single" w:color="auto" w:sz="4" w:space="0"/>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15</w:t>
            </w:r>
          </w:p>
        </w:tc>
        <w:tc>
          <w:tcPr>
            <w:tcW w:w="5647" w:type="dxa"/>
            <w:tcBorders>
              <w:top w:val="single" w:color="auto" w:sz="4" w:space="0"/>
              <w:left w:val="nil"/>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合计</w:t>
            </w:r>
          </w:p>
        </w:tc>
        <w:tc>
          <w:tcPr>
            <w:tcW w:w="2800" w:type="dxa"/>
            <w:tcBorders>
              <w:top w:val="single" w:color="auto" w:sz="4" w:space="0"/>
              <w:left w:val="nil"/>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100.00%</w:t>
            </w:r>
          </w:p>
        </w:tc>
      </w:tr>
    </w:tbl>
    <w:p>
      <w:pPr>
        <w:adjustRightInd w:val="0"/>
        <w:snapToGrid w:val="0"/>
        <w:spacing w:line="440" w:lineRule="exact"/>
        <w:outlineLvl w:val="2"/>
        <w:rPr>
          <w:rFonts w:ascii="仿宋" w:hAnsi="仿宋" w:eastAsia="仿宋" w:cs="仿宋"/>
          <w:b/>
          <w:sz w:val="24"/>
        </w:rPr>
      </w:pPr>
      <w:r>
        <w:rPr>
          <w:rFonts w:hint="eastAsia" w:ascii="仿宋" w:hAnsi="仿宋" w:eastAsia="仿宋" w:cs="仿宋"/>
          <w:b/>
          <w:sz w:val="24"/>
        </w:rPr>
        <w:t>4.6报告期末投资前十名资产明细</w:t>
      </w:r>
    </w:p>
    <w:p>
      <w:pPr>
        <w:adjustRightInd w:val="0"/>
        <w:snapToGrid w:val="0"/>
        <w:spacing w:line="440" w:lineRule="exact"/>
        <w:ind w:firstLine="6240" w:firstLineChars="2600"/>
        <w:jc w:val="right"/>
        <w:rPr>
          <w:rFonts w:ascii="仿宋" w:hAnsi="仿宋" w:eastAsia="仿宋" w:cs="仿宋"/>
          <w:sz w:val="24"/>
        </w:rPr>
      </w:pPr>
      <w:r>
        <w:rPr>
          <w:rFonts w:hint="eastAsia" w:ascii="仿宋" w:hAnsi="仿宋" w:eastAsia="仿宋" w:cs="仿宋"/>
          <w:sz w:val="24"/>
        </w:rPr>
        <w:t>单位：人民币元</w:t>
      </w:r>
    </w:p>
    <w:tbl>
      <w:tblPr>
        <w:tblStyle w:val="10"/>
        <w:tblW w:w="90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2"/>
        <w:gridCol w:w="3772"/>
        <w:gridCol w:w="2340"/>
        <w:gridCol w:w="2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6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序号</w:t>
            </w:r>
          </w:p>
        </w:tc>
        <w:tc>
          <w:tcPr>
            <w:tcW w:w="377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资产名称</w:t>
            </w:r>
          </w:p>
        </w:tc>
        <w:tc>
          <w:tcPr>
            <w:tcW w:w="23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金额（元）</w:t>
            </w:r>
          </w:p>
        </w:tc>
        <w:tc>
          <w:tcPr>
            <w:tcW w:w="235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占资产净值比例（％）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6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1</w:t>
            </w:r>
          </w:p>
        </w:tc>
        <w:tc>
          <w:tcPr>
            <w:tcW w:w="377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23东部新城01</w:t>
            </w:r>
          </w:p>
        </w:tc>
        <w:tc>
          <w:tcPr>
            <w:tcW w:w="23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93,010,392.62</w:t>
            </w:r>
          </w:p>
        </w:tc>
        <w:tc>
          <w:tcPr>
            <w:tcW w:w="235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15.25%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6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2</w:t>
            </w:r>
          </w:p>
        </w:tc>
        <w:tc>
          <w:tcPr>
            <w:tcW w:w="377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华润信托钱盈1号集合资金信托计划</w:t>
            </w:r>
          </w:p>
        </w:tc>
        <w:tc>
          <w:tcPr>
            <w:tcW w:w="23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86,950,600.23</w:t>
            </w:r>
          </w:p>
        </w:tc>
        <w:tc>
          <w:tcPr>
            <w:tcW w:w="235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14.26%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6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3</w:t>
            </w:r>
          </w:p>
        </w:tc>
        <w:tc>
          <w:tcPr>
            <w:tcW w:w="377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20浦江01</w:t>
            </w:r>
          </w:p>
        </w:tc>
        <w:tc>
          <w:tcPr>
            <w:tcW w:w="23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31,400,556.17</w:t>
            </w:r>
          </w:p>
        </w:tc>
        <w:tc>
          <w:tcPr>
            <w:tcW w:w="235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6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4</w:t>
            </w:r>
          </w:p>
        </w:tc>
        <w:tc>
          <w:tcPr>
            <w:tcW w:w="377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21诸交G1</w:t>
            </w:r>
          </w:p>
        </w:tc>
        <w:tc>
          <w:tcPr>
            <w:tcW w:w="23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30,929,342.47</w:t>
            </w:r>
          </w:p>
        </w:tc>
        <w:tc>
          <w:tcPr>
            <w:tcW w:w="235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6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5</w:t>
            </w:r>
          </w:p>
        </w:tc>
        <w:tc>
          <w:tcPr>
            <w:tcW w:w="377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21香投02</w:t>
            </w:r>
          </w:p>
        </w:tc>
        <w:tc>
          <w:tcPr>
            <w:tcW w:w="23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30,172,323.29</w:t>
            </w:r>
          </w:p>
        </w:tc>
        <w:tc>
          <w:tcPr>
            <w:tcW w:w="235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4.95%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6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6</w:t>
            </w:r>
          </w:p>
        </w:tc>
        <w:tc>
          <w:tcPr>
            <w:tcW w:w="377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20淳安01</w:t>
            </w:r>
          </w:p>
        </w:tc>
        <w:tc>
          <w:tcPr>
            <w:tcW w:w="23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25,740,732.88</w:t>
            </w:r>
          </w:p>
        </w:tc>
        <w:tc>
          <w:tcPr>
            <w:tcW w:w="235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6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7</w:t>
            </w:r>
          </w:p>
        </w:tc>
        <w:tc>
          <w:tcPr>
            <w:tcW w:w="377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20宁科02</w:t>
            </w:r>
          </w:p>
        </w:tc>
        <w:tc>
          <w:tcPr>
            <w:tcW w:w="23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23,727,209.59</w:t>
            </w:r>
          </w:p>
        </w:tc>
        <w:tc>
          <w:tcPr>
            <w:tcW w:w="235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3.89%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6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8</w:t>
            </w:r>
          </w:p>
        </w:tc>
        <w:tc>
          <w:tcPr>
            <w:tcW w:w="377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20姚经02</w:t>
            </w:r>
          </w:p>
        </w:tc>
        <w:tc>
          <w:tcPr>
            <w:tcW w:w="23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21,465,150.68</w:t>
            </w:r>
          </w:p>
        </w:tc>
        <w:tc>
          <w:tcPr>
            <w:tcW w:w="235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6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9</w:t>
            </w:r>
          </w:p>
        </w:tc>
        <w:tc>
          <w:tcPr>
            <w:tcW w:w="377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21崇川城投PPN004</w:t>
            </w:r>
          </w:p>
        </w:tc>
        <w:tc>
          <w:tcPr>
            <w:tcW w:w="23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20,573,994.52</w:t>
            </w:r>
          </w:p>
        </w:tc>
        <w:tc>
          <w:tcPr>
            <w:tcW w:w="235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3.37%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6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10</w:t>
            </w:r>
          </w:p>
        </w:tc>
        <w:tc>
          <w:tcPr>
            <w:tcW w:w="377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21东部02</w:t>
            </w:r>
          </w:p>
        </w:tc>
        <w:tc>
          <w:tcPr>
            <w:tcW w:w="23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20,506,520.55</w:t>
            </w:r>
          </w:p>
        </w:tc>
        <w:tc>
          <w:tcPr>
            <w:tcW w:w="235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3.36%</w:t>
            </w:r>
          </w:p>
        </w:tc>
      </w:tr>
    </w:tbl>
    <w:p>
      <w:pPr>
        <w:adjustRightInd w:val="0"/>
        <w:snapToGrid w:val="0"/>
        <w:spacing w:line="440" w:lineRule="exact"/>
        <w:outlineLvl w:val="2"/>
        <w:rPr>
          <w:rFonts w:ascii="仿宋" w:hAnsi="仿宋" w:eastAsia="仿宋" w:cs="仿宋"/>
          <w:b/>
          <w:sz w:val="24"/>
        </w:rPr>
      </w:pPr>
      <w:r>
        <w:rPr>
          <w:rFonts w:hint="eastAsia" w:ascii="仿宋" w:hAnsi="仿宋" w:eastAsia="仿宋" w:cs="仿宋"/>
          <w:b/>
          <w:sz w:val="24"/>
        </w:rPr>
        <w:t>4.7 报告期融资情况</w:t>
      </w:r>
    </w:p>
    <w:p>
      <w:pPr>
        <w:adjustRightInd w:val="0"/>
        <w:snapToGrid w:val="0"/>
        <w:spacing w:line="440" w:lineRule="exact"/>
        <w:ind w:firstLine="6240" w:firstLineChars="2600"/>
        <w:jc w:val="right"/>
        <w:rPr>
          <w:rFonts w:ascii="仿宋" w:hAnsi="仿宋" w:eastAsia="仿宋" w:cs="仿宋"/>
          <w:sz w:val="24"/>
        </w:rPr>
      </w:pPr>
      <w:r>
        <w:rPr>
          <w:rFonts w:hint="eastAsia" w:ascii="仿宋" w:hAnsi="仿宋" w:eastAsia="仿宋" w:cs="仿宋"/>
          <w:sz w:val="24"/>
        </w:rPr>
        <w:t>单位：人民币元</w:t>
      </w:r>
    </w:p>
    <w:tbl>
      <w:tblPr>
        <w:tblStyle w:val="10"/>
        <w:tblW w:w="8999" w:type="dxa"/>
        <w:tblInd w:w="-5" w:type="dxa"/>
        <w:tblLayout w:type="fixed"/>
        <w:tblCellMar>
          <w:top w:w="0" w:type="dxa"/>
          <w:left w:w="30" w:type="dxa"/>
          <w:bottom w:w="0" w:type="dxa"/>
          <w:right w:w="30" w:type="dxa"/>
        </w:tblCellMar>
      </w:tblPr>
      <w:tblGrid>
        <w:gridCol w:w="632"/>
        <w:gridCol w:w="3167"/>
        <w:gridCol w:w="2433"/>
        <w:gridCol w:w="2767"/>
      </w:tblGrid>
      <w:tr>
        <w:tblPrEx>
          <w:tblLayout w:type="fixed"/>
          <w:tblCellMar>
            <w:top w:w="0" w:type="dxa"/>
            <w:left w:w="30" w:type="dxa"/>
            <w:bottom w:w="0" w:type="dxa"/>
            <w:right w:w="30" w:type="dxa"/>
          </w:tblCellMar>
        </w:tblPrEx>
        <w:trPr>
          <w:trHeight w:val="375" w:hRule="atLeast"/>
        </w:trPr>
        <w:tc>
          <w:tcPr>
            <w:tcW w:w="632"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s="仿宋"/>
                <w:sz w:val="24"/>
              </w:rPr>
            </w:pPr>
            <w:r>
              <w:rPr>
                <w:rFonts w:hint="eastAsia" w:ascii="仿宋" w:hAnsi="仿宋" w:eastAsia="仿宋" w:cs="仿宋"/>
                <w:sz w:val="24"/>
              </w:rPr>
              <w:t>序号</w:t>
            </w:r>
          </w:p>
        </w:tc>
        <w:tc>
          <w:tcPr>
            <w:tcW w:w="3167"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s="仿宋"/>
                <w:sz w:val="24"/>
              </w:rPr>
            </w:pPr>
            <w:r>
              <w:rPr>
                <w:rFonts w:hint="eastAsia" w:ascii="仿宋" w:hAnsi="仿宋" w:eastAsia="仿宋" w:cs="仿宋"/>
                <w:sz w:val="24"/>
              </w:rPr>
              <w:t>项目</w:t>
            </w:r>
          </w:p>
        </w:tc>
        <w:tc>
          <w:tcPr>
            <w:tcW w:w="2433"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s="仿宋"/>
                <w:sz w:val="24"/>
              </w:rPr>
            </w:pPr>
            <w:r>
              <w:rPr>
                <w:rFonts w:hint="eastAsia" w:ascii="仿宋" w:hAnsi="仿宋" w:eastAsia="仿宋" w:cs="仿宋"/>
                <w:sz w:val="24"/>
              </w:rPr>
              <w:t>金额（元）</w:t>
            </w:r>
          </w:p>
        </w:tc>
        <w:tc>
          <w:tcPr>
            <w:tcW w:w="2767"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s="仿宋"/>
                <w:sz w:val="24"/>
              </w:rPr>
            </w:pPr>
            <w:r>
              <w:rPr>
                <w:rFonts w:hint="eastAsia" w:ascii="仿宋" w:hAnsi="仿宋" w:eastAsia="仿宋" w:cs="仿宋"/>
                <w:sz w:val="24"/>
              </w:rPr>
              <w:t>占资产净值比例（％）</w:t>
            </w:r>
          </w:p>
        </w:tc>
      </w:tr>
      <w:tr>
        <w:tblPrEx>
          <w:tblLayout w:type="fixed"/>
          <w:tblCellMar>
            <w:top w:w="0" w:type="dxa"/>
            <w:left w:w="30" w:type="dxa"/>
            <w:bottom w:w="0" w:type="dxa"/>
            <w:right w:w="30" w:type="dxa"/>
          </w:tblCellMar>
        </w:tblPrEx>
        <w:trPr>
          <w:trHeight w:val="295" w:hRule="atLeast"/>
        </w:trPr>
        <w:tc>
          <w:tcPr>
            <w:tcW w:w="632"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s="仿宋"/>
                <w:sz w:val="24"/>
              </w:rPr>
            </w:pPr>
            <w:r>
              <w:rPr>
                <w:rFonts w:hint="eastAsia" w:ascii="仿宋" w:hAnsi="仿宋" w:eastAsia="仿宋" w:cs="仿宋"/>
                <w:sz w:val="24"/>
              </w:rPr>
              <w:t>1</w:t>
            </w:r>
          </w:p>
        </w:tc>
        <w:tc>
          <w:tcPr>
            <w:tcW w:w="316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报告期末质押式回购余额</w:t>
            </w:r>
          </w:p>
        </w:tc>
        <w:tc>
          <w:tcPr>
            <w:tcW w:w="24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kern w:val="0"/>
                <w:sz w:val="24"/>
              </w:rPr>
            </w:pPr>
            <w:r>
              <w:rPr>
                <w:rFonts w:hint="eastAsia" w:ascii="仿宋" w:hAnsi="仿宋" w:eastAsia="仿宋" w:cs="仿宋"/>
                <w:kern w:val="0"/>
                <w:sz w:val="24"/>
              </w:rPr>
              <w:t>25,006,476.72</w:t>
            </w:r>
          </w:p>
        </w:tc>
        <w:tc>
          <w:tcPr>
            <w:tcW w:w="276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kern w:val="0"/>
                <w:sz w:val="24"/>
              </w:rPr>
            </w:pPr>
            <w:r>
              <w:rPr>
                <w:rFonts w:hint="eastAsia" w:ascii="仿宋" w:hAnsi="仿宋" w:eastAsia="仿宋" w:cs="仿宋"/>
                <w:kern w:val="0"/>
                <w:sz w:val="24"/>
              </w:rPr>
              <w:t>4.10%</w:t>
            </w:r>
          </w:p>
        </w:tc>
      </w:tr>
      <w:tr>
        <w:tblPrEx>
          <w:tblLayout w:type="fixed"/>
          <w:tblCellMar>
            <w:top w:w="0" w:type="dxa"/>
            <w:left w:w="30" w:type="dxa"/>
            <w:bottom w:w="0" w:type="dxa"/>
            <w:right w:w="30" w:type="dxa"/>
          </w:tblCellMar>
        </w:tblPrEx>
        <w:trPr>
          <w:trHeight w:val="295" w:hRule="atLeast"/>
        </w:trPr>
        <w:tc>
          <w:tcPr>
            <w:tcW w:w="632"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s="仿宋"/>
                <w:sz w:val="24"/>
              </w:rPr>
            </w:pPr>
            <w:r>
              <w:rPr>
                <w:rFonts w:hint="eastAsia" w:ascii="仿宋" w:hAnsi="仿宋" w:eastAsia="仿宋" w:cs="仿宋"/>
                <w:sz w:val="24"/>
              </w:rPr>
              <w:t>2</w:t>
            </w:r>
          </w:p>
        </w:tc>
        <w:tc>
          <w:tcPr>
            <w:tcW w:w="316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报告期末同业拆入余额</w:t>
            </w:r>
          </w:p>
        </w:tc>
        <w:tc>
          <w:tcPr>
            <w:tcW w:w="24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kern w:val="0"/>
                <w:sz w:val="24"/>
              </w:rPr>
            </w:pPr>
            <w:r>
              <w:rPr>
                <w:rFonts w:hint="eastAsia" w:ascii="仿宋" w:hAnsi="仿宋" w:eastAsia="仿宋" w:cs="仿宋"/>
                <w:kern w:val="0"/>
                <w:sz w:val="24"/>
              </w:rPr>
              <w:t>0.00</w:t>
            </w:r>
          </w:p>
        </w:tc>
        <w:tc>
          <w:tcPr>
            <w:tcW w:w="276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kern w:val="0"/>
                <w:sz w:val="24"/>
              </w:rPr>
            </w:pPr>
            <w:r>
              <w:rPr>
                <w:rFonts w:hint="eastAsia" w:ascii="仿宋" w:hAnsi="仿宋" w:eastAsia="仿宋" w:cs="仿宋"/>
                <w:kern w:val="0"/>
                <w:sz w:val="24"/>
              </w:rPr>
              <w:t>0.00%</w:t>
            </w:r>
          </w:p>
        </w:tc>
      </w:tr>
      <w:tr>
        <w:tblPrEx>
          <w:tblLayout w:type="fixed"/>
          <w:tblCellMar>
            <w:top w:w="0" w:type="dxa"/>
            <w:left w:w="30" w:type="dxa"/>
            <w:bottom w:w="0" w:type="dxa"/>
            <w:right w:w="30" w:type="dxa"/>
          </w:tblCellMar>
        </w:tblPrEx>
        <w:trPr>
          <w:trHeight w:val="295" w:hRule="atLeast"/>
        </w:trPr>
        <w:tc>
          <w:tcPr>
            <w:tcW w:w="632"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s="仿宋"/>
                <w:sz w:val="24"/>
              </w:rPr>
            </w:pPr>
            <w:r>
              <w:rPr>
                <w:rFonts w:hint="eastAsia" w:ascii="仿宋" w:hAnsi="仿宋" w:eastAsia="仿宋" w:cs="仿宋"/>
                <w:sz w:val="24"/>
              </w:rPr>
              <w:t>3</w:t>
            </w:r>
          </w:p>
        </w:tc>
        <w:tc>
          <w:tcPr>
            <w:tcW w:w="316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其他</w:t>
            </w:r>
          </w:p>
        </w:tc>
        <w:tc>
          <w:tcPr>
            <w:tcW w:w="24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kern w:val="0"/>
                <w:sz w:val="24"/>
              </w:rPr>
            </w:pPr>
            <w:r>
              <w:rPr>
                <w:rFonts w:hint="eastAsia" w:ascii="仿宋" w:hAnsi="仿宋" w:eastAsia="仿宋" w:cs="仿宋"/>
                <w:kern w:val="0"/>
                <w:sz w:val="24"/>
              </w:rPr>
              <w:t>0.00</w:t>
            </w:r>
          </w:p>
        </w:tc>
        <w:tc>
          <w:tcPr>
            <w:tcW w:w="276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kern w:val="0"/>
                <w:sz w:val="24"/>
              </w:rPr>
            </w:pPr>
            <w:r>
              <w:rPr>
                <w:rFonts w:hint="eastAsia" w:ascii="仿宋" w:hAnsi="仿宋" w:eastAsia="仿宋" w:cs="仿宋"/>
                <w:kern w:val="0"/>
                <w:sz w:val="24"/>
              </w:rPr>
              <w:t>0.00%</w:t>
            </w:r>
          </w:p>
        </w:tc>
      </w:tr>
    </w:tbl>
    <w:p>
      <w:pPr>
        <w:adjustRightInd w:val="0"/>
        <w:snapToGrid w:val="0"/>
        <w:spacing w:line="440" w:lineRule="exact"/>
        <w:outlineLvl w:val="2"/>
        <w:rPr>
          <w:rFonts w:ascii="仿宋" w:hAnsi="仿宋" w:eastAsia="仿宋" w:cs="仿宋"/>
          <w:b/>
          <w:sz w:val="24"/>
        </w:rPr>
      </w:pPr>
      <w:bookmarkStart w:id="1" w:name="_Toc481074947"/>
      <w:r>
        <w:rPr>
          <w:rFonts w:hint="eastAsia" w:ascii="仿宋" w:hAnsi="仿宋" w:eastAsia="仿宋" w:cs="仿宋"/>
          <w:b/>
          <w:sz w:val="24"/>
        </w:rPr>
        <w:t>4.8报告期末投资非标准化债权资产</w:t>
      </w:r>
      <w:bookmarkEnd w:id="1"/>
      <w:r>
        <w:rPr>
          <w:rFonts w:hint="eastAsia" w:ascii="仿宋" w:hAnsi="仿宋" w:eastAsia="仿宋" w:cs="仿宋"/>
          <w:b/>
          <w:sz w:val="24"/>
        </w:rPr>
        <w:t>情况</w:t>
      </w:r>
    </w:p>
    <w:p>
      <w:pPr>
        <w:adjustRightInd w:val="0"/>
        <w:snapToGrid w:val="0"/>
        <w:spacing w:line="380" w:lineRule="exact"/>
        <w:ind w:firstLine="6720" w:firstLineChars="2800"/>
        <w:rPr>
          <w:rFonts w:ascii="仿宋" w:hAnsi="仿宋" w:eastAsia="仿宋" w:cs="仿宋"/>
          <w:sz w:val="24"/>
        </w:rPr>
      </w:pPr>
      <w:r>
        <w:rPr>
          <w:rFonts w:hint="eastAsia" w:ascii="仿宋" w:hAnsi="仿宋" w:eastAsia="仿宋" w:cs="仿宋"/>
          <w:sz w:val="24"/>
        </w:rPr>
        <w:t>单位：人民币元</w:t>
      </w:r>
    </w:p>
    <w:tbl>
      <w:tblPr>
        <w:tblStyle w:val="10"/>
        <w:tblW w:w="8994" w:type="dxa"/>
        <w:tblInd w:w="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330"/>
        <w:gridCol w:w="1569"/>
        <w:gridCol w:w="1041"/>
        <w:gridCol w:w="1833"/>
        <w:gridCol w:w="802"/>
        <w:gridCol w:w="970"/>
        <w:gridCol w:w="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 xml:space="preserve">序号 </w:t>
            </w:r>
          </w:p>
        </w:tc>
        <w:tc>
          <w:tcPr>
            <w:tcW w:w="133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融资客户</w:t>
            </w:r>
          </w:p>
        </w:tc>
        <w:tc>
          <w:tcPr>
            <w:tcW w:w="156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项目名称</w:t>
            </w:r>
          </w:p>
        </w:tc>
        <w:tc>
          <w:tcPr>
            <w:tcW w:w="10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资产到期日</w:t>
            </w:r>
          </w:p>
        </w:tc>
        <w:tc>
          <w:tcPr>
            <w:tcW w:w="18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资产价值（元）</w:t>
            </w:r>
          </w:p>
        </w:tc>
        <w:tc>
          <w:tcPr>
            <w:tcW w:w="80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交易结构</w:t>
            </w:r>
          </w:p>
        </w:tc>
        <w:tc>
          <w:tcPr>
            <w:tcW w:w="9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color w:val="FF0000"/>
                <w:sz w:val="24"/>
              </w:rPr>
            </w:pPr>
            <w:r>
              <w:rPr>
                <w:rFonts w:hint="eastAsia" w:ascii="仿宋" w:hAnsi="仿宋" w:eastAsia="仿宋" w:cs="仿宋"/>
                <w:sz w:val="24"/>
              </w:rPr>
              <w:t>收益分配方式</w:t>
            </w:r>
          </w:p>
        </w:tc>
        <w:tc>
          <w:tcPr>
            <w:tcW w:w="81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风险状况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1</w:t>
            </w:r>
          </w:p>
        </w:tc>
        <w:tc>
          <w:tcPr>
            <w:tcW w:w="133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宁波东部新城开发投资集团有限公司</w:t>
            </w:r>
          </w:p>
        </w:tc>
        <w:tc>
          <w:tcPr>
            <w:tcW w:w="156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23东部新城01</w:t>
            </w:r>
          </w:p>
        </w:tc>
        <w:tc>
          <w:tcPr>
            <w:tcW w:w="10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20230627</w:t>
            </w:r>
          </w:p>
        </w:tc>
        <w:tc>
          <w:tcPr>
            <w:tcW w:w="18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93,010,392.62</w:t>
            </w:r>
          </w:p>
        </w:tc>
        <w:tc>
          <w:tcPr>
            <w:tcW w:w="80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理财直接融资工具</w:t>
            </w:r>
          </w:p>
        </w:tc>
        <w:tc>
          <w:tcPr>
            <w:tcW w:w="9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利随本清，到期一次还本</w:t>
            </w:r>
          </w:p>
        </w:tc>
        <w:tc>
          <w:tcPr>
            <w:tcW w:w="81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正常</w:t>
            </w:r>
          </w:p>
        </w:tc>
      </w:tr>
    </w:tbl>
    <w:p>
      <w:pPr>
        <w:adjustRightInd w:val="0"/>
        <w:snapToGrid w:val="0"/>
        <w:spacing w:line="380" w:lineRule="exact"/>
        <w:rPr>
          <w:rFonts w:ascii="仿宋" w:hAnsi="仿宋" w:eastAsia="仿宋" w:cs="仿宋"/>
          <w:color w:val="0000FF"/>
          <w:kern w:val="0"/>
          <w:sz w:val="24"/>
          <w:highlight w:val="yellow"/>
        </w:rPr>
      </w:pPr>
    </w:p>
    <w:p>
      <w:pPr>
        <w:pStyle w:val="2"/>
        <w:adjustRightInd w:val="0"/>
        <w:snapToGrid w:val="0"/>
        <w:spacing w:line="560" w:lineRule="exact"/>
        <w:jc w:val="center"/>
        <w:rPr>
          <w:rFonts w:ascii="仿宋" w:hAnsi="仿宋" w:eastAsia="仿宋" w:cs="仿宋"/>
          <w:sz w:val="24"/>
        </w:rPr>
      </w:pPr>
      <w:r>
        <w:rPr>
          <w:rFonts w:hint="eastAsia" w:ascii="仿宋" w:hAnsi="仿宋" w:eastAsia="仿宋" w:cs="仿宋"/>
          <w:sz w:val="24"/>
        </w:rPr>
        <w:t>§5  产品份额变动</w:t>
      </w:r>
    </w:p>
    <w:p>
      <w:pPr>
        <w:adjustRightInd w:val="0"/>
        <w:snapToGrid w:val="0"/>
        <w:spacing w:line="440" w:lineRule="exact"/>
        <w:ind w:firstLine="6240" w:firstLineChars="2600"/>
        <w:jc w:val="right"/>
        <w:rPr>
          <w:rFonts w:ascii="仿宋" w:hAnsi="仿宋" w:eastAsia="仿宋" w:cs="仿宋"/>
          <w:sz w:val="24"/>
        </w:rPr>
      </w:pPr>
      <w:r>
        <w:rPr>
          <w:rFonts w:hint="eastAsia" w:ascii="仿宋" w:hAnsi="仿宋" w:eastAsia="仿宋" w:cs="仿宋"/>
          <w:sz w:val="24"/>
        </w:rPr>
        <w:t>单位：份</w:t>
      </w:r>
    </w:p>
    <w:tbl>
      <w:tblPr>
        <w:tblStyle w:val="10"/>
        <w:tblW w:w="8987" w:type="dxa"/>
        <w:tblInd w:w="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1"/>
        <w:gridCol w:w="4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91" w:type="dxa"/>
            <w:tcBorders>
              <w:top w:val="single" w:color="auto" w:sz="4" w:space="0"/>
              <w:left w:val="single" w:color="auto" w:sz="4" w:space="0"/>
              <w:bottom w:val="single" w:color="auto" w:sz="4" w:space="0"/>
              <w:right w:val="single" w:color="auto" w:sz="4" w:space="0"/>
            </w:tcBorders>
          </w:tcPr>
          <w:p>
            <w:pPr>
              <w:adjustRightInd w:val="0"/>
              <w:snapToGrid w:val="0"/>
              <w:rPr>
                <w:rFonts w:ascii="仿宋" w:hAnsi="仿宋" w:eastAsia="仿宋" w:cs="仿宋"/>
                <w:color w:val="000000"/>
                <w:sz w:val="24"/>
              </w:rPr>
            </w:pPr>
            <w:r>
              <w:rPr>
                <w:rFonts w:hint="eastAsia" w:ascii="仿宋" w:hAnsi="仿宋" w:eastAsia="仿宋" w:cs="仿宋"/>
                <w:color w:val="000000"/>
                <w:sz w:val="24"/>
              </w:rPr>
              <w:t>报告期期初产品份额总额</w:t>
            </w:r>
          </w:p>
        </w:tc>
        <w:tc>
          <w:tcPr>
            <w:tcW w:w="4596" w:type="dxa"/>
            <w:tcBorders>
              <w:top w:val="single" w:color="auto" w:sz="4" w:space="0"/>
              <w:left w:val="single" w:color="auto" w:sz="4" w:space="0"/>
              <w:bottom w:val="single" w:color="auto" w:sz="4" w:space="0"/>
              <w:right w:val="single" w:color="auto" w:sz="4" w:space="0"/>
            </w:tcBorders>
          </w:tcPr>
          <w:p>
            <w:pPr>
              <w:adjustRightInd w:val="0"/>
              <w:snapToGrid w:val="0"/>
              <w:jc w:val="right"/>
              <w:rPr>
                <w:rFonts w:ascii="仿宋" w:hAnsi="仿宋" w:eastAsia="仿宋" w:cs="仿宋"/>
                <w:color w:val="000000"/>
                <w:sz w:val="24"/>
              </w:rPr>
            </w:pPr>
            <w:r>
              <w:rPr>
                <w:rFonts w:hint="eastAsia" w:ascii="仿宋" w:hAnsi="仿宋" w:eastAsia="仿宋" w:cs="仿宋"/>
                <w:color w:val="000000"/>
                <w:sz w:val="24"/>
              </w:rPr>
              <w:t>710,883,795.14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91" w:type="dxa"/>
            <w:tcBorders>
              <w:top w:val="single" w:color="auto" w:sz="4" w:space="0"/>
              <w:left w:val="single" w:color="auto" w:sz="4" w:space="0"/>
              <w:bottom w:val="single" w:color="auto" w:sz="4" w:space="0"/>
              <w:right w:val="single" w:color="auto" w:sz="4" w:space="0"/>
            </w:tcBorders>
          </w:tcPr>
          <w:p>
            <w:pPr>
              <w:adjustRightInd w:val="0"/>
              <w:snapToGrid w:val="0"/>
              <w:rPr>
                <w:rFonts w:ascii="仿宋" w:hAnsi="仿宋" w:eastAsia="仿宋" w:cs="仿宋"/>
                <w:color w:val="000000"/>
                <w:sz w:val="24"/>
              </w:rPr>
            </w:pPr>
            <w:r>
              <w:rPr>
                <w:rFonts w:hint="eastAsia" w:ascii="仿宋" w:hAnsi="仿宋" w:eastAsia="仿宋" w:cs="仿宋"/>
                <w:color w:val="000000"/>
                <w:sz w:val="24"/>
              </w:rPr>
              <w:t>报告期期末产品份额总额</w:t>
            </w:r>
          </w:p>
        </w:tc>
        <w:tc>
          <w:tcPr>
            <w:tcW w:w="4596" w:type="dxa"/>
            <w:tcBorders>
              <w:top w:val="single" w:color="auto" w:sz="4" w:space="0"/>
              <w:left w:val="single" w:color="auto" w:sz="4" w:space="0"/>
              <w:bottom w:val="single" w:color="auto" w:sz="4" w:space="0"/>
              <w:right w:val="single" w:color="auto" w:sz="4" w:space="0"/>
            </w:tcBorders>
          </w:tcPr>
          <w:p>
            <w:pPr>
              <w:adjustRightInd w:val="0"/>
              <w:snapToGrid w:val="0"/>
              <w:jc w:val="right"/>
              <w:rPr>
                <w:rFonts w:ascii="仿宋" w:hAnsi="仿宋" w:eastAsia="仿宋" w:cs="仿宋"/>
                <w:color w:val="000000"/>
                <w:sz w:val="24"/>
              </w:rPr>
            </w:pPr>
            <w:r>
              <w:rPr>
                <w:rFonts w:hint="eastAsia" w:ascii="仿宋" w:hAnsi="仿宋" w:eastAsia="仿宋" w:cs="仿宋"/>
                <w:color w:val="000000"/>
                <w:sz w:val="24"/>
              </w:rPr>
              <w:t>531,702,099.79</w:t>
            </w:r>
          </w:p>
        </w:tc>
      </w:tr>
    </w:tbl>
    <w:p>
      <w:pPr>
        <w:widowControl/>
        <w:adjustRightInd w:val="0"/>
        <w:snapToGrid w:val="0"/>
        <w:jc w:val="left"/>
        <w:rPr>
          <w:rFonts w:ascii="仿宋" w:hAnsi="仿宋" w:eastAsia="仿宋" w:cs="仿宋"/>
          <w:color w:val="404040"/>
          <w:kern w:val="0"/>
          <w:sz w:val="24"/>
        </w:rPr>
      </w:pPr>
    </w:p>
    <w:p>
      <w:pPr>
        <w:pStyle w:val="2"/>
        <w:adjustRightInd w:val="0"/>
        <w:snapToGrid w:val="0"/>
        <w:spacing w:line="560" w:lineRule="exact"/>
        <w:jc w:val="center"/>
        <w:rPr>
          <w:rFonts w:ascii="仿宋" w:hAnsi="仿宋" w:eastAsia="仿宋" w:cs="仿宋"/>
          <w:sz w:val="24"/>
        </w:rPr>
      </w:pPr>
      <w:r>
        <w:rPr>
          <w:rFonts w:hint="eastAsia" w:ascii="仿宋" w:hAnsi="仿宋" w:eastAsia="仿宋" w:cs="仿宋"/>
          <w:sz w:val="24"/>
        </w:rPr>
        <w:t>§6 托管人报告</w:t>
      </w:r>
    </w:p>
    <w:p>
      <w:pPr>
        <w:adjustRightInd w:val="0"/>
        <w:snapToGrid w:val="0"/>
        <w:spacing w:line="420" w:lineRule="exact"/>
        <w:ind w:firstLine="480" w:firstLineChars="200"/>
        <w:rPr>
          <w:rFonts w:ascii="仿宋" w:hAnsi="仿宋" w:eastAsia="仿宋" w:cs="仿宋"/>
          <w:sz w:val="24"/>
        </w:rPr>
      </w:pPr>
      <w:r>
        <w:rPr>
          <w:rFonts w:hint="eastAsia" w:ascii="仿宋" w:hAnsi="仿宋" w:eastAsia="仿宋" w:cs="仿宋"/>
          <w:sz w:val="24"/>
        </w:rPr>
        <w:t>本报告期内，杭州银行股份有限公司（以下简称“本托管人”）在对本产品的托管过程中，严格遵守了《关于规范金融机构资产管理业务的指导意见》《商业银行理财业务监督管理办法》《商业银行理财子公司管理办法》等相关法律法规、托管协议的规定，依法安全保管了本产品的全部资产，对本产品的投资运作进行了认真、独立的会计核算和必要的投资监督，没有从事任何损害产品份额持有人利益的行为，诚实信用、勤勉尽责地履行了托管人应尽的义务。</w:t>
      </w:r>
    </w:p>
    <w:p>
      <w:pPr>
        <w:adjustRightInd w:val="0"/>
        <w:snapToGrid w:val="0"/>
        <w:spacing w:line="420" w:lineRule="exact"/>
        <w:ind w:firstLine="480" w:firstLineChars="200"/>
        <w:rPr>
          <w:rFonts w:ascii="仿宋" w:hAnsi="仿宋" w:eastAsia="仿宋" w:cs="仿宋"/>
          <w:sz w:val="24"/>
        </w:rPr>
      </w:pPr>
      <w:r>
        <w:rPr>
          <w:rFonts w:hint="eastAsia" w:ascii="仿宋" w:hAnsi="仿宋" w:eastAsia="仿宋" w:cs="仿宋"/>
          <w:sz w:val="24"/>
        </w:rPr>
        <w:t>本托管人复核了本产品报告中的财务指标、净值表现和投资组合报告等内容。经复核，本产品报告中披露的理财产品财务数据核对一致。</w:t>
      </w:r>
    </w:p>
    <w:p>
      <w:pPr>
        <w:adjustRightInd w:val="0"/>
        <w:snapToGrid w:val="0"/>
        <w:rPr>
          <w:rFonts w:ascii="仿宋" w:hAnsi="仿宋" w:eastAsia="仿宋" w:cs="仿宋"/>
          <w:bCs/>
          <w:sz w:val="24"/>
        </w:rPr>
      </w:pPr>
    </w:p>
    <w:p>
      <w:pPr>
        <w:pStyle w:val="2"/>
        <w:adjustRightInd w:val="0"/>
        <w:snapToGrid w:val="0"/>
        <w:spacing w:line="560" w:lineRule="exact"/>
        <w:jc w:val="center"/>
        <w:rPr>
          <w:rFonts w:ascii="仿宋" w:hAnsi="仿宋" w:eastAsia="仿宋" w:cs="仿宋"/>
          <w:sz w:val="24"/>
        </w:rPr>
      </w:pPr>
      <w:r>
        <w:rPr>
          <w:rFonts w:hint="eastAsia" w:ascii="仿宋" w:hAnsi="仿宋" w:eastAsia="仿宋" w:cs="仿宋"/>
          <w:sz w:val="24"/>
        </w:rPr>
        <w:t>§7 报告期内关联交易情况</w:t>
      </w:r>
    </w:p>
    <w:p>
      <w:pPr>
        <w:adjustRightInd w:val="0"/>
        <w:snapToGrid w:val="0"/>
        <w:spacing w:line="440" w:lineRule="exact"/>
        <w:outlineLvl w:val="2"/>
        <w:rPr>
          <w:rFonts w:ascii="仿宋" w:hAnsi="仿宋" w:eastAsia="仿宋" w:cs="仿宋"/>
          <w:b/>
          <w:sz w:val="24"/>
        </w:rPr>
      </w:pPr>
      <w:r>
        <w:rPr>
          <w:rFonts w:hint="eastAsia" w:ascii="仿宋" w:hAnsi="仿宋" w:eastAsia="仿宋" w:cs="仿宋"/>
          <w:b/>
          <w:sz w:val="24"/>
        </w:rPr>
        <w:t>7.1 产品投资于关联方发行或承销的证券、资产管理产品，或其他关联交易</w:t>
      </w:r>
    </w:p>
    <w:p>
      <w:pPr>
        <w:adjustRightInd w:val="0"/>
        <w:snapToGrid w:val="0"/>
        <w:spacing w:line="440" w:lineRule="exact"/>
        <w:ind w:firstLine="6240" w:firstLineChars="2600"/>
        <w:jc w:val="right"/>
        <w:rPr>
          <w:rFonts w:ascii="仿宋" w:hAnsi="仿宋" w:eastAsia="仿宋" w:cs="仿宋"/>
          <w:b/>
          <w:sz w:val="24"/>
        </w:rPr>
      </w:pPr>
      <w:r>
        <w:rPr>
          <w:rFonts w:hint="eastAsia" w:ascii="仿宋" w:hAnsi="仿宋" w:eastAsia="仿宋" w:cs="仿宋"/>
          <w:sz w:val="24"/>
        </w:rPr>
        <w:t>单位：元、份</w:t>
      </w:r>
    </w:p>
    <w:tbl>
      <w:tblPr>
        <w:tblStyle w:val="11"/>
        <w:tblW w:w="8994" w:type="dxa"/>
        <w:tblInd w:w="6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4"/>
        <w:gridCol w:w="1605"/>
        <w:gridCol w:w="1401"/>
        <w:gridCol w:w="791"/>
        <w:gridCol w:w="754"/>
        <w:gridCol w:w="1904"/>
        <w:gridCol w:w="19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34"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序号</w:t>
            </w:r>
          </w:p>
        </w:tc>
        <w:tc>
          <w:tcPr>
            <w:tcW w:w="1605"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关联方</w:t>
            </w:r>
          </w:p>
        </w:tc>
        <w:tc>
          <w:tcPr>
            <w:tcW w:w="1401"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资产名称</w:t>
            </w:r>
          </w:p>
        </w:tc>
        <w:tc>
          <w:tcPr>
            <w:tcW w:w="791"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资产类型</w:t>
            </w:r>
          </w:p>
        </w:tc>
        <w:tc>
          <w:tcPr>
            <w:tcW w:w="754"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交易类型</w:t>
            </w:r>
          </w:p>
        </w:tc>
        <w:tc>
          <w:tcPr>
            <w:tcW w:w="1904"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交易金额（元）</w:t>
            </w:r>
          </w:p>
        </w:tc>
        <w:tc>
          <w:tcPr>
            <w:tcW w:w="1905"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份额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2" w:hRule="atLeast"/>
        </w:trPr>
        <w:tc>
          <w:tcPr>
            <w:tcW w:w="634"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1</w:t>
            </w:r>
          </w:p>
        </w:tc>
        <w:tc>
          <w:tcPr>
            <w:tcW w:w="1605"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杭州银行股份有限公司</w:t>
            </w:r>
          </w:p>
        </w:tc>
        <w:tc>
          <w:tcPr>
            <w:tcW w:w="1401"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23东部新城01</w:t>
            </w:r>
          </w:p>
        </w:tc>
        <w:tc>
          <w:tcPr>
            <w:tcW w:w="791"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理财直融工具</w:t>
            </w:r>
          </w:p>
        </w:tc>
        <w:tc>
          <w:tcPr>
            <w:tcW w:w="754"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买入</w:t>
            </w:r>
          </w:p>
        </w:tc>
        <w:tc>
          <w:tcPr>
            <w:tcW w:w="1904"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93,000,000.00</w:t>
            </w:r>
          </w:p>
        </w:tc>
        <w:tc>
          <w:tcPr>
            <w:tcW w:w="1905"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93,000,000.00</w:t>
            </w:r>
          </w:p>
        </w:tc>
      </w:tr>
    </w:tbl>
    <w:p>
      <w:pPr>
        <w:adjustRightInd w:val="0"/>
        <w:snapToGrid w:val="0"/>
        <w:spacing w:line="440" w:lineRule="exact"/>
        <w:outlineLvl w:val="2"/>
        <w:rPr>
          <w:rFonts w:ascii="仿宋" w:hAnsi="仿宋" w:eastAsia="仿宋" w:cs="仿宋"/>
          <w:b/>
          <w:sz w:val="24"/>
        </w:rPr>
      </w:pPr>
      <w:r>
        <w:rPr>
          <w:rFonts w:hint="eastAsia" w:ascii="仿宋" w:hAnsi="仿宋" w:eastAsia="仿宋" w:cs="仿宋"/>
          <w:b/>
          <w:sz w:val="24"/>
        </w:rPr>
        <w:t>7.2 产品向关联方支付的费用</w:t>
      </w:r>
    </w:p>
    <w:tbl>
      <w:tblPr>
        <w:tblStyle w:val="11"/>
        <w:tblW w:w="8994" w:type="dxa"/>
        <w:tblInd w:w="6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4"/>
        <w:gridCol w:w="2958"/>
        <w:gridCol w:w="2202"/>
        <w:gridCol w:w="3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94" w:type="dxa"/>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序号</w:t>
            </w:r>
          </w:p>
        </w:tc>
        <w:tc>
          <w:tcPr>
            <w:tcW w:w="2958"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关联方</w:t>
            </w:r>
          </w:p>
        </w:tc>
        <w:tc>
          <w:tcPr>
            <w:tcW w:w="2202"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费用类型</w:t>
            </w:r>
          </w:p>
        </w:tc>
        <w:tc>
          <w:tcPr>
            <w:tcW w:w="3140"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交易金额（元）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7" w:hRule="atLeast"/>
        </w:trPr>
        <w:tc>
          <w:tcPr>
            <w:tcW w:w="694" w:type="dxa"/>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1</w:t>
            </w:r>
          </w:p>
        </w:tc>
        <w:tc>
          <w:tcPr>
            <w:tcW w:w="2958"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杭州银行股份有限公司</w:t>
            </w:r>
          </w:p>
        </w:tc>
        <w:tc>
          <w:tcPr>
            <w:tcW w:w="2202"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托管费</w:t>
            </w:r>
          </w:p>
        </w:tc>
        <w:tc>
          <w:tcPr>
            <w:tcW w:w="3140"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55,382.90</w:t>
            </w:r>
          </w:p>
        </w:tc>
      </w:tr>
    </w:tbl>
    <w:p>
      <w:pPr>
        <w:widowControl/>
        <w:adjustRightInd w:val="0"/>
        <w:snapToGrid w:val="0"/>
        <w:ind w:firstLine="480" w:firstLineChars="200"/>
        <w:jc w:val="left"/>
        <w:rPr>
          <w:rFonts w:ascii="仿宋" w:hAnsi="仿宋" w:eastAsia="仿宋" w:cs="仿宋"/>
          <w:color w:val="404040"/>
          <w:kern w:val="0"/>
          <w:sz w:val="24"/>
        </w:rPr>
      </w:pPr>
    </w:p>
    <w:p>
      <w:pPr>
        <w:widowControl/>
        <w:adjustRightInd w:val="0"/>
        <w:snapToGrid w:val="0"/>
        <w:ind w:firstLine="480" w:firstLineChars="200"/>
        <w:jc w:val="left"/>
        <w:rPr>
          <w:rFonts w:ascii="仿宋" w:hAnsi="仿宋" w:eastAsia="仿宋" w:cs="仿宋"/>
          <w:color w:val="404040"/>
          <w:kern w:val="0"/>
          <w:sz w:val="24"/>
        </w:rPr>
      </w:pPr>
    </w:p>
    <w:p>
      <w:pPr>
        <w:ind w:left="360"/>
        <w:jc w:val="right"/>
        <w:rPr>
          <w:rFonts w:ascii="仿宋" w:hAnsi="仿宋" w:eastAsia="仿宋" w:cs="仿宋"/>
          <w:sz w:val="24"/>
        </w:rPr>
      </w:pPr>
    </w:p>
    <w:p>
      <w:pPr>
        <w:ind w:left="360"/>
        <w:jc w:val="right"/>
        <w:rPr>
          <w:rFonts w:ascii="仿宋" w:hAnsi="仿宋" w:eastAsia="仿宋" w:cs="仿宋"/>
          <w:sz w:val="24"/>
        </w:rPr>
      </w:pPr>
      <w:r>
        <w:rPr>
          <w:rFonts w:hint="eastAsia" w:ascii="仿宋" w:hAnsi="仿宋" w:eastAsia="仿宋" w:cs="仿宋"/>
          <w:sz w:val="24"/>
        </w:rPr>
        <w:t>杭银理财有限责任公司</w:t>
      </w:r>
    </w:p>
    <w:p>
      <w:pPr>
        <w:jc w:val="right"/>
        <w:rPr>
          <w:sz w:val="24"/>
        </w:rPr>
      </w:pPr>
      <w:r>
        <w:rPr>
          <w:rFonts w:hint="eastAsia" w:ascii="仿宋" w:hAnsi="仿宋" w:eastAsia="仿宋" w:cs="仿宋"/>
          <w:sz w:val="24"/>
        </w:rPr>
        <w:t>2023年4月19日</w:t>
      </w:r>
    </w:p>
    <w:p/>
    <w:p/>
    <w:sectPr>
      <w:headerReference r:id="rId3" w:type="default"/>
      <w:pgSz w:w="11906" w:h="16838"/>
      <w:pgMar w:top="2551" w:right="1803" w:bottom="2551" w:left="1803" w:header="851" w:footer="992" w:gutter="0"/>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方正仿宋简体">
    <w:altName w:val="宋体"/>
    <w:panose1 w:val="00000000000000000000"/>
    <w:charset w:val="86"/>
    <w:family w:val="roman"/>
    <w:pitch w:val="default"/>
    <w:sig w:usb0="00000000" w:usb1="00000000" w:usb2="00000000" w:usb3="00000000" w:csb0="00040000" w:csb1="00000000"/>
  </w:font>
  <w:font w:name="方正楷体简体">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43800" cy="10671810"/>
          <wp:effectExtent l="0" t="0" r="0" b="15240"/>
          <wp:wrapNone/>
          <wp:docPr id="5" name="WordPictureWatermark140627" descr="微信图片_20220817144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40627" descr="微信图片_20220817144322"/>
                  <pic:cNvPicPr>
                    <a:picLocks noChangeAspect="1"/>
                  </pic:cNvPicPr>
                </pic:nvPicPr>
                <pic:blipFill>
                  <a:blip r:embed="rId1"/>
                  <a:stretch>
                    <a:fillRect/>
                  </a:stretch>
                </pic:blipFill>
                <pic:spPr>
                  <a:xfrm>
                    <a:off x="0" y="0"/>
                    <a:ext cx="7543800" cy="1067181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5DBB10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12"/>
    <w:unhideWhenUsed/>
    <w:qFormat/>
    <w:uiPriority w:val="0"/>
    <w:pPr>
      <w:keepNext/>
      <w:keepLines/>
      <w:spacing w:line="400" w:lineRule="exact"/>
      <w:jc w:val="left"/>
      <w:outlineLvl w:val="1"/>
    </w:pPr>
    <w:rPr>
      <w:rFonts w:ascii="Arial" w:hAnsi="Arial" w:eastAsia="宋体"/>
      <w:b/>
    </w:rPr>
  </w:style>
  <w:style w:type="paragraph" w:styleId="3">
    <w:name w:val="heading 3"/>
    <w:basedOn w:val="1"/>
    <w:next w:val="1"/>
    <w:link w:val="13"/>
    <w:unhideWhenUsed/>
    <w:qFormat/>
    <w:uiPriority w:val="0"/>
    <w:pPr>
      <w:keepNext/>
      <w:keepLines/>
      <w:spacing w:line="400" w:lineRule="exact"/>
      <w:jc w:val="left"/>
      <w:outlineLvl w:val="2"/>
    </w:pPr>
    <w:rPr>
      <w:rFonts w:ascii="Times New Roman" w:hAnsi="Times New Roman" w:eastAsia="宋体"/>
      <w:b/>
    </w:rPr>
  </w:style>
  <w:style w:type="character" w:default="1" w:styleId="9">
    <w:name w:val="Default Paragraph Font"/>
    <w:semiHidden/>
    <w:unhideWhenUsed/>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4">
    <w:name w:val="Body Text"/>
    <w:basedOn w:val="1"/>
    <w:link w:val="14"/>
    <w:unhideWhenUsed/>
    <w:qFormat/>
    <w:uiPriority w:val="0"/>
    <w:pPr>
      <w:spacing w:after="120"/>
    </w:pPr>
    <w:rPr>
      <w:rFonts w:ascii="Times New Roman" w:hAnsi="Times New Roman" w:eastAsia="方正仿宋简体" w:cs="Times New Roman"/>
      <w:sz w:val="32"/>
      <w:szCs w:val="20"/>
    </w:rPr>
  </w:style>
  <w:style w:type="paragraph" w:styleId="5">
    <w:name w:val="Balloon Text"/>
    <w:basedOn w:val="1"/>
    <w:link w:val="17"/>
    <w:semiHidden/>
    <w:unhideWhenUsed/>
    <w:uiPriority w:val="99"/>
    <w:rPr>
      <w:sz w:val="18"/>
      <w:szCs w:val="18"/>
    </w:rPr>
  </w:style>
  <w:style w:type="paragraph" w:styleId="6">
    <w:name w:val="footer"/>
    <w:basedOn w:val="1"/>
    <w:link w:val="16"/>
    <w:unhideWhenUsed/>
    <w:uiPriority w:val="99"/>
    <w:pPr>
      <w:tabs>
        <w:tab w:val="center" w:pos="4153"/>
        <w:tab w:val="right" w:pos="8306"/>
      </w:tabs>
      <w:snapToGrid w:val="0"/>
      <w:jc w:val="left"/>
    </w:pPr>
    <w:rPr>
      <w:sz w:val="18"/>
      <w:szCs w:val="18"/>
    </w:rPr>
  </w:style>
  <w:style w:type="paragraph" w:styleId="7">
    <w:name w:val="header"/>
    <w:basedOn w:val="1"/>
    <w:link w:val="1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0"/>
    <w:pPr>
      <w:widowControl/>
      <w:spacing w:before="100" w:beforeAutospacing="1" w:after="100" w:afterAutospacing="1"/>
    </w:pPr>
    <w:rPr>
      <w:rFonts w:ascii="宋体" w:hAnsi="宋体" w:eastAsia="宋体" w:cs="Times New Roman"/>
      <w:kern w:val="0"/>
      <w:sz w:val="24"/>
      <w:szCs w:val="20"/>
    </w:rPr>
  </w:style>
  <w:style w:type="table" w:styleId="11">
    <w:name w:val="Table Grid"/>
    <w:basedOn w:val="10"/>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customStyle="1" w:styleId="12">
    <w:name w:val="标题 2 字符"/>
    <w:basedOn w:val="9"/>
    <w:link w:val="2"/>
    <w:uiPriority w:val="0"/>
    <w:rPr>
      <w:rFonts w:ascii="Arial" w:hAnsi="Arial" w:eastAsia="宋体"/>
      <w:b/>
    </w:rPr>
  </w:style>
  <w:style w:type="character" w:customStyle="1" w:styleId="13">
    <w:name w:val="标题 3 字符"/>
    <w:basedOn w:val="9"/>
    <w:link w:val="3"/>
    <w:uiPriority w:val="0"/>
    <w:rPr>
      <w:rFonts w:ascii="Times New Roman" w:hAnsi="Times New Roman" w:eastAsia="宋体"/>
      <w:b/>
    </w:rPr>
  </w:style>
  <w:style w:type="character" w:customStyle="1" w:styleId="14">
    <w:name w:val="正文文本 字符"/>
    <w:basedOn w:val="9"/>
    <w:link w:val="4"/>
    <w:qFormat/>
    <w:uiPriority w:val="0"/>
    <w:rPr>
      <w:rFonts w:ascii="Times New Roman" w:hAnsi="Times New Roman" w:eastAsia="方正仿宋简体" w:cs="Times New Roman"/>
      <w:sz w:val="32"/>
      <w:szCs w:val="20"/>
    </w:rPr>
  </w:style>
  <w:style w:type="character" w:customStyle="1" w:styleId="15">
    <w:name w:val="页眉 字符"/>
    <w:basedOn w:val="9"/>
    <w:link w:val="7"/>
    <w:uiPriority w:val="0"/>
    <w:rPr>
      <w:sz w:val="18"/>
    </w:rPr>
  </w:style>
  <w:style w:type="character" w:customStyle="1" w:styleId="16">
    <w:name w:val="页脚 字符"/>
    <w:basedOn w:val="9"/>
    <w:link w:val="6"/>
    <w:uiPriority w:val="99"/>
    <w:rPr>
      <w:kern w:val="2"/>
      <w:sz w:val="18"/>
      <w:szCs w:val="18"/>
    </w:rPr>
  </w:style>
  <w:style w:type="character" w:customStyle="1" w:styleId="17">
    <w:name w:val="批注框文本 字符"/>
    <w:basedOn w:val="9"/>
    <w:link w:val="5"/>
    <w:semiHidden/>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365</Words>
  <Characters>2082</Characters>
  <Lines>17</Lines>
  <Paragraphs>4</Paragraphs>
  <TotalTime>181</TotalTime>
  <ScaleCrop>false</ScaleCrop>
  <LinksUpToDate>false</LinksUpToDate>
  <CharactersWithSpaces>2443</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2023-04-13T06:44:00Z</dcterms:created>
  <dc:creator>s c</dc:creator>
  <cp:lastModifiedBy>高玉锦</cp:lastModifiedBy>
  <dcterms:modified xsi:type="dcterms:W3CDTF">2023-04-20T08:45:38Z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48CAE58F88821DFB686F3364065ABE78_42</vt:lpwstr>
  </property>
  <property fmtid="{D5CDD505-2E9C-101B-9397-08002B2CF9AE}" pid="3" name="KSOProductBuildVer">
    <vt:lpwstr>2052-11.8.2.8053</vt:lpwstr>
  </property>
</Properties>
</file>