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461C5A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461C5A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461C5A">
      <w:pPr>
        <w:pStyle w:val="Heading2"/>
        <w:keepNext w:val="0"/>
        <w:keepLines w:val="0"/>
        <w:autoSpaceDE w:val="0"/>
        <w:autoSpaceDN w:val="0"/>
        <w:spacing w:before="220" w:line="240" w:lineRule="auto"/>
        <w:jc w:val="center"/>
        <w:rPr>
          <w:rFonts w:ascii="仿宋_GB2312" w:eastAsia="仿宋_GB2312" w:hAnsi="仿宋_GB2312" w:cs="仿宋_GB2312"/>
          <w:bCs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Cs/>
          <w:kern w:val="0"/>
          <w:sz w:val="52"/>
          <w:szCs w:val="52"/>
          <w:lang w:bidi="zh-CN"/>
        </w:rPr>
        <w:t>丰裕固收22050期</w:t>
      </w:r>
    </w:p>
    <w:p w:rsidR="00461C5A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第1季度报告</w:t>
      </w:r>
    </w:p>
    <w:p w:rsidR="00461C5A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§1  重要提示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作出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止。</w:t>
            </w:r>
          </w:p>
        </w:tc>
      </w:tr>
    </w:tbl>
    <w:p w:rsidR="00461C5A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§2  产品概况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0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0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丰裕固收22050期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FYG22050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Z7002222000069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2022年8月23日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2023年9月4日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3.90%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852,823,916.76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102.53%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461C5A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§3  主要财务指标和产品净值表现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</w:p>
    <w:p w:rsidR="00461C5A" w:rsidP="004458C8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852,823,916.76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847,213,360.00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1.0066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1.0066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 w:rsidTr="006D231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丰裕固收22050期A款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FYG22050A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1.0052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101,855,995.45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丰裕固收22050期B款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FYG22050B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1.0070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133,540,385.21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丰裕固收22050期C款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FYG22050C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1.0064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472,879,739.76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丰裕固收22050期D款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FYG22050D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1.0076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127,538,922.34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丰裕固收22050期E款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FYG22050E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1.0089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17,008,874.00</w:t>
            </w:r>
          </w:p>
        </w:tc>
      </w:tr>
    </w:tbl>
    <w:p w:rsidR="00134D0D" w:rsidP="00134D0D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</w:t>
      </w:r>
      <w:r>
        <w:rPr>
          <w:rFonts w:ascii="仿宋" w:eastAsia="仿宋" w:hAnsi="仿宋" w:cs="仿宋" w:hint="eastAsia"/>
          <w:b/>
          <w:sz w:val="24"/>
        </w:rPr>
        <w:t>产品收益</w:t>
      </w:r>
      <w:r>
        <w:rPr>
          <w:rFonts w:ascii="仿宋" w:eastAsia="仿宋" w:hAnsi="仿宋" w:cs="仿宋" w:hint="eastAsia"/>
          <w:b/>
          <w:sz w:val="24"/>
        </w:rPr>
        <w:t>表现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 w:rsidTr="003D3797"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</w:t>
            </w:r>
            <w:r w:rsidR="005F727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以来年化收益率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丰裕固收22050期A款</w:t>
            </w:r>
            <w:bookmarkStart w:id="1" w:name="_GoBack"/>
            <w:bookmarkEnd w:id="1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0.86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丰裕固收22050期B款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1.16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丰裕固收22050期C款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1.06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丰裕固收22050期D款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1.26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丰裕固收22050期E款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1.47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461C5A" w:rsidRPr="00134D0D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134D0D">
      <w:pPr>
        <w:adjustRightInd w:val="0"/>
        <w:snapToGrid w:val="0"/>
        <w:rPr>
          <w:rFonts w:ascii="仿宋" w:eastAsia="仿宋" w:hAnsi="仿宋" w:cs="仿宋" w:hint="eastAsia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§4  投资组合报告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4.1 </w:t>
      </w:r>
      <w:r w:rsidR="00FB089E">
        <w:rPr>
          <w:rFonts w:ascii="仿宋" w:eastAsia="仿宋" w:hAnsi="仿宋" w:cs="仿宋" w:hint="eastAsia"/>
          <w:b/>
          <w:sz w:val="24"/>
        </w:rPr>
        <w:t>报告期内产品投资策略</w:t>
      </w:r>
      <w:r>
        <w:rPr>
          <w:rFonts w:ascii="仿宋" w:eastAsia="仿宋" w:hAnsi="仿宋" w:cs="仿宋" w:hint="eastAsia"/>
          <w:b/>
          <w:sz w:val="24"/>
        </w:rPr>
        <w:t>回顾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季度以来，利率债收益率震荡，信用债收益率整体下行，债市经历了对经济复苏的强预期到弱预期的修复。春节前，受疫情防控政策和房地产政策调整影响，市场对经济复苏预期强烈，春节后，信贷开门红，但市场对实体经济复苏存在较大分歧，理财赎回风波缓解后，银行理财对信用债配置带动信用债收益率大幅下行，3月后，两会设定的GDP增速目标低于市场预期，出口走弱，叠加3月底央行超预期降准，带动中短期债券收益率下行。从收益率来看，当前10年国债收益率较年初小幅上行，当前3年期AA+城投债收益率较年初下行35至45bp不等，当前3年期AAA二级资本债收益率较年初下行5至10bp左右。本类产品主要配置固收类资产，债券部分以信用债为主，受益于一季度信用债收益率下行，通过杠杆策略和久期策略，产品净值收益表现好于2022年四季度。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4.2</w:t>
      </w:r>
      <w:r>
        <w:rPr>
          <w:rFonts w:ascii="仿宋" w:eastAsia="仿宋" w:hAnsi="仿宋" w:cs="仿宋" w:hint="eastAsia"/>
          <w:b/>
          <w:sz w:val="24"/>
        </w:rPr>
        <w:t>产品未来展望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2季度，从基本面来看，无论从经济高频数据还是前瞻性数据来看，经济逐步复苏的态势仍在延续，从票据利率看银行信贷投放依然积极，消费、地产投资增速仍在修复过程中；从政策面来看，3月央行降准显示对银行间资金面市场的呵护，市场利率大概率围绕政策利率波动，短端债券收益率上行的空间有限。整体来说，经济弱复苏延续，货币政策保持相对宽松，债市流动性环境相对友好，后续理财规模增长情况、出口回落速度、货币政策是否会进一步宽松等将是影响2季度债市的重要变量。我们预期2季度债券收益率整体小幅波动，对产品净值影响较小，坚定长期持有可保证投资收益的稳定性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4.3</w:t>
      </w:r>
      <w:r>
        <w:rPr>
          <w:rFonts w:ascii="仿宋" w:eastAsia="仿宋" w:hAnsi="仿宋" w:cs="仿宋" w:hint="eastAsia"/>
          <w:b/>
          <w:sz w:val="24"/>
        </w:rPr>
        <w:t>投资组合的流动性风险分析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本产品通过合理安排投资品种和期限结构、监控组合资金头寸等方式管理产品的流动性风险，确保资产的变现能力与投资者赎回需求的匹配；报告期内，本产品未发生重大流动性风险事件。</w:t>
      </w:r>
    </w:p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4.4 </w:t>
      </w:r>
      <w:r w:rsidR="00FB089E">
        <w:rPr>
          <w:rFonts w:ascii="仿宋" w:eastAsia="仿宋" w:hAnsi="仿宋" w:cs="仿宋" w:hint="eastAsia"/>
          <w:b/>
          <w:sz w:val="24"/>
        </w:rPr>
        <w:t>报告期末穿透前</w:t>
      </w:r>
      <w:r w:rsidRPr="00FB089E"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14"/>
        <w:gridCol w:w="2833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0.07%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35.55%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48.44%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15.94%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 xml:space="preserve">4.5 </w:t>
      </w:r>
      <w:r w:rsidR="00FB089E">
        <w:rPr>
          <w:rFonts w:ascii="仿宋" w:eastAsia="仿宋" w:hAnsi="仿宋" w:cs="仿宋" w:hint="eastAsia"/>
          <w:b/>
          <w:sz w:val="24"/>
        </w:rPr>
        <w:t>报告期末穿透后</w:t>
      </w:r>
      <w:r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47"/>
        <w:gridCol w:w="2800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现金及银行存款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0.18%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同业存单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拆放同业及债券买入返售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0.78%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债券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50.60%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非标准化债权类资产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48.44%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6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权益类投资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7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金融衍生品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8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代客境外理财投资QDII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9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商品类资产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另类资产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公募基金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私募基金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资产管理产品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委外投资——协议方式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合计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100.00%</w:t>
            </w:r>
          </w:p>
        </w:tc>
      </w:tr>
    </w:tbl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4.6报告期末投资前十名资产明细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22建德国资03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206,270,654.79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24.19%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22海宁尖山新区01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154,321,672.60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18.10%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华润信托钱盈1号集合资金信托计划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89,085,621.80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10.45%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22汤山建投02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53,842,188.15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6.31%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20武侯产业PPN001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52,259,520.55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6.13%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平安信托恒盈1号集合资金信托计划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50,288,241.72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5.90%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22兴创03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38,982,564.38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4.57%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18甬交02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32,121,000.00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3.77%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22青岛城投PPN002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20,292,761.64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2.38%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22曲水债01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20,048,071.23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2.35%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4.7 报告期融资情况</w:t>
      </w:r>
    </w:p>
    <w:p w:rsidR="00461C5A" w:rsidRPr="004458C8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19,019,780.80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2.23%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481074947"/>
      <w:r>
        <w:rPr>
          <w:rFonts w:ascii="仿宋" w:eastAsia="仿宋" w:hAnsi="仿宋" w:cs="仿宋" w:hint="eastAsia"/>
          <w:b/>
          <w:sz w:val="24"/>
        </w:rPr>
        <w:t>4.8报告期末投资非标准化债权资产</w:t>
      </w:r>
      <w:bookmarkEnd w:id="2"/>
      <w:r>
        <w:rPr>
          <w:rFonts w:ascii="仿宋" w:eastAsia="仿宋" w:hAnsi="仿宋" w:cs="仿宋" w:hint="eastAsia"/>
          <w:b/>
          <w:sz w:val="24"/>
        </w:rPr>
        <w:t>情况</w:t>
      </w:r>
    </w:p>
    <w:p w:rsidR="00461C5A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建德市国有资产经营有限公司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22建德国资03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20230827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206,270,654.79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海宁市尖山新区开发有限公司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22海宁尖山新区01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20230902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154,321,672.60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南京汤山建设投资发展有限公司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22汤山建投02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20230827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53,842,188.15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南京六合交通工程建设投资(集团)有限公司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22六合交通02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20230822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9,135,723.33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461C5A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</w:t>
      </w:r>
      <w:r>
        <w:rPr>
          <w:rFonts w:ascii="仿宋" w:eastAsia="仿宋" w:hAnsi="仿宋" w:cs="仿宋" w:hint="eastAsia"/>
          <w:sz w:val="24"/>
        </w:rPr>
        <w:t>5  产品份额变动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847,213,360.00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847,213,360.00</w:t>
            </w:r>
          </w:p>
        </w:tc>
      </w:tr>
    </w:tbl>
    <w:p w:rsidR="00461C5A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§6 托管人报告</w:t>
      </w:r>
    </w:p>
    <w:p w:rsidR="00461C5A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461C5A" w:rsidP="004458C8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本托管人复核了本产品报告中的财务指标、净值表现和投资组合报告等内容。经复核，本产品报告中披露的理财产品财务数据核对一致。</w:t>
      </w:r>
    </w:p>
    <w:p w:rsidR="004458C8" w:rsidRPr="004458C8" w:rsidP="00FB089E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§7 报告期内关联交易情况</w:t>
      </w:r>
    </w:p>
    <w:p w:rsidR="00461C5A" w:rsidP="004458C8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7.1 产品投资于关联</w:t>
      </w:r>
      <w:r>
        <w:rPr>
          <w:rFonts w:ascii="仿宋" w:eastAsia="仿宋" w:hAnsi="仿宋" w:cs="仿宋" w:hint="eastAsia"/>
          <w:b/>
          <w:sz w:val="24"/>
        </w:rPr>
        <w:t>方发行</w:t>
      </w:r>
      <w:r>
        <w:rPr>
          <w:rFonts w:ascii="仿宋" w:eastAsia="仿宋" w:hAnsi="仿宋" w:cs="仿宋" w:hint="eastAsia"/>
          <w:b/>
          <w:sz w:val="24"/>
        </w:rPr>
        <w:t>或承销的证券、资产管理产品，或其他关联交易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7.2 产品向关联方支付的费用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</w:t>
      </w:r>
      <w:r>
        <w:rPr>
          <w:rFonts w:ascii="仿宋" w:eastAsia="仿宋" w:hAnsi="仿宋" w:cs="仿宋" w:hint="eastAsia"/>
          <w:sz w:val="24"/>
        </w:rPr>
        <w:t>有限责任公司</w:t>
      </w:r>
    </w:p>
    <w:p w:rsidR="00461C5A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/>
    <w:p w:rsidR="00461C5A"/>
    <w:sectPr>
      <w:headerReference w:type="default" r:id="rId4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1C5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D0D"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paragraph" w:styleId="Footer">
    <w:name w:val="footer"/>
    <w:basedOn w:val="Normal"/>
    <w:link w:val="a1"/>
    <w:uiPriority w:val="99"/>
    <w:unhideWhenUsed/>
    <w:rsid w:val="00825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82523D"/>
    <w:rPr>
      <w:kern w:val="2"/>
      <w:sz w:val="18"/>
      <w:szCs w:val="18"/>
    </w:rPr>
  </w:style>
  <w:style w:type="paragraph" w:styleId="BalloonText">
    <w:name w:val="Balloon Text"/>
    <w:basedOn w:val="Normal"/>
    <w:link w:val="a2"/>
    <w:uiPriority w:val="99"/>
    <w:semiHidden/>
    <w:unhideWhenUsed/>
    <w:rsid w:val="00FB089E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FB0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18</cp:revision>
  <dcterms:created xsi:type="dcterms:W3CDTF">2023-04-13T06:44:00Z</dcterms:created>
  <dcterms:modified xsi:type="dcterms:W3CDTF">2023-04-14T08:04:00Z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2052-5.3.0.7863</vt:lpwstr>
  </property>
</Properties>
</file>