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丰裕固收22074期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455,495,540.93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142.63%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455,495,540.93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450,368,000.00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449,322,815.18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6,172,725.75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程度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2.87%，较年初小幅上行，当前3年期AA+城投债收益率3.23%，较年初下行40bp，当前3年期AAA二级资本债收益率3.28%，较年初下行8bp。本产品主要配置固收类资产，债券部分以信用债为主，受益于一季度信用债收益率大幅下行，通过杠杆策略和久期策略，产品净值收益表现较好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是经济高频数据还是前瞻性数据，经济逐步复苏的态势仍在延续，从票据利率看，银行信贷投放依然积极，消费、地产投资增速仍在修复过程中；从政策面来看，3月央行降准显示对银行间资金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。策略上，保持一定杠杆比例，适时把握利率债的阶段性交易机会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68.94%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68.94%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31.01%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76,881,188.77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66,921,705.37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57,681,069.58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20南通经开MTN001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40,383,735.24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22锡西新城MTN001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39,916,933.82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22栖霞旅游PPN001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39,794,545.59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39,757,903.08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22南通高新MTN001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39,728,913.63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39,723,378.18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22徐州经开MTN001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39,682,912.08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193,197,446.56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42.41%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肇庆市高要建投投资开发集团有限公司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66,921,705.37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76,881,188.77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57,681,069.58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23高要建投01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23嵊州城北01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23嵊州交发01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57,000,000.00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