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丰裕固收增强22012期(稳健严选FOF)</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丰裕固收增强22012期(稳健严选FOF)</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FYGZ22012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Z7002222000051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2022年6月16日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2024年6月27日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4.40%-6.40%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371,411,455.22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100.49%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371,411,455.22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362,924,020.00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1.0234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1.0234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丰裕固收增强22012期(稳健严选FOF)A款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FYGZ22012A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1.0234</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1.0234</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371,411,434.98</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丰裕固收增强22012期(稳健严选FOF)D款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FYGZ22012D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1.0120</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1.0120</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20.24</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丰裕固收增强22012期(稳健严选FOF)A款</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2.96</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丰裕固收增强22012期(稳健严选FOF)D款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1.52</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产品为固收增强类产品，具有一定权益仓位。产品策略采用自上而下和自下而上相结合的模式，通过SAA/TAA制定大类资产配置策略，定期调整权益和固收投资比例。在配置比例范围通过定性+定量相结合策略精选各类底层标的。</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一季度国内宏观经济活动水平在疫情后持续复苏，基建、投资、制造业投资增速保持高位，但其他部门如房地产行业复苏力度在近期有所减缓。CPI物价增速明显下降，总体而言国内经济呈现弱复苏。美国银行业危机继续发酵，可能会通过信贷收缩的途径对经济形成更广泛的负面影响，美国经济发生衰退的概率进一步增加；另一方面美国通胀仍然保持高位，但市场加息预期退潮，美联储面临通胀居高不下和实体经济衰退风险加大的两难境地。国内权益市场方面，上涨板块包括ChatGPT相关的人工智能和中国特色估值体系主题。我国面临内需上行和外需下行的复杂格局，但中国基本面状况明显好于欧美等海外国家，A股有望相对体现出韧性。国内债券市场方面，央行在3月超预期降准，信用债收益率一季度大幅下行。近期低等级信用债下行空间大于高等级信用债，二级资本债也体现出较高性价比。中期来看海外经济下行或将增加我国经济压力，货币政策未来仍有宽松空间。</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产品通过合理安排投资品种和期限结构等方式管理产品的流动性风险，主要配置信用水平较好和流动性较好的固收类资产，其中非标准化债权类资产的到期日不晚于产品到期日，配置的权益资产严格控制资产持仓集中度，确保资产的变现能力可以满足投资者兑付需求，产品整体流动性风险可控。报告期内，本产品未发生重大流动性风险事件。</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0.27%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21.42%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47.45%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30.86%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0.27%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21.42%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47.45%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30.86%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22诸暨新城01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177,108,764.25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47.69%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易方达裕如A</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34,590,886.05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9.31%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易方达裕惠回报</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34,546,432.91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9.30%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21北创01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31,242,287.67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鹏华丰享</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20,030,270.16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21胶州湾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19,961,698.63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19台州银行永续债01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18,679,980.82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博时富瑞纯债C</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14,029,844.33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22东交01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10,064,671.23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银行ETF</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3,943,800.00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1.06%</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诸暨市新城投资开发集团有限公司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22诸暨新城01</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20240605</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177,108,764.25</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362,924,020.00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362,924,020.00</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