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丰裕固收增强22013期(稳健严选FOF)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丰裕固收增强22013期(稳健严选FOF)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FYGZ22013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4.40%-6.40%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349,149,181.39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100.42%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349,149,181.39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345,304,000.00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丰裕固收增强22013期(稳健严选FOF)A款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FYGZ22013A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349,149,181.39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丰裕固收增强22013期(稳健严选FOF)A款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为固收增强类产品，具有一定权益仓位。产品策略采用自上而下和自下而上相结合的模式，通过SAA/TAA制定大类资产配置策略，定期调整权益和固收投资比例。在配置比例范围通过定性+定量相结合策略精选各类底层标的。回顾一季度，国内宏观经济活动水平在疫后有所修复，基建投资、制造业投资增速仍保持高位，但其他部门复苏力度在近期有所减缓。新房销售在三月有所回落，主因疫情期间积压需求释放完毕，二手房销售仍然维持强势，而土地市场活跃度有待上升。餐饮、电影票房、航班客流等服务消费指标体现出好于防疫开放前，但仍低于疫情前的水平。体现为整体弱复苏走势。债券市场方面，收益率普遍下行，信用利差继续缩小，资金利率有所回落。央行在3月超预期降准，当前银行间流动性基本稳定。权益市场方面，一季度震荡上行，围绕ChatGPT和央国企估值重塑两条主线演绎。产品固收部分以票息收入为主，资金利率阶段性低点做一些短期杠杆交易。权益仓位一季度有小幅提升，产品净值在一季度也有较明显上涨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为固收增强类产品，权益和债券配置比例相对合理，追求风险和收益的最优解。展望2023年2季度，国内CPI物价增速明显下降，体现出全面复苏尚需时日。美国银行业危机继续发酵，可能会通过信贷收缩的途径对经济形成更广泛的负面影响，美国经济发生衰退的概率进一步增加。另一方面美国通胀仍然保持高位，但市场加息预期退潮，美联储面临通胀居高不下和实体经济衰退风险加大的两难境地，外部风险较高。债券方面，短期来看可能继续受益于季节性增量理财资金的配置，信用债收益率有望继续逐步下行。其中低等级信用债下行空间大于高等级信用债，二级资本债也体现出较高性价比。中期来看海外经济下行或将增加我国经济压力，进一步货币政策宽松的可能性正在增加。权益方面，我国基本面继续面临弱复苏，内需上行而外需下行的复杂格局。近期海外衰退风险边际增加，预计美股下行风险较大，或将在中期内对A股形成一定扰动。但中国基本面状况明显好于欧美等海外国家，A股有望相对体现出韧性。中长期来看，股市继续处于较好的配置区间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本产品通过合理安排投资品种和期限结构、限制资产持仓集中度、监控组合资金头寸等方式管理产品的流动性风险，确保资产的变现能力与产品到期相匹配；报告期内，本产品未发生重大流动性风险事件。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14.74%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19.92%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30.43%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1.54%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17.62%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22宁南开投02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145,199,596.16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41.59%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易方达基金顺航1号集合资产管理计划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69,863,094.16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易方达裕惠回报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31,084,742.86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21镜湖04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30,022,602.74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22青田国控01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25,832,085.96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易方达裕如A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14,480,601.38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19金华融盛MTN002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12,603,731.51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20丽水南投PPN001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10,369,479.45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质押式逆回购(360853)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5,000,706.85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华安媒体互联网A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3,175,565.26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0.91%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宁波宁南新城开发投资有限公司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22宁南开投02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145,199,596.16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青田县国有资产控股集团有限公司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22青田国控01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25,832,085.96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345,304,000.00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345,304,000.00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