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半年添益2009期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半年添益2009期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TYG6M2009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Z7002221000093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2020年3月25日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3.30%-3.80%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1,864,611,181.67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100.33%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1,864,611,181.67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1,666,790,628.02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1.1186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1.1186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半年添益2009期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债市流动性环境相对友好，后续理财规模增长情况、出口回落速度、货币政策是否会进一步宽松等将是影响2季度债市的重要变量。我们预期2季度债券收益率整体小幅波动。策略上，保持一定杠杆比例，适时把握利率债或者中高等级债券的阶段性交易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0.25%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15.99%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55.01%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28.75%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0.67%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16.67%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78.94%</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3.72%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362,941,910.90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19.46%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粤财信托安盈稳利1号集合资金信托计划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103,739,515.79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5.56%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质押式逆回购(359757)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100,054,794.50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质押式逆回购(358574)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92,046,378.08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4.94%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20国开02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91,619,309.59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4.91%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G20建城1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71,818,561.65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71,171,486.19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质押式逆回购(360183)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62,023,950.68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3.33%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21西咸02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52,059,068.50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2.79%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20浦水01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45,947,452.06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2.46%</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1,666,790,628.02</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1,666,790,628.02</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22栖霞科技MTN001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20,446,536.99</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