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半年添益2007期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半年添益2007期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TYG6M2007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Z7002221000174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2020年3月4日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3.40%-3.80%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548,152,557.59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100.17%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548,152,557.59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489,813,040.31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1.1191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1.1191</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半年添益2007期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3.87</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利率债的阶段性交易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0.28%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87.07%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7.29%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2.64%</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0.69%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89.39%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7.29%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22常高新PPN003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40,310,597.26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7.35%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23南湖投资03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40,004,677.60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7.30%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22苏州园林MTN001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30,661,775.34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5.59%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22平阳国资PPN001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30,564,493.15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5.58%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22渝隆资产PPN001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30,360,164.38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5.54%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21溧水经开PPN004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20,997,397.26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22芜湖经开MTN001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20,650,526.03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22吴中灵天MTN001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20,645,221.92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21龙口城乡PPN002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20,352,438.36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22即墨城投MTN001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20,284,328.77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嘉兴市南湖投资开发建设集团有限公司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23南湖投资03</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20230919</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40,004,677.60</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1,192,810,996.03</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489,813,040.31</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23南湖投资03</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40,000,000.00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40,000,000.00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171,092.42</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