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丰裕固收22034期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丰裕固收22034期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FYG22034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Z7002222000045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2022年6月2日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2024年6月13日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4.60%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638,534,914.23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111.38%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638,534,914.23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624,725,000.00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1.0221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1.0221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丰裕固收22034期A款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FYG22034A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1.0221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441,843,980.90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丰裕固收22034期C款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FYG22034C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1.0221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196,690,933.33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丰裕固收22034期A款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2.67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丰裕固收22034期C款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2.67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43.83%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44.78%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7.05%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4.34%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43.83%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44.78%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7.05%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22兰溪城投01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271,430,604.38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42.51%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苏银优1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50,170,000.00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7.86%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22诸暨农发01(共富)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46,982,101.44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7.36%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22吴中经发MTN001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40,863,660.27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6.40%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19青城G2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30,842,210.96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4.83%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22郑开01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29,759,753.42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4.66%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19徽商银行永续债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25,841,883.56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22鲁高01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20,429,726.03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3.20%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22高淳国资MTN002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20,360,575.34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3.19%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22家园02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19,932,876.71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3.12%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69,278,361.04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10.85%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诸暨市农村发展投资有限公司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22诸暨农发01(共富)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20240609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46,982,101.44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兰溪市城市投资集团有限公司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22兰溪城投01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20240612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271,430,604.38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624,725,000.00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624,725,000.00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