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CE259" w14:textId="77777777" w:rsidR="00704294" w:rsidRPr="00704294" w:rsidRDefault="00704294" w:rsidP="00704294">
      <w:pPr>
        <w:widowControl/>
        <w:shd w:val="clear" w:color="auto" w:fill="FFFFFF"/>
        <w:jc w:val="center"/>
        <w:rPr>
          <w:rFonts w:ascii="宋体" w:eastAsia="宋体" w:hAnsi="宋体" w:cs="宋体"/>
          <w:b/>
          <w:bCs/>
          <w:color w:val="262626"/>
          <w:kern w:val="0"/>
          <w:szCs w:val="21"/>
        </w:rPr>
      </w:pPr>
      <w:r w:rsidRPr="00704294">
        <w:rPr>
          <w:rFonts w:ascii="宋体" w:eastAsia="宋体" w:hAnsi="宋体" w:cs="宋体" w:hint="eastAsia"/>
          <w:b/>
          <w:bCs/>
          <w:color w:val="262626"/>
          <w:kern w:val="0"/>
          <w:szCs w:val="21"/>
        </w:rPr>
        <w:t>关于公布华夏理财龙盈固定收益类G款73号三个月定开理财产品下一封闭期业绩比较基准的公告</w:t>
      </w:r>
    </w:p>
    <w:p w14:paraId="1C6D0208" w14:textId="77777777" w:rsidR="00704294" w:rsidRPr="00704294" w:rsidRDefault="00704294" w:rsidP="00704294">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704294">
        <w:rPr>
          <w:rFonts w:ascii="Times New Roman" w:eastAsia="宋体" w:hAnsi="Times New Roman" w:cs="Times New Roman"/>
          <w:color w:val="666666"/>
          <w:kern w:val="0"/>
          <w:sz w:val="18"/>
          <w:szCs w:val="18"/>
        </w:rPr>
        <w:t>尊敬的投资者：</w:t>
      </w:r>
    </w:p>
    <w:p w14:paraId="1CF3B66A" w14:textId="77777777" w:rsidR="00704294" w:rsidRPr="00704294" w:rsidRDefault="00704294" w:rsidP="007042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04294">
        <w:rPr>
          <w:rFonts w:ascii="Times New Roman" w:eastAsia="宋体" w:hAnsi="Times New Roman" w:cs="Times New Roman"/>
          <w:color w:val="666666"/>
          <w:kern w:val="0"/>
          <w:sz w:val="18"/>
          <w:szCs w:val="18"/>
        </w:rPr>
        <w:t xml:space="preserve">　　自</w:t>
      </w:r>
      <w:r w:rsidRPr="00704294">
        <w:rPr>
          <w:rFonts w:ascii="Times New Roman" w:eastAsia="宋体" w:hAnsi="Times New Roman" w:cs="Times New Roman"/>
          <w:color w:val="666666"/>
          <w:kern w:val="0"/>
          <w:sz w:val="18"/>
          <w:szCs w:val="18"/>
        </w:rPr>
        <w:t>2023</w:t>
      </w:r>
      <w:r w:rsidRPr="00704294">
        <w:rPr>
          <w:rFonts w:ascii="Times New Roman" w:eastAsia="宋体" w:hAnsi="Times New Roman" w:cs="Times New Roman"/>
          <w:color w:val="666666"/>
          <w:kern w:val="0"/>
          <w:sz w:val="18"/>
          <w:szCs w:val="18"/>
        </w:rPr>
        <w:t>年</w:t>
      </w:r>
      <w:r w:rsidRPr="00704294">
        <w:rPr>
          <w:rFonts w:ascii="Times New Roman" w:eastAsia="宋体" w:hAnsi="Times New Roman" w:cs="Times New Roman"/>
          <w:color w:val="666666"/>
          <w:kern w:val="0"/>
          <w:sz w:val="18"/>
          <w:szCs w:val="18"/>
        </w:rPr>
        <w:t>2</w:t>
      </w:r>
      <w:r w:rsidRPr="00704294">
        <w:rPr>
          <w:rFonts w:ascii="Times New Roman" w:eastAsia="宋体" w:hAnsi="Times New Roman" w:cs="Times New Roman"/>
          <w:color w:val="666666"/>
          <w:kern w:val="0"/>
          <w:sz w:val="18"/>
          <w:szCs w:val="18"/>
        </w:rPr>
        <w:t>月</w:t>
      </w:r>
      <w:r w:rsidRPr="00704294">
        <w:rPr>
          <w:rFonts w:ascii="Times New Roman" w:eastAsia="宋体" w:hAnsi="Times New Roman" w:cs="Times New Roman"/>
          <w:color w:val="666666"/>
          <w:kern w:val="0"/>
          <w:sz w:val="18"/>
          <w:szCs w:val="18"/>
        </w:rPr>
        <w:t>2</w:t>
      </w:r>
      <w:r w:rsidRPr="00704294">
        <w:rPr>
          <w:rFonts w:ascii="Times New Roman" w:eastAsia="宋体" w:hAnsi="Times New Roman" w:cs="Times New Roman"/>
          <w:color w:val="666666"/>
          <w:kern w:val="0"/>
          <w:sz w:val="18"/>
          <w:szCs w:val="18"/>
        </w:rPr>
        <w:t>日起，华夏理财龙盈固定收益类</w:t>
      </w:r>
      <w:r w:rsidRPr="00704294">
        <w:rPr>
          <w:rFonts w:ascii="Times New Roman" w:eastAsia="宋体" w:hAnsi="Times New Roman" w:cs="Times New Roman"/>
          <w:color w:val="666666"/>
          <w:kern w:val="0"/>
          <w:sz w:val="18"/>
          <w:szCs w:val="18"/>
        </w:rPr>
        <w:t>G</w:t>
      </w:r>
      <w:r w:rsidRPr="00704294">
        <w:rPr>
          <w:rFonts w:ascii="Times New Roman" w:eastAsia="宋体" w:hAnsi="Times New Roman" w:cs="Times New Roman"/>
          <w:color w:val="666666"/>
          <w:kern w:val="0"/>
          <w:sz w:val="18"/>
          <w:szCs w:val="18"/>
        </w:rPr>
        <w:t>款</w:t>
      </w:r>
      <w:r w:rsidRPr="00704294">
        <w:rPr>
          <w:rFonts w:ascii="Times New Roman" w:eastAsia="宋体" w:hAnsi="Times New Roman" w:cs="Times New Roman"/>
          <w:color w:val="666666"/>
          <w:kern w:val="0"/>
          <w:sz w:val="18"/>
          <w:szCs w:val="18"/>
        </w:rPr>
        <w:t>73</w:t>
      </w:r>
      <w:r w:rsidRPr="00704294">
        <w:rPr>
          <w:rFonts w:ascii="Times New Roman" w:eastAsia="宋体" w:hAnsi="Times New Roman" w:cs="Times New Roman"/>
          <w:color w:val="666666"/>
          <w:kern w:val="0"/>
          <w:sz w:val="18"/>
          <w:szCs w:val="18"/>
        </w:rPr>
        <w:t>号三个月定开理财产品（产品代码：</w:t>
      </w:r>
      <w:r w:rsidRPr="00704294">
        <w:rPr>
          <w:rFonts w:ascii="Times New Roman" w:eastAsia="宋体" w:hAnsi="Times New Roman" w:cs="Times New Roman"/>
          <w:color w:val="666666"/>
          <w:kern w:val="0"/>
          <w:sz w:val="18"/>
          <w:szCs w:val="18"/>
        </w:rPr>
        <w:t>208212100346</w:t>
      </w:r>
      <w:r w:rsidRPr="00704294">
        <w:rPr>
          <w:rFonts w:ascii="Times New Roman" w:eastAsia="宋体" w:hAnsi="Times New Roman" w:cs="Times New Roman"/>
          <w:color w:val="666666"/>
          <w:kern w:val="0"/>
          <w:sz w:val="18"/>
          <w:szCs w:val="18"/>
        </w:rPr>
        <w:t>）将进入下一封闭期。下一封闭期的业绩比较基准为：</w:t>
      </w:r>
      <w:r w:rsidRPr="00704294">
        <w:rPr>
          <w:rFonts w:ascii="Times New Roman" w:eastAsia="宋体" w:hAnsi="Times New Roman" w:cs="Times New Roman"/>
          <w:color w:val="666666"/>
          <w:kern w:val="0"/>
          <w:sz w:val="18"/>
          <w:szCs w:val="18"/>
        </w:rPr>
        <w:t>2.80%-3.30%</w:t>
      </w:r>
      <w:r w:rsidRPr="00704294">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704294">
        <w:rPr>
          <w:rFonts w:ascii="Times New Roman" w:eastAsia="宋体" w:hAnsi="Times New Roman" w:cs="Times New Roman"/>
          <w:color w:val="666666"/>
          <w:kern w:val="0"/>
          <w:sz w:val="18"/>
          <w:szCs w:val="18"/>
        </w:rPr>
        <w:t>3.30%</w:t>
      </w:r>
      <w:r w:rsidRPr="00704294">
        <w:rPr>
          <w:rFonts w:ascii="Times New Roman" w:eastAsia="宋体" w:hAnsi="Times New Roman" w:cs="Times New Roman"/>
          <w:color w:val="666666"/>
          <w:kern w:val="0"/>
          <w:sz w:val="18"/>
          <w:szCs w:val="18"/>
        </w:rPr>
        <w:t>的部分，</w:t>
      </w:r>
      <w:r w:rsidRPr="00704294">
        <w:rPr>
          <w:rFonts w:ascii="Times New Roman" w:eastAsia="宋体" w:hAnsi="Times New Roman" w:cs="Times New Roman"/>
          <w:color w:val="666666"/>
          <w:kern w:val="0"/>
          <w:sz w:val="18"/>
          <w:szCs w:val="18"/>
        </w:rPr>
        <w:t>50%</w:t>
      </w:r>
      <w:r w:rsidRPr="00704294">
        <w:rPr>
          <w:rFonts w:ascii="Times New Roman" w:eastAsia="宋体" w:hAnsi="Times New Roman" w:cs="Times New Roman"/>
          <w:color w:val="666666"/>
          <w:kern w:val="0"/>
          <w:sz w:val="18"/>
          <w:szCs w:val="18"/>
        </w:rPr>
        <w:t>作为管理人的超额管理费。</w:t>
      </w:r>
      <w:r w:rsidRPr="00704294">
        <w:rPr>
          <w:rFonts w:ascii="Times New Roman" w:eastAsia="宋体" w:hAnsi="Times New Roman" w:cs="Times New Roman"/>
          <w:b/>
          <w:bCs/>
          <w:color w:val="666666"/>
          <w:kern w:val="0"/>
          <w:sz w:val="18"/>
          <w:szCs w:val="18"/>
        </w:rPr>
        <w:t>本理财产品为净值型产品，其业绩表现将随市场情况变化而波动，具有不确定性。该业绩比较基准不构成华夏理财有限责任公司对本理财产品的任何收益承诺。</w:t>
      </w:r>
    </w:p>
    <w:p w14:paraId="4CA9BB40" w14:textId="77777777" w:rsidR="00704294" w:rsidRPr="00704294" w:rsidRDefault="00704294" w:rsidP="007042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04294">
        <w:rPr>
          <w:rFonts w:ascii="Times New Roman" w:eastAsia="宋体" w:hAnsi="Times New Roman" w:cs="Times New Roman"/>
          <w:color w:val="666666"/>
          <w:kern w:val="0"/>
          <w:sz w:val="18"/>
          <w:szCs w:val="18"/>
        </w:rPr>
        <w:t xml:space="preserve">　　若本理财产品的投资者不接受上述公告内容，请于</w:t>
      </w:r>
      <w:r w:rsidRPr="00704294">
        <w:rPr>
          <w:rFonts w:ascii="Times New Roman" w:eastAsia="宋体" w:hAnsi="Times New Roman" w:cs="Times New Roman"/>
          <w:color w:val="666666"/>
          <w:kern w:val="0"/>
          <w:sz w:val="18"/>
          <w:szCs w:val="18"/>
        </w:rPr>
        <w:t>2023</w:t>
      </w:r>
      <w:r w:rsidRPr="00704294">
        <w:rPr>
          <w:rFonts w:ascii="Times New Roman" w:eastAsia="宋体" w:hAnsi="Times New Roman" w:cs="Times New Roman"/>
          <w:color w:val="666666"/>
          <w:kern w:val="0"/>
          <w:sz w:val="18"/>
          <w:szCs w:val="18"/>
        </w:rPr>
        <w:t>年</w:t>
      </w:r>
      <w:r w:rsidRPr="00704294">
        <w:rPr>
          <w:rFonts w:ascii="Times New Roman" w:eastAsia="宋体" w:hAnsi="Times New Roman" w:cs="Times New Roman"/>
          <w:color w:val="666666"/>
          <w:kern w:val="0"/>
          <w:sz w:val="18"/>
          <w:szCs w:val="18"/>
        </w:rPr>
        <w:t>1</w:t>
      </w:r>
      <w:r w:rsidRPr="00704294">
        <w:rPr>
          <w:rFonts w:ascii="Times New Roman" w:eastAsia="宋体" w:hAnsi="Times New Roman" w:cs="Times New Roman"/>
          <w:color w:val="666666"/>
          <w:kern w:val="0"/>
          <w:sz w:val="18"/>
          <w:szCs w:val="18"/>
        </w:rPr>
        <w:t>月</w:t>
      </w:r>
      <w:r w:rsidRPr="00704294">
        <w:rPr>
          <w:rFonts w:ascii="Times New Roman" w:eastAsia="宋体" w:hAnsi="Times New Roman" w:cs="Times New Roman"/>
          <w:color w:val="666666"/>
          <w:kern w:val="0"/>
          <w:sz w:val="18"/>
          <w:szCs w:val="18"/>
        </w:rPr>
        <w:t>30</w:t>
      </w:r>
      <w:r w:rsidRPr="00704294">
        <w:rPr>
          <w:rFonts w:ascii="Times New Roman" w:eastAsia="宋体" w:hAnsi="Times New Roman" w:cs="Times New Roman"/>
          <w:color w:val="666666"/>
          <w:kern w:val="0"/>
          <w:sz w:val="18"/>
          <w:szCs w:val="18"/>
        </w:rPr>
        <w:t>日至</w:t>
      </w:r>
      <w:r w:rsidRPr="00704294">
        <w:rPr>
          <w:rFonts w:ascii="Times New Roman" w:eastAsia="宋体" w:hAnsi="Times New Roman" w:cs="Times New Roman"/>
          <w:color w:val="666666"/>
          <w:kern w:val="0"/>
          <w:sz w:val="18"/>
          <w:szCs w:val="18"/>
        </w:rPr>
        <w:t>2023</w:t>
      </w:r>
      <w:r w:rsidRPr="00704294">
        <w:rPr>
          <w:rFonts w:ascii="Times New Roman" w:eastAsia="宋体" w:hAnsi="Times New Roman" w:cs="Times New Roman"/>
          <w:color w:val="666666"/>
          <w:kern w:val="0"/>
          <w:sz w:val="18"/>
          <w:szCs w:val="18"/>
        </w:rPr>
        <w:t>年</w:t>
      </w:r>
      <w:r w:rsidRPr="00704294">
        <w:rPr>
          <w:rFonts w:ascii="Times New Roman" w:eastAsia="宋体" w:hAnsi="Times New Roman" w:cs="Times New Roman"/>
          <w:color w:val="666666"/>
          <w:kern w:val="0"/>
          <w:sz w:val="18"/>
          <w:szCs w:val="18"/>
        </w:rPr>
        <w:t>2</w:t>
      </w:r>
      <w:r w:rsidRPr="00704294">
        <w:rPr>
          <w:rFonts w:ascii="Times New Roman" w:eastAsia="宋体" w:hAnsi="Times New Roman" w:cs="Times New Roman"/>
          <w:color w:val="666666"/>
          <w:kern w:val="0"/>
          <w:sz w:val="18"/>
          <w:szCs w:val="18"/>
        </w:rPr>
        <w:t>月</w:t>
      </w:r>
      <w:r w:rsidRPr="00704294">
        <w:rPr>
          <w:rFonts w:ascii="Times New Roman" w:eastAsia="宋体" w:hAnsi="Times New Roman" w:cs="Times New Roman"/>
          <w:color w:val="666666"/>
          <w:kern w:val="0"/>
          <w:sz w:val="18"/>
          <w:szCs w:val="18"/>
        </w:rPr>
        <w:t>1</w:t>
      </w:r>
      <w:r w:rsidRPr="00704294">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26816FAD" w14:textId="77777777" w:rsidR="00704294" w:rsidRPr="00704294" w:rsidRDefault="00704294" w:rsidP="007042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04294">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4EA60921" w14:textId="77777777" w:rsidR="00704294" w:rsidRPr="00704294" w:rsidRDefault="00704294" w:rsidP="00704294">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04294">
        <w:rPr>
          <w:rFonts w:ascii="Times New Roman" w:eastAsia="宋体" w:hAnsi="Times New Roman" w:cs="Times New Roman"/>
          <w:color w:val="666666"/>
          <w:kern w:val="0"/>
          <w:sz w:val="18"/>
          <w:szCs w:val="18"/>
        </w:rPr>
        <w:t> </w:t>
      </w:r>
    </w:p>
    <w:p w14:paraId="52B90331" w14:textId="77777777" w:rsidR="00704294" w:rsidRPr="00704294" w:rsidRDefault="00704294" w:rsidP="00704294">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704294">
        <w:rPr>
          <w:rFonts w:ascii="Times New Roman" w:eastAsia="宋体" w:hAnsi="Times New Roman" w:cs="Times New Roman"/>
          <w:color w:val="666666"/>
          <w:kern w:val="0"/>
          <w:sz w:val="18"/>
          <w:szCs w:val="18"/>
        </w:rPr>
        <w:t xml:space="preserve">　　华夏理财有限责任公司</w:t>
      </w:r>
    </w:p>
    <w:p w14:paraId="1EBC3E3A" w14:textId="77777777" w:rsidR="00704294" w:rsidRPr="00704294" w:rsidRDefault="00704294" w:rsidP="00704294">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704294">
        <w:rPr>
          <w:rFonts w:ascii="Times New Roman" w:eastAsia="宋体" w:hAnsi="Times New Roman" w:cs="Times New Roman"/>
          <w:color w:val="666666"/>
          <w:kern w:val="0"/>
          <w:sz w:val="18"/>
          <w:szCs w:val="18"/>
        </w:rPr>
        <w:t xml:space="preserve">　　</w:t>
      </w:r>
      <w:r w:rsidRPr="00704294">
        <w:rPr>
          <w:rFonts w:ascii="Times New Roman" w:eastAsia="宋体" w:hAnsi="Times New Roman" w:cs="Times New Roman"/>
          <w:color w:val="666666"/>
          <w:kern w:val="0"/>
          <w:sz w:val="18"/>
          <w:szCs w:val="18"/>
        </w:rPr>
        <w:t>2023</w:t>
      </w:r>
      <w:r w:rsidRPr="00704294">
        <w:rPr>
          <w:rFonts w:ascii="Times New Roman" w:eastAsia="宋体" w:hAnsi="Times New Roman" w:cs="Times New Roman"/>
          <w:color w:val="666666"/>
          <w:kern w:val="0"/>
          <w:sz w:val="18"/>
          <w:szCs w:val="18"/>
        </w:rPr>
        <w:t>年</w:t>
      </w:r>
      <w:r w:rsidRPr="00704294">
        <w:rPr>
          <w:rFonts w:ascii="Times New Roman" w:eastAsia="宋体" w:hAnsi="Times New Roman" w:cs="Times New Roman"/>
          <w:color w:val="666666"/>
          <w:kern w:val="0"/>
          <w:sz w:val="18"/>
          <w:szCs w:val="18"/>
        </w:rPr>
        <w:t>1</w:t>
      </w:r>
      <w:r w:rsidRPr="00704294">
        <w:rPr>
          <w:rFonts w:ascii="Times New Roman" w:eastAsia="宋体" w:hAnsi="Times New Roman" w:cs="Times New Roman"/>
          <w:color w:val="666666"/>
          <w:kern w:val="0"/>
          <w:sz w:val="18"/>
          <w:szCs w:val="18"/>
        </w:rPr>
        <w:t>月</w:t>
      </w:r>
      <w:r w:rsidRPr="00704294">
        <w:rPr>
          <w:rFonts w:ascii="Times New Roman" w:eastAsia="宋体" w:hAnsi="Times New Roman" w:cs="Times New Roman"/>
          <w:color w:val="666666"/>
          <w:kern w:val="0"/>
          <w:sz w:val="18"/>
          <w:szCs w:val="18"/>
        </w:rPr>
        <w:t>17</w:t>
      </w:r>
      <w:r w:rsidRPr="00704294">
        <w:rPr>
          <w:rFonts w:ascii="Times New Roman" w:eastAsia="宋体" w:hAnsi="Times New Roman" w:cs="Times New Roman"/>
          <w:color w:val="666666"/>
          <w:kern w:val="0"/>
          <w:sz w:val="18"/>
          <w:szCs w:val="18"/>
        </w:rPr>
        <w:t>日</w:t>
      </w:r>
    </w:p>
    <w:p w14:paraId="24EE3EE2" w14:textId="77777777" w:rsidR="00EE0B00" w:rsidRDefault="00EE0B00"/>
    <w:sectPr w:rsidR="00EE0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00"/>
    <w:rsid w:val="00704294"/>
    <w:rsid w:val="00EE0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C4FE0-E6E4-43C7-82AB-A51A347E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29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42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062974">
      <w:bodyDiv w:val="1"/>
      <w:marLeft w:val="0"/>
      <w:marRight w:val="0"/>
      <w:marTop w:val="0"/>
      <w:marBottom w:val="0"/>
      <w:divBdr>
        <w:top w:val="none" w:sz="0" w:space="0" w:color="auto"/>
        <w:left w:val="none" w:sz="0" w:space="0" w:color="auto"/>
        <w:bottom w:val="none" w:sz="0" w:space="0" w:color="auto"/>
        <w:right w:val="none" w:sz="0" w:space="0" w:color="auto"/>
      </w:divBdr>
      <w:divsChild>
        <w:div w:id="892692662">
          <w:marLeft w:val="0"/>
          <w:marRight w:val="0"/>
          <w:marTop w:val="0"/>
          <w:marBottom w:val="450"/>
          <w:divBdr>
            <w:top w:val="dotted" w:sz="6" w:space="0" w:color="000000"/>
            <w:left w:val="none" w:sz="0" w:space="0" w:color="auto"/>
            <w:bottom w:val="none" w:sz="0" w:space="0" w:color="auto"/>
            <w:right w:val="none" w:sz="0" w:space="0" w:color="auto"/>
          </w:divBdr>
        </w:div>
        <w:div w:id="107245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2023-01-20T08:40:00Z</dcterms:created>
  <dcterms:modified xsi:type="dcterms:W3CDTF">2023-01-20T08:40:00Z</dcterms:modified>
</cp:coreProperties>
</file>