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0CD2" w14:textId="77777777" w:rsidR="0072113B" w:rsidRPr="0072113B" w:rsidRDefault="0072113B" w:rsidP="0072113B">
      <w:pPr>
        <w:widowControl/>
        <w:shd w:val="clear" w:color="auto" w:fill="FFFFFF"/>
        <w:jc w:val="center"/>
        <w:rPr>
          <w:rFonts w:ascii="宋体" w:eastAsia="宋体" w:hAnsi="宋体" w:cs="宋体"/>
          <w:b/>
          <w:bCs/>
          <w:color w:val="262626"/>
          <w:kern w:val="0"/>
          <w:szCs w:val="21"/>
        </w:rPr>
      </w:pPr>
      <w:r w:rsidRPr="0072113B">
        <w:rPr>
          <w:rFonts w:ascii="宋体" w:eastAsia="宋体" w:hAnsi="宋体" w:cs="宋体" w:hint="eastAsia"/>
          <w:b/>
          <w:bCs/>
          <w:color w:val="262626"/>
          <w:kern w:val="0"/>
          <w:szCs w:val="21"/>
        </w:rPr>
        <w:t>关于调整华夏理财</w:t>
      </w:r>
      <w:proofErr w:type="gramStart"/>
      <w:r w:rsidRPr="0072113B">
        <w:rPr>
          <w:rFonts w:ascii="宋体" w:eastAsia="宋体" w:hAnsi="宋体" w:cs="宋体" w:hint="eastAsia"/>
          <w:b/>
          <w:bCs/>
          <w:color w:val="262626"/>
          <w:kern w:val="0"/>
          <w:szCs w:val="21"/>
        </w:rPr>
        <w:t>龙盈固定</w:t>
      </w:r>
      <w:proofErr w:type="gramEnd"/>
      <w:r w:rsidRPr="0072113B">
        <w:rPr>
          <w:rFonts w:ascii="宋体" w:eastAsia="宋体" w:hAnsi="宋体" w:cs="宋体" w:hint="eastAsia"/>
          <w:b/>
          <w:bCs/>
          <w:color w:val="262626"/>
          <w:kern w:val="0"/>
          <w:szCs w:val="21"/>
        </w:rPr>
        <w:t>收益类增强型理财产品1号说明书相关条款并公布下一封闭</w:t>
      </w:r>
      <w:proofErr w:type="gramStart"/>
      <w:r w:rsidRPr="0072113B">
        <w:rPr>
          <w:rFonts w:ascii="宋体" w:eastAsia="宋体" w:hAnsi="宋体" w:cs="宋体" w:hint="eastAsia"/>
          <w:b/>
          <w:bCs/>
          <w:color w:val="262626"/>
          <w:kern w:val="0"/>
          <w:szCs w:val="21"/>
        </w:rPr>
        <w:t>期业绩</w:t>
      </w:r>
      <w:proofErr w:type="gramEnd"/>
      <w:r w:rsidRPr="0072113B">
        <w:rPr>
          <w:rFonts w:ascii="宋体" w:eastAsia="宋体" w:hAnsi="宋体" w:cs="宋体" w:hint="eastAsia"/>
          <w:b/>
          <w:bCs/>
          <w:color w:val="262626"/>
          <w:kern w:val="0"/>
          <w:szCs w:val="21"/>
        </w:rPr>
        <w:t>基准的公告</w:t>
      </w:r>
    </w:p>
    <w:p w14:paraId="72E9A44F" w14:textId="77777777" w:rsidR="0072113B" w:rsidRPr="0072113B" w:rsidRDefault="0072113B" w:rsidP="0072113B">
      <w:pPr>
        <w:widowControl/>
        <w:shd w:val="clear" w:color="auto" w:fill="F4F4F4"/>
        <w:jc w:val="center"/>
        <w:rPr>
          <w:rFonts w:ascii="宋体" w:eastAsia="宋体" w:hAnsi="宋体" w:cs="宋体" w:hint="eastAsia"/>
          <w:color w:val="666666"/>
          <w:kern w:val="0"/>
          <w:sz w:val="18"/>
          <w:szCs w:val="18"/>
        </w:rPr>
      </w:pPr>
      <w:r w:rsidRPr="0072113B">
        <w:rPr>
          <w:rFonts w:ascii="宋体" w:eastAsia="宋体" w:hAnsi="宋体" w:cs="宋体" w:hint="eastAsia"/>
          <w:color w:val="666666"/>
          <w:kern w:val="0"/>
          <w:sz w:val="18"/>
          <w:szCs w:val="18"/>
        </w:rPr>
        <w:t>发布时间：2022-10-24</w:t>
      </w:r>
    </w:p>
    <w:p w14:paraId="08516A9B"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72113B">
        <w:rPr>
          <w:rFonts w:ascii="Times New Roman" w:eastAsia="宋体" w:hAnsi="Times New Roman" w:cs="Times New Roman"/>
          <w:color w:val="666666"/>
          <w:kern w:val="0"/>
          <w:sz w:val="18"/>
          <w:szCs w:val="18"/>
        </w:rPr>
        <w:t>尊敬的投资者：</w:t>
      </w:r>
    </w:p>
    <w:p w14:paraId="3673722F"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自</w:t>
      </w:r>
      <w:r w:rsidRPr="0072113B">
        <w:rPr>
          <w:rFonts w:ascii="Times New Roman" w:eastAsia="宋体" w:hAnsi="Times New Roman" w:cs="Times New Roman"/>
          <w:color w:val="666666"/>
          <w:kern w:val="0"/>
          <w:sz w:val="18"/>
          <w:szCs w:val="18"/>
        </w:rPr>
        <w:t>2022</w:t>
      </w:r>
      <w:r w:rsidRPr="0072113B">
        <w:rPr>
          <w:rFonts w:ascii="Times New Roman" w:eastAsia="宋体" w:hAnsi="Times New Roman" w:cs="Times New Roman"/>
          <w:color w:val="666666"/>
          <w:kern w:val="0"/>
          <w:sz w:val="18"/>
          <w:szCs w:val="18"/>
        </w:rPr>
        <w:t>年</w:t>
      </w:r>
      <w:r w:rsidRPr="0072113B">
        <w:rPr>
          <w:rFonts w:ascii="Times New Roman" w:eastAsia="宋体" w:hAnsi="Times New Roman" w:cs="Times New Roman"/>
          <w:color w:val="666666"/>
          <w:kern w:val="0"/>
          <w:sz w:val="18"/>
          <w:szCs w:val="18"/>
        </w:rPr>
        <w:t>11</w:t>
      </w:r>
      <w:r w:rsidRPr="0072113B">
        <w:rPr>
          <w:rFonts w:ascii="Times New Roman" w:eastAsia="宋体" w:hAnsi="Times New Roman" w:cs="Times New Roman"/>
          <w:color w:val="666666"/>
          <w:kern w:val="0"/>
          <w:sz w:val="18"/>
          <w:szCs w:val="18"/>
        </w:rPr>
        <w:t>月</w:t>
      </w:r>
      <w:r w:rsidRPr="0072113B">
        <w:rPr>
          <w:rFonts w:ascii="Times New Roman" w:eastAsia="宋体" w:hAnsi="Times New Roman" w:cs="Times New Roman"/>
          <w:color w:val="666666"/>
          <w:kern w:val="0"/>
          <w:sz w:val="18"/>
          <w:szCs w:val="18"/>
        </w:rPr>
        <w:t>5</w:t>
      </w:r>
      <w:r w:rsidRPr="0072113B">
        <w:rPr>
          <w:rFonts w:ascii="Times New Roman" w:eastAsia="宋体" w:hAnsi="Times New Roman" w:cs="Times New Roman"/>
          <w:color w:val="666666"/>
          <w:kern w:val="0"/>
          <w:sz w:val="18"/>
          <w:szCs w:val="18"/>
        </w:rPr>
        <w:t>日起，华夏理财</w:t>
      </w:r>
      <w:proofErr w:type="gramStart"/>
      <w:r w:rsidRPr="0072113B">
        <w:rPr>
          <w:rFonts w:ascii="Times New Roman" w:eastAsia="宋体" w:hAnsi="Times New Roman" w:cs="Times New Roman"/>
          <w:color w:val="666666"/>
          <w:kern w:val="0"/>
          <w:sz w:val="18"/>
          <w:szCs w:val="18"/>
        </w:rPr>
        <w:t>龙盈固定</w:t>
      </w:r>
      <w:proofErr w:type="gramEnd"/>
      <w:r w:rsidRPr="0072113B">
        <w:rPr>
          <w:rFonts w:ascii="Times New Roman" w:eastAsia="宋体" w:hAnsi="Times New Roman" w:cs="Times New Roman"/>
          <w:color w:val="666666"/>
          <w:kern w:val="0"/>
          <w:sz w:val="18"/>
          <w:szCs w:val="18"/>
        </w:rPr>
        <w:t>收益类增强型理财产品</w:t>
      </w:r>
      <w:r w:rsidRPr="0072113B">
        <w:rPr>
          <w:rFonts w:ascii="Times New Roman" w:eastAsia="宋体" w:hAnsi="Times New Roman" w:cs="Times New Roman"/>
          <w:color w:val="666666"/>
          <w:kern w:val="0"/>
          <w:sz w:val="18"/>
          <w:szCs w:val="18"/>
        </w:rPr>
        <w:t>1</w:t>
      </w:r>
      <w:r w:rsidRPr="0072113B">
        <w:rPr>
          <w:rFonts w:ascii="Times New Roman" w:eastAsia="宋体" w:hAnsi="Times New Roman" w:cs="Times New Roman"/>
          <w:color w:val="666666"/>
          <w:kern w:val="0"/>
          <w:sz w:val="18"/>
          <w:szCs w:val="18"/>
        </w:rPr>
        <w:t>号（产品代码：</w:t>
      </w:r>
      <w:r w:rsidRPr="0072113B">
        <w:rPr>
          <w:rFonts w:ascii="Times New Roman" w:eastAsia="宋体" w:hAnsi="Times New Roman" w:cs="Times New Roman"/>
          <w:color w:val="666666"/>
          <w:kern w:val="0"/>
          <w:sz w:val="18"/>
          <w:szCs w:val="18"/>
        </w:rPr>
        <w:t>1912121000201</w:t>
      </w:r>
      <w:r w:rsidRPr="0072113B">
        <w:rPr>
          <w:rFonts w:ascii="Times New Roman" w:eastAsia="宋体" w:hAnsi="Times New Roman" w:cs="Times New Roman"/>
          <w:color w:val="666666"/>
          <w:kern w:val="0"/>
          <w:sz w:val="18"/>
          <w:szCs w:val="18"/>
        </w:rPr>
        <w:t>）将进入下一封闭期。下一封闭期的业绩比较基准为：</w:t>
      </w:r>
      <w:r w:rsidRPr="0072113B">
        <w:rPr>
          <w:rFonts w:ascii="Times New Roman" w:eastAsia="宋体" w:hAnsi="Times New Roman" w:cs="Times New Roman"/>
          <w:color w:val="666666"/>
          <w:kern w:val="0"/>
          <w:sz w:val="18"/>
          <w:szCs w:val="18"/>
        </w:rPr>
        <w:t>2.90%-3.50%</w:t>
      </w:r>
      <w:r w:rsidRPr="0072113B">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72113B">
        <w:rPr>
          <w:rFonts w:ascii="Times New Roman" w:eastAsia="宋体" w:hAnsi="Times New Roman" w:cs="Times New Roman"/>
          <w:color w:val="666666"/>
          <w:kern w:val="0"/>
          <w:sz w:val="18"/>
          <w:szCs w:val="18"/>
        </w:rPr>
        <w:t>的年化收益率</w:t>
      </w:r>
      <w:proofErr w:type="gramEnd"/>
      <w:r w:rsidRPr="0072113B">
        <w:rPr>
          <w:rFonts w:ascii="Times New Roman" w:eastAsia="宋体" w:hAnsi="Times New Roman" w:cs="Times New Roman"/>
          <w:color w:val="666666"/>
          <w:kern w:val="0"/>
          <w:sz w:val="18"/>
          <w:szCs w:val="18"/>
        </w:rPr>
        <w:t>超过</w:t>
      </w:r>
      <w:r w:rsidRPr="0072113B">
        <w:rPr>
          <w:rFonts w:ascii="Times New Roman" w:eastAsia="宋体" w:hAnsi="Times New Roman" w:cs="Times New Roman"/>
          <w:color w:val="666666"/>
          <w:kern w:val="0"/>
          <w:sz w:val="18"/>
          <w:szCs w:val="18"/>
        </w:rPr>
        <w:t>3.50%</w:t>
      </w:r>
      <w:r w:rsidRPr="0072113B">
        <w:rPr>
          <w:rFonts w:ascii="Times New Roman" w:eastAsia="宋体" w:hAnsi="Times New Roman" w:cs="Times New Roman"/>
          <w:color w:val="666666"/>
          <w:kern w:val="0"/>
          <w:sz w:val="18"/>
          <w:szCs w:val="18"/>
        </w:rPr>
        <w:t>的部分，</w:t>
      </w:r>
      <w:r w:rsidRPr="0072113B">
        <w:rPr>
          <w:rFonts w:ascii="Times New Roman" w:eastAsia="宋体" w:hAnsi="Times New Roman" w:cs="Times New Roman"/>
          <w:color w:val="666666"/>
          <w:kern w:val="0"/>
          <w:sz w:val="18"/>
          <w:szCs w:val="18"/>
        </w:rPr>
        <w:t>50%</w:t>
      </w:r>
      <w:r w:rsidRPr="0072113B">
        <w:rPr>
          <w:rFonts w:ascii="Times New Roman" w:eastAsia="宋体" w:hAnsi="Times New Roman" w:cs="Times New Roman"/>
          <w:color w:val="666666"/>
          <w:kern w:val="0"/>
          <w:sz w:val="18"/>
          <w:szCs w:val="18"/>
        </w:rPr>
        <w:t>作为管理人的超额管理费。</w:t>
      </w:r>
      <w:r w:rsidRPr="0072113B">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72113B">
        <w:rPr>
          <w:rFonts w:ascii="Times New Roman" w:eastAsia="宋体" w:hAnsi="Times New Roman" w:cs="Times New Roman"/>
          <w:b/>
          <w:bCs/>
          <w:color w:val="666666"/>
          <w:kern w:val="0"/>
          <w:sz w:val="18"/>
          <w:szCs w:val="18"/>
        </w:rPr>
        <w:t>该业绩</w:t>
      </w:r>
      <w:proofErr w:type="gramEnd"/>
      <w:r w:rsidRPr="0072113B">
        <w:rPr>
          <w:rFonts w:ascii="Times New Roman" w:eastAsia="宋体" w:hAnsi="Times New Roman" w:cs="Times New Roman"/>
          <w:b/>
          <w:bCs/>
          <w:color w:val="666666"/>
          <w:kern w:val="0"/>
          <w:sz w:val="18"/>
          <w:szCs w:val="18"/>
        </w:rPr>
        <w:t>比较基准不构成华夏理财有限责任公司对本理财产品的任何收益承诺。</w:t>
      </w:r>
    </w:p>
    <w:p w14:paraId="05F03F8F"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自</w:t>
      </w:r>
      <w:r w:rsidRPr="0072113B">
        <w:rPr>
          <w:rFonts w:ascii="Times New Roman" w:eastAsia="宋体" w:hAnsi="Times New Roman" w:cs="Times New Roman"/>
          <w:color w:val="666666"/>
          <w:kern w:val="0"/>
          <w:sz w:val="18"/>
          <w:szCs w:val="18"/>
        </w:rPr>
        <w:t>2022</w:t>
      </w:r>
      <w:r w:rsidRPr="0072113B">
        <w:rPr>
          <w:rFonts w:ascii="Times New Roman" w:eastAsia="宋体" w:hAnsi="Times New Roman" w:cs="Times New Roman"/>
          <w:color w:val="666666"/>
          <w:kern w:val="0"/>
          <w:sz w:val="18"/>
          <w:szCs w:val="18"/>
        </w:rPr>
        <w:t>年</w:t>
      </w:r>
      <w:r w:rsidRPr="0072113B">
        <w:rPr>
          <w:rFonts w:ascii="Times New Roman" w:eastAsia="宋体" w:hAnsi="Times New Roman" w:cs="Times New Roman"/>
          <w:color w:val="666666"/>
          <w:kern w:val="0"/>
          <w:sz w:val="18"/>
          <w:szCs w:val="18"/>
        </w:rPr>
        <w:t>11</w:t>
      </w:r>
      <w:r w:rsidRPr="0072113B">
        <w:rPr>
          <w:rFonts w:ascii="Times New Roman" w:eastAsia="宋体" w:hAnsi="Times New Roman" w:cs="Times New Roman"/>
          <w:color w:val="666666"/>
          <w:kern w:val="0"/>
          <w:sz w:val="18"/>
          <w:szCs w:val="18"/>
        </w:rPr>
        <w:t>月</w:t>
      </w:r>
      <w:r w:rsidRPr="0072113B">
        <w:rPr>
          <w:rFonts w:ascii="Times New Roman" w:eastAsia="宋体" w:hAnsi="Times New Roman" w:cs="Times New Roman"/>
          <w:color w:val="666666"/>
          <w:kern w:val="0"/>
          <w:sz w:val="18"/>
          <w:szCs w:val="18"/>
        </w:rPr>
        <w:t>5</w:t>
      </w:r>
      <w:r w:rsidRPr="0072113B">
        <w:rPr>
          <w:rFonts w:ascii="Times New Roman" w:eastAsia="宋体" w:hAnsi="Times New Roman" w:cs="Times New Roman"/>
          <w:color w:val="666666"/>
          <w:kern w:val="0"/>
          <w:sz w:val="18"/>
          <w:szCs w:val="18"/>
        </w:rPr>
        <w:t>日起，本产品将对说明书部分条款进行更新，主要调整内容包括：</w:t>
      </w:r>
    </w:p>
    <w:p w14:paraId="6CC2F330"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1</w:t>
      </w:r>
      <w:r w:rsidRPr="0072113B">
        <w:rPr>
          <w:rFonts w:ascii="Times New Roman" w:eastAsia="宋体" w:hAnsi="Times New Roman" w:cs="Times New Roman"/>
          <w:color w:val="666666"/>
          <w:kern w:val="0"/>
          <w:sz w:val="18"/>
          <w:szCs w:val="18"/>
        </w:rPr>
        <w:t>、修订在华夏理财直销渠道的认（申）</w:t>
      </w:r>
      <w:proofErr w:type="gramStart"/>
      <w:r w:rsidRPr="0072113B">
        <w:rPr>
          <w:rFonts w:ascii="Times New Roman" w:eastAsia="宋体" w:hAnsi="Times New Roman" w:cs="Times New Roman"/>
          <w:color w:val="666666"/>
          <w:kern w:val="0"/>
          <w:sz w:val="18"/>
          <w:szCs w:val="18"/>
        </w:rPr>
        <w:t>购交易</w:t>
      </w:r>
      <w:proofErr w:type="gramEnd"/>
      <w:r w:rsidRPr="0072113B">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72113B">
        <w:rPr>
          <w:rFonts w:ascii="Times New Roman" w:eastAsia="宋体" w:hAnsi="Times New Roman" w:cs="Times New Roman"/>
          <w:color w:val="666666"/>
          <w:kern w:val="0"/>
          <w:sz w:val="18"/>
          <w:szCs w:val="18"/>
        </w:rPr>
        <w:t>2</w:t>
      </w:r>
      <w:r w:rsidRPr="0072113B">
        <w:rPr>
          <w:rFonts w:ascii="Times New Roman" w:eastAsia="宋体" w:hAnsi="Times New Roman" w:cs="Times New Roman"/>
          <w:color w:val="666666"/>
          <w:kern w:val="0"/>
          <w:sz w:val="18"/>
          <w:szCs w:val="18"/>
        </w:rPr>
        <w:t>个工作日内到账。</w:t>
      </w:r>
    </w:p>
    <w:p w14:paraId="0DF87905"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2</w:t>
      </w:r>
      <w:r w:rsidRPr="0072113B">
        <w:rPr>
          <w:rFonts w:ascii="Times New Roman" w:eastAsia="宋体" w:hAnsi="Times New Roman" w:cs="Times New Roman"/>
          <w:color w:val="666666"/>
          <w:kern w:val="0"/>
          <w:sz w:val="18"/>
          <w:szCs w:val="18"/>
        </w:rPr>
        <w:t>、修订《产品说明书》</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二、投资对象</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中的部分条款，包括：根据监管要求，将</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本理财产品管理人应当在所投资的流动性受限资产可出售、可转让或者恢复交易的</w:t>
      </w:r>
      <w:r w:rsidRPr="0072113B">
        <w:rPr>
          <w:rFonts w:ascii="Times New Roman" w:eastAsia="宋体" w:hAnsi="Times New Roman" w:cs="Times New Roman"/>
          <w:color w:val="666666"/>
          <w:kern w:val="0"/>
          <w:sz w:val="18"/>
          <w:szCs w:val="18"/>
        </w:rPr>
        <w:t>10</w:t>
      </w:r>
      <w:r w:rsidRPr="0072113B">
        <w:rPr>
          <w:rFonts w:ascii="Times New Roman" w:eastAsia="宋体" w:hAnsi="Times New Roman" w:cs="Times New Roman"/>
          <w:color w:val="666666"/>
          <w:kern w:val="0"/>
          <w:sz w:val="18"/>
          <w:szCs w:val="18"/>
        </w:rPr>
        <w:t>个工作日内将本理财产品调整至上述投资比例内</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调整为</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管理人应当在所投资的流动性受限资产可出售、可转让或者恢复交易的</w:t>
      </w:r>
      <w:r w:rsidRPr="0072113B">
        <w:rPr>
          <w:rFonts w:ascii="Times New Roman" w:eastAsia="宋体" w:hAnsi="Times New Roman" w:cs="Times New Roman"/>
          <w:color w:val="666666"/>
          <w:kern w:val="0"/>
          <w:sz w:val="18"/>
          <w:szCs w:val="18"/>
        </w:rPr>
        <w:t>15</w:t>
      </w:r>
      <w:r w:rsidRPr="0072113B">
        <w:rPr>
          <w:rFonts w:ascii="Times New Roman" w:eastAsia="宋体" w:hAnsi="Times New Roman" w:cs="Times New Roman"/>
          <w:color w:val="666666"/>
          <w:kern w:val="0"/>
          <w:sz w:val="18"/>
          <w:szCs w:val="18"/>
        </w:rPr>
        <w:t>个工作日内将本理财产品所投资资产调整至上述投资比例范围内</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；增加</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流动性受限资产</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的定义。</w:t>
      </w:r>
    </w:p>
    <w:p w14:paraId="10475C9B"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3</w:t>
      </w:r>
      <w:r w:rsidRPr="0072113B">
        <w:rPr>
          <w:rFonts w:ascii="Times New Roman" w:eastAsia="宋体" w:hAnsi="Times New Roman" w:cs="Times New Roman"/>
          <w:color w:val="666666"/>
          <w:kern w:val="0"/>
          <w:sz w:val="18"/>
          <w:szCs w:val="18"/>
        </w:rPr>
        <w:t>、修订《产品说明书》</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五、认购、申购、赎回</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中的部分条款，包括：增加</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拒绝或暂停认（申）购的情形</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；增加</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暂停赎回或延缓支付赎回款项的情形</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；以及其他内容。</w:t>
      </w:r>
    </w:p>
    <w:p w14:paraId="1CB86B18"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4</w:t>
      </w:r>
      <w:r w:rsidRPr="0072113B">
        <w:rPr>
          <w:rFonts w:ascii="Times New Roman" w:eastAsia="宋体" w:hAnsi="Times New Roman" w:cs="Times New Roman"/>
          <w:color w:val="666666"/>
          <w:kern w:val="0"/>
          <w:sz w:val="18"/>
          <w:szCs w:val="18"/>
        </w:rPr>
        <w:t>、修订《产品说明书》</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七、理财产品估值</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中的部分条款，包括：增加估值原则条款；增加估值错误的处理规则；以及其他内容。</w:t>
      </w:r>
    </w:p>
    <w:p w14:paraId="69F147D1"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5</w:t>
      </w:r>
      <w:r w:rsidRPr="0072113B">
        <w:rPr>
          <w:rFonts w:ascii="Times New Roman" w:eastAsia="宋体" w:hAnsi="Times New Roman" w:cs="Times New Roman"/>
          <w:color w:val="666666"/>
          <w:kern w:val="0"/>
          <w:sz w:val="18"/>
          <w:szCs w:val="18"/>
        </w:rPr>
        <w:t>、修订《产品说明书》</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九、信息披露</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；以及其他内容。</w:t>
      </w:r>
    </w:p>
    <w:p w14:paraId="685CFD6E"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6</w:t>
      </w:r>
      <w:r w:rsidRPr="0072113B">
        <w:rPr>
          <w:rFonts w:ascii="Times New Roman" w:eastAsia="宋体" w:hAnsi="Times New Roman" w:cs="Times New Roman"/>
          <w:color w:val="666666"/>
          <w:kern w:val="0"/>
          <w:sz w:val="18"/>
          <w:szCs w:val="18"/>
        </w:rPr>
        <w:t>、将</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业绩基准</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调整为</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业绩比较基准</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w:t>
      </w:r>
    </w:p>
    <w:p w14:paraId="5273635D"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7</w:t>
      </w:r>
      <w:r w:rsidRPr="0072113B">
        <w:rPr>
          <w:rFonts w:ascii="Times New Roman" w:eastAsia="宋体" w:hAnsi="Times New Roman" w:cs="Times New Roman"/>
          <w:color w:val="666666"/>
          <w:kern w:val="0"/>
          <w:sz w:val="18"/>
          <w:szCs w:val="18"/>
        </w:rPr>
        <w:t>、增加</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托管费</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销售手续费</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固定管理费</w:t>
      </w:r>
      <w:r w:rsidRPr="0072113B">
        <w:rPr>
          <w:rFonts w:ascii="Times New Roman" w:eastAsia="宋体" w:hAnsi="Times New Roman" w:cs="Times New Roman"/>
          <w:color w:val="666666"/>
          <w:kern w:val="0"/>
          <w:sz w:val="18"/>
          <w:szCs w:val="18"/>
        </w:rPr>
        <w:t>”</w:t>
      </w:r>
      <w:r w:rsidRPr="0072113B">
        <w:rPr>
          <w:rFonts w:ascii="Times New Roman" w:eastAsia="宋体" w:hAnsi="Times New Roman" w:cs="Times New Roman"/>
          <w:color w:val="666666"/>
          <w:kern w:val="0"/>
          <w:sz w:val="18"/>
          <w:szCs w:val="18"/>
        </w:rPr>
        <w:t>等费用的计算公式。</w:t>
      </w:r>
    </w:p>
    <w:p w14:paraId="2FB7D109"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8</w:t>
      </w:r>
      <w:r w:rsidRPr="0072113B">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39DB0F7A"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若本理财产品的投资者不接受上述公告内容，请于</w:t>
      </w:r>
      <w:r w:rsidRPr="0072113B">
        <w:rPr>
          <w:rFonts w:ascii="Times New Roman" w:eastAsia="宋体" w:hAnsi="Times New Roman" w:cs="Times New Roman"/>
          <w:color w:val="666666"/>
          <w:kern w:val="0"/>
          <w:sz w:val="18"/>
          <w:szCs w:val="18"/>
        </w:rPr>
        <w:t>2022</w:t>
      </w:r>
      <w:r w:rsidRPr="0072113B">
        <w:rPr>
          <w:rFonts w:ascii="Times New Roman" w:eastAsia="宋体" w:hAnsi="Times New Roman" w:cs="Times New Roman"/>
          <w:color w:val="666666"/>
          <w:kern w:val="0"/>
          <w:sz w:val="18"/>
          <w:szCs w:val="18"/>
        </w:rPr>
        <w:t>年</w:t>
      </w:r>
      <w:r w:rsidRPr="0072113B">
        <w:rPr>
          <w:rFonts w:ascii="Times New Roman" w:eastAsia="宋体" w:hAnsi="Times New Roman" w:cs="Times New Roman"/>
          <w:color w:val="666666"/>
          <w:kern w:val="0"/>
          <w:sz w:val="18"/>
          <w:szCs w:val="18"/>
        </w:rPr>
        <w:t>10</w:t>
      </w:r>
      <w:r w:rsidRPr="0072113B">
        <w:rPr>
          <w:rFonts w:ascii="Times New Roman" w:eastAsia="宋体" w:hAnsi="Times New Roman" w:cs="Times New Roman"/>
          <w:color w:val="666666"/>
          <w:kern w:val="0"/>
          <w:sz w:val="18"/>
          <w:szCs w:val="18"/>
        </w:rPr>
        <w:t>月</w:t>
      </w:r>
      <w:r w:rsidRPr="0072113B">
        <w:rPr>
          <w:rFonts w:ascii="Times New Roman" w:eastAsia="宋体" w:hAnsi="Times New Roman" w:cs="Times New Roman"/>
          <w:color w:val="666666"/>
          <w:kern w:val="0"/>
          <w:sz w:val="18"/>
          <w:szCs w:val="18"/>
        </w:rPr>
        <w:t>31</w:t>
      </w:r>
      <w:r w:rsidRPr="0072113B">
        <w:rPr>
          <w:rFonts w:ascii="Times New Roman" w:eastAsia="宋体" w:hAnsi="Times New Roman" w:cs="Times New Roman"/>
          <w:color w:val="666666"/>
          <w:kern w:val="0"/>
          <w:sz w:val="18"/>
          <w:szCs w:val="18"/>
        </w:rPr>
        <w:t>日至</w:t>
      </w:r>
      <w:r w:rsidRPr="0072113B">
        <w:rPr>
          <w:rFonts w:ascii="Times New Roman" w:eastAsia="宋体" w:hAnsi="Times New Roman" w:cs="Times New Roman"/>
          <w:color w:val="666666"/>
          <w:kern w:val="0"/>
          <w:sz w:val="18"/>
          <w:szCs w:val="18"/>
        </w:rPr>
        <w:t>2022</w:t>
      </w:r>
      <w:r w:rsidRPr="0072113B">
        <w:rPr>
          <w:rFonts w:ascii="Times New Roman" w:eastAsia="宋体" w:hAnsi="Times New Roman" w:cs="Times New Roman"/>
          <w:color w:val="666666"/>
          <w:kern w:val="0"/>
          <w:sz w:val="18"/>
          <w:szCs w:val="18"/>
        </w:rPr>
        <w:t>年</w:t>
      </w:r>
      <w:r w:rsidRPr="0072113B">
        <w:rPr>
          <w:rFonts w:ascii="Times New Roman" w:eastAsia="宋体" w:hAnsi="Times New Roman" w:cs="Times New Roman"/>
          <w:color w:val="666666"/>
          <w:kern w:val="0"/>
          <w:sz w:val="18"/>
          <w:szCs w:val="18"/>
        </w:rPr>
        <w:t>11</w:t>
      </w:r>
      <w:r w:rsidRPr="0072113B">
        <w:rPr>
          <w:rFonts w:ascii="Times New Roman" w:eastAsia="宋体" w:hAnsi="Times New Roman" w:cs="Times New Roman"/>
          <w:color w:val="666666"/>
          <w:kern w:val="0"/>
          <w:sz w:val="18"/>
          <w:szCs w:val="18"/>
        </w:rPr>
        <w:t>月</w:t>
      </w:r>
      <w:r w:rsidRPr="0072113B">
        <w:rPr>
          <w:rFonts w:ascii="Times New Roman" w:eastAsia="宋体" w:hAnsi="Times New Roman" w:cs="Times New Roman"/>
          <w:color w:val="666666"/>
          <w:kern w:val="0"/>
          <w:sz w:val="18"/>
          <w:szCs w:val="18"/>
        </w:rPr>
        <w:t>4</w:t>
      </w:r>
      <w:r w:rsidRPr="0072113B">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3ED808E"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69699B21" w14:textId="77777777" w:rsidR="0072113B" w:rsidRPr="0072113B" w:rsidRDefault="0072113B" w:rsidP="0072113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附件：</w:t>
      </w:r>
      <w:hyperlink r:id="rId6" w:tgtFrame="_blank" w:history="1">
        <w:r w:rsidRPr="0072113B">
          <w:rPr>
            <w:rFonts w:ascii="Times New Roman" w:eastAsia="宋体" w:hAnsi="Times New Roman" w:cs="Times New Roman"/>
            <w:color w:val="0066FF"/>
            <w:kern w:val="0"/>
            <w:sz w:val="18"/>
            <w:szCs w:val="18"/>
            <w:u w:val="single"/>
          </w:rPr>
          <w:t>华夏理财</w:t>
        </w:r>
        <w:proofErr w:type="gramStart"/>
        <w:r w:rsidRPr="0072113B">
          <w:rPr>
            <w:rFonts w:ascii="Times New Roman" w:eastAsia="宋体" w:hAnsi="Times New Roman" w:cs="Times New Roman"/>
            <w:color w:val="0066FF"/>
            <w:kern w:val="0"/>
            <w:sz w:val="18"/>
            <w:szCs w:val="18"/>
            <w:u w:val="single"/>
          </w:rPr>
          <w:t>龙盈固定</w:t>
        </w:r>
        <w:proofErr w:type="gramEnd"/>
        <w:r w:rsidRPr="0072113B">
          <w:rPr>
            <w:rFonts w:ascii="Times New Roman" w:eastAsia="宋体" w:hAnsi="Times New Roman" w:cs="Times New Roman"/>
            <w:color w:val="0066FF"/>
            <w:kern w:val="0"/>
            <w:sz w:val="18"/>
            <w:szCs w:val="18"/>
            <w:u w:val="single"/>
          </w:rPr>
          <w:t>收益类增强型理财产品</w:t>
        </w:r>
        <w:r w:rsidRPr="0072113B">
          <w:rPr>
            <w:rFonts w:ascii="Times New Roman" w:eastAsia="宋体" w:hAnsi="Times New Roman" w:cs="Times New Roman"/>
            <w:color w:val="0066FF"/>
            <w:kern w:val="0"/>
            <w:sz w:val="18"/>
            <w:szCs w:val="18"/>
            <w:u w:val="single"/>
          </w:rPr>
          <w:t>1</w:t>
        </w:r>
        <w:r w:rsidRPr="0072113B">
          <w:rPr>
            <w:rFonts w:ascii="Times New Roman" w:eastAsia="宋体" w:hAnsi="Times New Roman" w:cs="Times New Roman"/>
            <w:color w:val="0066FF"/>
            <w:kern w:val="0"/>
            <w:sz w:val="18"/>
            <w:szCs w:val="18"/>
            <w:u w:val="single"/>
          </w:rPr>
          <w:t>号说明书</w:t>
        </w:r>
        <w:r w:rsidRPr="0072113B">
          <w:rPr>
            <w:rFonts w:ascii="Times New Roman" w:eastAsia="宋体" w:hAnsi="Times New Roman" w:cs="Times New Roman"/>
            <w:color w:val="0066FF"/>
            <w:kern w:val="0"/>
            <w:sz w:val="18"/>
            <w:szCs w:val="18"/>
            <w:u w:val="single"/>
          </w:rPr>
          <w:t>.pdf</w:t>
        </w:r>
      </w:hyperlink>
    </w:p>
    <w:p w14:paraId="13712F23" w14:textId="77777777" w:rsidR="0072113B" w:rsidRPr="0072113B" w:rsidRDefault="0072113B" w:rsidP="0072113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w:t>
      </w:r>
    </w:p>
    <w:p w14:paraId="782A05A3" w14:textId="77777777" w:rsidR="0072113B" w:rsidRPr="0072113B" w:rsidRDefault="0072113B" w:rsidP="0072113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华夏理财有限责任公司</w:t>
      </w:r>
    </w:p>
    <w:p w14:paraId="7F2739B1" w14:textId="77777777" w:rsidR="0072113B" w:rsidRPr="0072113B" w:rsidRDefault="0072113B" w:rsidP="0072113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72113B">
        <w:rPr>
          <w:rFonts w:ascii="Times New Roman" w:eastAsia="宋体" w:hAnsi="Times New Roman" w:cs="Times New Roman"/>
          <w:color w:val="666666"/>
          <w:kern w:val="0"/>
          <w:sz w:val="18"/>
          <w:szCs w:val="18"/>
        </w:rPr>
        <w:t xml:space="preserve">　　</w:t>
      </w:r>
      <w:r w:rsidRPr="0072113B">
        <w:rPr>
          <w:rFonts w:ascii="Times New Roman" w:eastAsia="宋体" w:hAnsi="Times New Roman" w:cs="Times New Roman"/>
          <w:color w:val="666666"/>
          <w:kern w:val="0"/>
          <w:sz w:val="18"/>
          <w:szCs w:val="18"/>
        </w:rPr>
        <w:t>2022</w:t>
      </w:r>
      <w:r w:rsidRPr="0072113B">
        <w:rPr>
          <w:rFonts w:ascii="Times New Roman" w:eastAsia="宋体" w:hAnsi="Times New Roman" w:cs="Times New Roman"/>
          <w:color w:val="666666"/>
          <w:kern w:val="0"/>
          <w:sz w:val="18"/>
          <w:szCs w:val="18"/>
        </w:rPr>
        <w:t>年</w:t>
      </w:r>
      <w:r w:rsidRPr="0072113B">
        <w:rPr>
          <w:rFonts w:ascii="Times New Roman" w:eastAsia="宋体" w:hAnsi="Times New Roman" w:cs="Times New Roman"/>
          <w:color w:val="666666"/>
          <w:kern w:val="0"/>
          <w:sz w:val="18"/>
          <w:szCs w:val="18"/>
        </w:rPr>
        <w:t>10</w:t>
      </w:r>
      <w:r w:rsidRPr="0072113B">
        <w:rPr>
          <w:rFonts w:ascii="Times New Roman" w:eastAsia="宋体" w:hAnsi="Times New Roman" w:cs="Times New Roman"/>
          <w:color w:val="666666"/>
          <w:kern w:val="0"/>
          <w:sz w:val="18"/>
          <w:szCs w:val="18"/>
        </w:rPr>
        <w:t>月</w:t>
      </w:r>
      <w:r w:rsidRPr="0072113B">
        <w:rPr>
          <w:rFonts w:ascii="Times New Roman" w:eastAsia="宋体" w:hAnsi="Times New Roman" w:cs="Times New Roman"/>
          <w:color w:val="666666"/>
          <w:kern w:val="0"/>
          <w:sz w:val="18"/>
          <w:szCs w:val="18"/>
        </w:rPr>
        <w:t>24</w:t>
      </w:r>
      <w:r w:rsidRPr="0072113B">
        <w:rPr>
          <w:rFonts w:ascii="Times New Roman" w:eastAsia="宋体" w:hAnsi="Times New Roman" w:cs="Times New Roman"/>
          <w:color w:val="666666"/>
          <w:kern w:val="0"/>
          <w:sz w:val="18"/>
          <w:szCs w:val="18"/>
        </w:rPr>
        <w:t>日</w:t>
      </w:r>
    </w:p>
    <w:p w14:paraId="2041C1CB" w14:textId="77777777" w:rsidR="00B4428C" w:rsidRPr="0072113B" w:rsidRDefault="00B4428C"/>
    <w:sectPr w:rsidR="00B4428C" w:rsidRPr="007211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27DD" w14:textId="77777777" w:rsidR="003D2D22" w:rsidRDefault="003D2D22" w:rsidP="0072113B">
      <w:r>
        <w:separator/>
      </w:r>
    </w:p>
  </w:endnote>
  <w:endnote w:type="continuationSeparator" w:id="0">
    <w:p w14:paraId="3853C003" w14:textId="77777777" w:rsidR="003D2D22" w:rsidRDefault="003D2D22" w:rsidP="0072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5D47" w14:textId="77777777" w:rsidR="003D2D22" w:rsidRDefault="003D2D22" w:rsidP="0072113B">
      <w:r>
        <w:separator/>
      </w:r>
    </w:p>
  </w:footnote>
  <w:footnote w:type="continuationSeparator" w:id="0">
    <w:p w14:paraId="62D65E0F" w14:textId="77777777" w:rsidR="003D2D22" w:rsidRDefault="003D2D22" w:rsidP="00721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8C"/>
    <w:rsid w:val="003D2D22"/>
    <w:rsid w:val="0072113B"/>
    <w:rsid w:val="00B4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58044B-5C04-4968-AC5E-FB37AA0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1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113B"/>
    <w:rPr>
      <w:sz w:val="18"/>
      <w:szCs w:val="18"/>
    </w:rPr>
  </w:style>
  <w:style w:type="paragraph" w:styleId="a5">
    <w:name w:val="footer"/>
    <w:basedOn w:val="a"/>
    <w:link w:val="a6"/>
    <w:uiPriority w:val="99"/>
    <w:unhideWhenUsed/>
    <w:rsid w:val="0072113B"/>
    <w:pPr>
      <w:tabs>
        <w:tab w:val="center" w:pos="4153"/>
        <w:tab w:val="right" w:pos="8306"/>
      </w:tabs>
      <w:snapToGrid w:val="0"/>
      <w:jc w:val="left"/>
    </w:pPr>
    <w:rPr>
      <w:sz w:val="18"/>
      <w:szCs w:val="18"/>
    </w:rPr>
  </w:style>
  <w:style w:type="character" w:customStyle="1" w:styleId="a6">
    <w:name w:val="页脚 字符"/>
    <w:basedOn w:val="a0"/>
    <w:link w:val="a5"/>
    <w:uiPriority w:val="99"/>
    <w:rsid w:val="0072113B"/>
    <w:rPr>
      <w:sz w:val="18"/>
      <w:szCs w:val="18"/>
    </w:rPr>
  </w:style>
  <w:style w:type="paragraph" w:styleId="a7">
    <w:name w:val="Normal (Web)"/>
    <w:basedOn w:val="a"/>
    <w:uiPriority w:val="99"/>
    <w:semiHidden/>
    <w:unhideWhenUsed/>
    <w:rsid w:val="0072113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2113B"/>
    <w:rPr>
      <w:b/>
      <w:bCs/>
    </w:rPr>
  </w:style>
  <w:style w:type="character" w:styleId="a9">
    <w:name w:val="Hyperlink"/>
    <w:basedOn w:val="a0"/>
    <w:uiPriority w:val="99"/>
    <w:semiHidden/>
    <w:unhideWhenUsed/>
    <w:rsid w:val="00721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9365">
      <w:bodyDiv w:val="1"/>
      <w:marLeft w:val="0"/>
      <w:marRight w:val="0"/>
      <w:marTop w:val="0"/>
      <w:marBottom w:val="0"/>
      <w:divBdr>
        <w:top w:val="none" w:sz="0" w:space="0" w:color="auto"/>
        <w:left w:val="none" w:sz="0" w:space="0" w:color="auto"/>
        <w:bottom w:val="none" w:sz="0" w:space="0" w:color="auto"/>
        <w:right w:val="none" w:sz="0" w:space="0" w:color="auto"/>
      </w:divBdr>
      <w:divsChild>
        <w:div w:id="1542285771">
          <w:marLeft w:val="0"/>
          <w:marRight w:val="0"/>
          <w:marTop w:val="0"/>
          <w:marBottom w:val="450"/>
          <w:divBdr>
            <w:top w:val="dotted" w:sz="6" w:space="0" w:color="000000"/>
            <w:left w:val="none" w:sz="0" w:space="0" w:color="auto"/>
            <w:bottom w:val="none" w:sz="0" w:space="0" w:color="auto"/>
            <w:right w:val="none" w:sz="0" w:space="0" w:color="auto"/>
          </w:divBdr>
        </w:div>
        <w:div w:id="81214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0/24/241911569D9ED2A820CBBFB7282833B3D5DE0B9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2022-10-26T12:09:00Z</dcterms:created>
  <dcterms:modified xsi:type="dcterms:W3CDTF">2022-10-26T12:09:00Z</dcterms:modified>
</cp:coreProperties>
</file>