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sz w:val="14"/>
          <w:szCs w:val="14"/>
        </w:rPr>
      </w:pPr>
      <w:r>
        <w:rPr>
          <w:rFonts w:hint="eastAsia" w:ascii="宋体" w:hAnsi="宋体" w:eastAsia="宋体" w:cs="宋体"/>
          <w:b/>
          <w:i w:val="0"/>
          <w:caps w:val="0"/>
          <w:color w:val="262626"/>
          <w:spacing w:val="0"/>
          <w:kern w:val="0"/>
          <w:sz w:val="14"/>
          <w:szCs w:val="14"/>
          <w:shd w:val="clear" w:fill="FFFFFF"/>
          <w:lang w:val="en-US" w:eastAsia="zh-CN" w:bidi="ar"/>
        </w:rPr>
        <w:t>关于公布华夏理财固定收益增强型一个月定开理财产品1号下一期业绩基准的公告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自2022年7月26日起，华夏理财固定收益增强型一个月定开理财产品1号（产品代码：2119187101）将进入下一封闭期。下一封闭期起的业绩基准为：2.80%-3.60%（年化），测算依据详见更新后的产品说明书。产品扣除各项费用后，当期实现的年化收益率超过3.60%的部分，20%作为管理人的超额管理费。</w:t>
      </w:r>
      <w:r>
        <w:rPr>
          <w:rStyle w:val="5"/>
          <w:rFonts w:hint="default" w:ascii="Times New Roman" w:hAnsi="Times New Roman" w:eastAsia="宋体" w:cs="Times New Roman"/>
          <w:i w:val="0"/>
          <w:caps w:val="0"/>
          <w:color w:val="666666"/>
          <w:spacing w:val="0"/>
          <w:sz w:val="12"/>
          <w:szCs w:val="12"/>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若本理财产品的投资者不接受上述公告内容，请于2022年7月25日通过销售渠道赎回本理财产品；逾期未赎回的，则视为对上述公告内容无异议且同意继续持有本理财产品。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2022年7月14日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F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2022-07-20T10:52:06Z</dcterms:created>
  <dc:creator>admin</dc:creator>
  <cp:lastModifiedBy>yananliu</cp:lastModifiedBy>
  <dcterms:modified xsi:type="dcterms:W3CDTF">2022-07-20T10:52:11Z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