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sz w:val="14"/>
          <w:szCs w:val="14"/>
        </w:rPr>
      </w:pPr>
      <w:r>
        <w:rPr>
          <w:rFonts w:hint="eastAsia" w:ascii="宋体" w:hAnsi="宋体" w:eastAsia="宋体" w:cs="宋体"/>
          <w:b/>
          <w:i w:val="0"/>
          <w:caps w:val="0"/>
          <w:color w:val="262626"/>
          <w:spacing w:val="0"/>
          <w:kern w:val="0"/>
          <w:sz w:val="14"/>
          <w:szCs w:val="14"/>
          <w:shd w:val="clear" w:fill="FFFFFF"/>
          <w:lang w:val="en-US" w:eastAsia="zh-CN" w:bidi="ar"/>
        </w:rPr>
        <w:t>关于公布华夏理财龙盈固定收益类G款74号半年定开理财产品下一封闭期业绩基准的公告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bookmarkStart w:id="0" w:name="_GoBack"/>
      <w:bookmarkEnd w:id="0"/>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自2022年7月29日起，华夏理财龙盈固定收益类G款74号半年定开理财产品（产品代码：208212100347）将进入下一封闭期。下一封闭期的业绩基准为：3.40%-4.05%（年化），测算依据详见更新后的产品说明书。产品扣除各项费用后，当期实现的年化收益率超过4.05%的部分，50%作为管理人的超额管理费。</w:t>
      </w:r>
      <w:r>
        <w:rPr>
          <w:rStyle w:val="5"/>
          <w:rFonts w:hint="default" w:ascii="Times New Roman" w:hAnsi="Times New Roman" w:eastAsia="宋体" w:cs="Times New Roman"/>
          <w:i w:val="0"/>
          <w:caps w:val="0"/>
          <w:color w:val="666666"/>
          <w:spacing w:val="0"/>
          <w:sz w:val="12"/>
          <w:szCs w:val="12"/>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若本理财产品的投资者不接受上述公告内容，请于2022年7月22日、2022年7月25日至2022年7月28日通过销售渠道赎回本理财产品；逾期未赎回的，则视为对上述公告内容无异议且同意继续持有本理财产品。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2022年7月14日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64702"/>
    <w:rsid w:val="62BD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2022-07-19T02:06:00Z</dcterms:created>
  <dc:creator>admin</dc:creator>
  <cp:lastModifiedBy>yananliu</cp:lastModifiedBy>
  <dcterms:modified xsi:type="dcterms:W3CDTF">2022-07-19T07:33:53Z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