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262626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262626"/>
          <w:spacing w:val="0"/>
          <w:kern w:val="0"/>
          <w:sz w:val="14"/>
          <w:szCs w:val="14"/>
          <w:shd w:val="clear" w:fill="FFFFFF"/>
          <w:lang w:val="en-US" w:eastAsia="zh-CN" w:bidi="ar"/>
        </w:rPr>
        <w:t>关于华夏理财固定收益增强型封闭式理财产品23号固定管理费率阶段性优惠的公告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尊敬的投资者：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根据产品费率阶段性优惠安排，我司拟于2022年7月15日（含）起对华夏理财固定收益增强型封闭式理财产品23号固定管理费率给予优惠，具体如下：</w:t>
      </w:r>
    </w:p>
    <w:tbl>
      <w:tblPr>
        <w:tblW w:w="5920" w:type="dxa"/>
        <w:jc w:val="center"/>
        <w:tblInd w:w="11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820"/>
        <w:gridCol w:w="1220"/>
        <w:gridCol w:w="1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产品名称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产品代码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优惠后固定管理费率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优惠期间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华夏理财固定收益增强型封闭式理财产品23号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21131023</w:t>
            </w:r>
          </w:p>
        </w:tc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2022年7月15日（含）起，2023年2月7日（含）止。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感谢您对华夏理财有限责任公司的支持。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right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华夏理财有限责任公司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right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2022年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7月12日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05B4B"/>
    <w:rsid w:val="4B5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2022-07-12T08:35:00Z</dcterms:created>
  <dc:creator>admin</dc:creator>
  <cp:lastModifiedBy>yananliu</cp:lastModifiedBy>
  <dcterms:modified xsi:type="dcterms:W3CDTF">2022-07-12T10:34:49Z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