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C12" w:rsidRDefault="005A0C12">
      <w:pPr>
        <w:spacing w:line="360" w:lineRule="auto"/>
        <w:jc w:val="center"/>
        <w:rPr>
          <w:rFonts w:eastAsia="黑体"/>
          <w:b/>
          <w:sz w:val="44"/>
        </w:rPr>
      </w:pPr>
    </w:p>
    <w:p w:rsidR="005A0C12" w:rsidRDefault="005A0C12">
      <w:pPr>
        <w:spacing w:line="360" w:lineRule="auto"/>
        <w:jc w:val="center"/>
        <w:rPr>
          <w:rFonts w:eastAsia="黑体"/>
          <w:b/>
          <w:sz w:val="44"/>
        </w:rPr>
      </w:pPr>
    </w:p>
    <w:p w:rsidR="005A0C12" w:rsidRDefault="005A0C12">
      <w:pPr>
        <w:spacing w:line="360" w:lineRule="auto"/>
        <w:jc w:val="center"/>
        <w:rPr>
          <w:rFonts w:eastAsia="黑体"/>
          <w:b/>
          <w:sz w:val="44"/>
        </w:rPr>
      </w:pPr>
    </w:p>
    <w:p w:rsidR="005A0C12" w:rsidRDefault="00404031">
      <w:pPr>
        <w:spacing w:line="360" w:lineRule="auto"/>
        <w:jc w:val="center"/>
        <w:rPr>
          <w:rFonts w:eastAsia="黑体"/>
          <w:b/>
          <w:sz w:val="44"/>
          <w:szCs w:val="20"/>
        </w:rPr>
      </w:pPr>
      <w:bookmarkStart w:id="0" w:name="_Toc309590727"/>
      <w:r>
        <w:rPr>
          <w:rFonts w:eastAsia="黑体" w:hint="eastAsia"/>
          <w:b/>
          <w:sz w:val="44"/>
          <w:szCs w:val="20"/>
        </w:rPr>
        <w:t>嘉实领先优势混合型证券投资基金</w:t>
      </w:r>
    </w:p>
    <w:p w:rsidR="005A0C12" w:rsidRDefault="00404031">
      <w:pPr>
        <w:spacing w:line="360" w:lineRule="auto"/>
        <w:jc w:val="center"/>
        <w:rPr>
          <w:rFonts w:eastAsia="黑体"/>
          <w:b/>
          <w:sz w:val="44"/>
          <w:szCs w:val="20"/>
        </w:rPr>
      </w:pPr>
      <w:r>
        <w:rPr>
          <w:rFonts w:eastAsia="黑体" w:hint="eastAsia"/>
          <w:b/>
          <w:sz w:val="44"/>
          <w:szCs w:val="20"/>
        </w:rPr>
        <w:t>托管协议</w:t>
      </w:r>
      <w:bookmarkEnd w:id="0"/>
    </w:p>
    <w:p w:rsidR="005A0C12" w:rsidRDefault="005A0C12">
      <w:pPr>
        <w:spacing w:line="360" w:lineRule="auto"/>
        <w:jc w:val="center"/>
        <w:rPr>
          <w:b/>
          <w:sz w:val="44"/>
        </w:rPr>
      </w:pPr>
    </w:p>
    <w:p w:rsidR="005A0C12" w:rsidRDefault="005A0C12">
      <w:pPr>
        <w:spacing w:line="360" w:lineRule="auto"/>
        <w:jc w:val="center"/>
        <w:rPr>
          <w:b/>
          <w:sz w:val="44"/>
        </w:rPr>
      </w:pPr>
    </w:p>
    <w:p w:rsidR="005A0C12" w:rsidRDefault="005A0C12">
      <w:pPr>
        <w:spacing w:line="360" w:lineRule="auto"/>
        <w:jc w:val="center"/>
        <w:rPr>
          <w:rFonts w:eastAsia="黑体"/>
          <w:b/>
          <w:sz w:val="44"/>
        </w:rPr>
      </w:pPr>
    </w:p>
    <w:p w:rsidR="005A0C12" w:rsidRDefault="005A0C12">
      <w:pPr>
        <w:spacing w:line="360" w:lineRule="auto"/>
        <w:jc w:val="center"/>
        <w:rPr>
          <w:rFonts w:eastAsia="黑体"/>
          <w:b/>
          <w:sz w:val="44"/>
        </w:rPr>
      </w:pPr>
    </w:p>
    <w:p w:rsidR="005A0C12" w:rsidRDefault="005A0C12">
      <w:pPr>
        <w:spacing w:line="360" w:lineRule="auto"/>
        <w:jc w:val="center"/>
        <w:rPr>
          <w:rFonts w:eastAsia="黑体"/>
          <w:b/>
          <w:sz w:val="44"/>
        </w:rPr>
      </w:pPr>
    </w:p>
    <w:p w:rsidR="005A0C12" w:rsidRDefault="005A0C12">
      <w:pPr>
        <w:spacing w:line="360" w:lineRule="auto"/>
        <w:jc w:val="center"/>
        <w:rPr>
          <w:rFonts w:eastAsia="黑体"/>
          <w:b/>
          <w:sz w:val="44"/>
        </w:rPr>
      </w:pPr>
    </w:p>
    <w:p w:rsidR="005A0C12" w:rsidRDefault="005A0C12">
      <w:pPr>
        <w:spacing w:line="360" w:lineRule="auto"/>
        <w:jc w:val="center"/>
        <w:rPr>
          <w:rFonts w:eastAsia="黑体"/>
          <w:b/>
          <w:sz w:val="44"/>
        </w:rPr>
      </w:pPr>
    </w:p>
    <w:p w:rsidR="005A0C12" w:rsidRDefault="005A0C12">
      <w:pPr>
        <w:spacing w:line="360" w:lineRule="auto"/>
        <w:jc w:val="center"/>
        <w:rPr>
          <w:rFonts w:eastAsia="黑体"/>
          <w:b/>
          <w:sz w:val="44"/>
        </w:rPr>
      </w:pPr>
    </w:p>
    <w:p w:rsidR="005A0C12" w:rsidRDefault="005A0C12">
      <w:pPr>
        <w:spacing w:line="360" w:lineRule="auto"/>
        <w:jc w:val="center"/>
        <w:rPr>
          <w:rFonts w:eastAsia="黑体"/>
          <w:b/>
          <w:sz w:val="44"/>
        </w:rPr>
      </w:pPr>
    </w:p>
    <w:p w:rsidR="005A0C12" w:rsidRDefault="005A0C12">
      <w:pPr>
        <w:spacing w:line="360" w:lineRule="auto"/>
        <w:jc w:val="center"/>
        <w:rPr>
          <w:rFonts w:eastAsia="黑体"/>
          <w:b/>
          <w:sz w:val="44"/>
        </w:rPr>
      </w:pPr>
    </w:p>
    <w:p w:rsidR="005A0C12" w:rsidRDefault="005A0C12">
      <w:pPr>
        <w:spacing w:line="360" w:lineRule="auto"/>
        <w:jc w:val="center"/>
        <w:rPr>
          <w:rFonts w:eastAsia="黑体"/>
          <w:b/>
          <w:sz w:val="44"/>
        </w:rPr>
      </w:pPr>
    </w:p>
    <w:p w:rsidR="005A0C12" w:rsidRDefault="00404031">
      <w:pPr>
        <w:spacing w:line="360" w:lineRule="auto"/>
        <w:jc w:val="center"/>
        <w:rPr>
          <w:sz w:val="28"/>
        </w:rPr>
      </w:pPr>
      <w:r>
        <w:rPr>
          <w:sz w:val="28"/>
        </w:rPr>
        <w:t>基金管理人：</w:t>
      </w:r>
      <w:r>
        <w:rPr>
          <w:rFonts w:hint="eastAsia"/>
          <w:sz w:val="28"/>
        </w:rPr>
        <w:t>嘉</w:t>
      </w:r>
      <w:proofErr w:type="gramStart"/>
      <w:r>
        <w:rPr>
          <w:rFonts w:hint="eastAsia"/>
          <w:sz w:val="28"/>
        </w:rPr>
        <w:t>实</w:t>
      </w:r>
      <w:r>
        <w:rPr>
          <w:sz w:val="28"/>
        </w:rPr>
        <w:t>基金</w:t>
      </w:r>
      <w:proofErr w:type="gramEnd"/>
      <w:r>
        <w:rPr>
          <w:sz w:val="28"/>
        </w:rPr>
        <w:t>管理有限公司</w:t>
      </w:r>
    </w:p>
    <w:p w:rsidR="005A0C12" w:rsidRDefault="00404031">
      <w:pPr>
        <w:spacing w:line="360" w:lineRule="auto"/>
        <w:jc w:val="center"/>
        <w:rPr>
          <w:sz w:val="28"/>
        </w:rPr>
      </w:pPr>
      <w:r>
        <w:rPr>
          <w:sz w:val="28"/>
        </w:rPr>
        <w:t>基金托管人：中国银行股份有限公司</w:t>
      </w:r>
    </w:p>
    <w:p w:rsidR="005A0C12" w:rsidRDefault="00404031">
      <w:pPr>
        <w:tabs>
          <w:tab w:val="center" w:pos="4153"/>
          <w:tab w:val="right" w:pos="8306"/>
        </w:tabs>
        <w:spacing w:line="360" w:lineRule="auto"/>
        <w:jc w:val="left"/>
        <w:rPr>
          <w:sz w:val="28"/>
        </w:rPr>
      </w:pPr>
      <w:r>
        <w:rPr>
          <w:sz w:val="28"/>
        </w:rPr>
        <w:tab/>
      </w:r>
      <w:r w:rsidR="00A93B58">
        <w:rPr>
          <w:rFonts w:eastAsia="黑体" w:hint="eastAsia"/>
          <w:sz w:val="28"/>
          <w:szCs w:val="20"/>
        </w:rPr>
        <w:t>二○二一年五</w:t>
      </w:r>
      <w:r>
        <w:rPr>
          <w:rFonts w:eastAsia="黑体" w:hint="eastAsia"/>
          <w:sz w:val="28"/>
          <w:szCs w:val="20"/>
        </w:rPr>
        <w:t>月</w:t>
      </w:r>
      <w:r>
        <w:rPr>
          <w:sz w:val="28"/>
        </w:rPr>
        <w:tab/>
      </w:r>
    </w:p>
    <w:p w:rsidR="005A0C12" w:rsidRDefault="00404031">
      <w:pPr>
        <w:pStyle w:val="10"/>
        <w:tabs>
          <w:tab w:val="right" w:pos="8296"/>
        </w:tabs>
        <w:jc w:val="center"/>
        <w:rPr>
          <w:rFonts w:ascii="宋体" w:hAnsi="宋体"/>
          <w:b/>
          <w:caps/>
          <w:sz w:val="30"/>
          <w:szCs w:val="30"/>
        </w:rPr>
      </w:pPr>
      <w:r>
        <w:br w:type="page"/>
      </w:r>
      <w:r>
        <w:rPr>
          <w:rFonts w:ascii="宋体" w:hAnsi="宋体" w:hint="eastAsia"/>
          <w:b/>
          <w:caps/>
          <w:sz w:val="30"/>
          <w:szCs w:val="30"/>
        </w:rPr>
        <w:lastRenderedPageBreak/>
        <w:t>目   录</w:t>
      </w:r>
    </w:p>
    <w:p w:rsidR="005A0C12" w:rsidRDefault="005A0C12"/>
    <w:p w:rsidR="00A93B58" w:rsidRPr="00A93B58" w:rsidRDefault="00404031"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caps/>
          <w:sz w:val="22"/>
          <w:szCs w:val="21"/>
        </w:rPr>
        <w:fldChar w:fldCharType="begin"/>
      </w:r>
      <w:r w:rsidRPr="00A93B58">
        <w:rPr>
          <w:rStyle w:val="ad"/>
          <w:rFonts w:ascii="宋体" w:hAnsi="宋体"/>
          <w:caps/>
          <w:color w:val="auto"/>
          <w:sz w:val="22"/>
          <w:szCs w:val="21"/>
          <w:u w:val="none"/>
        </w:rPr>
        <w:instrText xml:space="preserve"> TOC \o "1-3" \u </w:instrText>
      </w:r>
      <w:r w:rsidRPr="00A93B58">
        <w:rPr>
          <w:rFonts w:ascii="宋体" w:hAnsi="宋体"/>
          <w:caps/>
          <w:sz w:val="22"/>
          <w:szCs w:val="21"/>
        </w:rPr>
        <w:fldChar w:fldCharType="separate"/>
      </w:r>
      <w:r w:rsidR="00A93B58" w:rsidRPr="00A93B58">
        <w:rPr>
          <w:rFonts w:ascii="宋体" w:hAnsi="宋体" w:hint="eastAsia"/>
          <w:noProof/>
          <w:sz w:val="22"/>
        </w:rPr>
        <w:t>一、托管协议当事人</w:t>
      </w:r>
      <w:r w:rsidR="00A93B58" w:rsidRPr="00A93B58">
        <w:rPr>
          <w:noProof/>
          <w:sz w:val="22"/>
        </w:rPr>
        <w:tab/>
      </w:r>
      <w:r w:rsidR="00A93B58" w:rsidRPr="00A93B58">
        <w:rPr>
          <w:noProof/>
          <w:sz w:val="22"/>
        </w:rPr>
        <w:fldChar w:fldCharType="begin"/>
      </w:r>
      <w:r w:rsidR="00A93B58" w:rsidRPr="00A93B58">
        <w:rPr>
          <w:noProof/>
          <w:sz w:val="22"/>
        </w:rPr>
        <w:instrText xml:space="preserve"> PAGEREF _Toc71746691 \h </w:instrText>
      </w:r>
      <w:r w:rsidR="00A93B58" w:rsidRPr="00A93B58">
        <w:rPr>
          <w:noProof/>
          <w:sz w:val="22"/>
        </w:rPr>
      </w:r>
      <w:r w:rsidR="00A93B58" w:rsidRPr="00A93B58">
        <w:rPr>
          <w:noProof/>
          <w:sz w:val="22"/>
        </w:rPr>
        <w:fldChar w:fldCharType="separate"/>
      </w:r>
      <w:r w:rsidR="00A93B58" w:rsidRPr="00A93B58">
        <w:rPr>
          <w:noProof/>
          <w:sz w:val="22"/>
        </w:rPr>
        <w:t>3</w:t>
      </w:r>
      <w:r w:rsidR="00A93B58"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二、托管协议的依据、目的、原则和解释</w:t>
      </w:r>
      <w:bookmarkStart w:id="1" w:name="_GoBack"/>
      <w:bookmarkEnd w:id="1"/>
      <w:r w:rsidRPr="00A93B58">
        <w:rPr>
          <w:noProof/>
          <w:sz w:val="22"/>
        </w:rPr>
        <w:tab/>
      </w:r>
      <w:r w:rsidRPr="00A93B58">
        <w:rPr>
          <w:noProof/>
          <w:sz w:val="22"/>
        </w:rPr>
        <w:fldChar w:fldCharType="begin"/>
      </w:r>
      <w:r w:rsidRPr="00A93B58">
        <w:rPr>
          <w:noProof/>
          <w:sz w:val="22"/>
        </w:rPr>
        <w:instrText xml:space="preserve"> PAGEREF _Toc71746692 \h </w:instrText>
      </w:r>
      <w:r w:rsidRPr="00A93B58">
        <w:rPr>
          <w:noProof/>
          <w:sz w:val="22"/>
        </w:rPr>
      </w:r>
      <w:r w:rsidRPr="00A93B58">
        <w:rPr>
          <w:noProof/>
          <w:sz w:val="22"/>
        </w:rPr>
        <w:fldChar w:fldCharType="separate"/>
      </w:r>
      <w:r w:rsidRPr="00A93B58">
        <w:rPr>
          <w:noProof/>
          <w:sz w:val="22"/>
        </w:rPr>
        <w:t>4</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三、基金托管人对基金管理人的业务监督和核查</w:t>
      </w:r>
      <w:r w:rsidRPr="00A93B58">
        <w:rPr>
          <w:noProof/>
          <w:sz w:val="22"/>
        </w:rPr>
        <w:tab/>
      </w:r>
      <w:r w:rsidRPr="00A93B58">
        <w:rPr>
          <w:noProof/>
          <w:sz w:val="22"/>
        </w:rPr>
        <w:fldChar w:fldCharType="begin"/>
      </w:r>
      <w:r w:rsidRPr="00A93B58">
        <w:rPr>
          <w:noProof/>
          <w:sz w:val="22"/>
        </w:rPr>
        <w:instrText xml:space="preserve"> PAGEREF _Toc71746693 \h </w:instrText>
      </w:r>
      <w:r w:rsidRPr="00A93B58">
        <w:rPr>
          <w:noProof/>
          <w:sz w:val="22"/>
        </w:rPr>
      </w:r>
      <w:r w:rsidRPr="00A93B58">
        <w:rPr>
          <w:noProof/>
          <w:sz w:val="22"/>
        </w:rPr>
        <w:fldChar w:fldCharType="separate"/>
      </w:r>
      <w:r w:rsidRPr="00A93B58">
        <w:rPr>
          <w:noProof/>
          <w:sz w:val="22"/>
        </w:rPr>
        <w:t>5</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四、基金管理人对基金托管人的业务核查</w:t>
      </w:r>
      <w:r w:rsidRPr="00A93B58">
        <w:rPr>
          <w:noProof/>
          <w:sz w:val="22"/>
        </w:rPr>
        <w:tab/>
      </w:r>
      <w:r w:rsidRPr="00A93B58">
        <w:rPr>
          <w:noProof/>
          <w:sz w:val="22"/>
        </w:rPr>
        <w:fldChar w:fldCharType="begin"/>
      </w:r>
      <w:r w:rsidRPr="00A93B58">
        <w:rPr>
          <w:noProof/>
          <w:sz w:val="22"/>
        </w:rPr>
        <w:instrText xml:space="preserve"> PAGEREF _Toc71746694 \h </w:instrText>
      </w:r>
      <w:r w:rsidRPr="00A93B58">
        <w:rPr>
          <w:noProof/>
          <w:sz w:val="22"/>
        </w:rPr>
      </w:r>
      <w:r w:rsidRPr="00A93B58">
        <w:rPr>
          <w:noProof/>
          <w:sz w:val="22"/>
        </w:rPr>
        <w:fldChar w:fldCharType="separate"/>
      </w:r>
      <w:r w:rsidRPr="00A93B58">
        <w:rPr>
          <w:noProof/>
          <w:sz w:val="22"/>
        </w:rPr>
        <w:t>9</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五、基金财产的保管</w:t>
      </w:r>
      <w:r w:rsidRPr="00A93B58">
        <w:rPr>
          <w:noProof/>
          <w:sz w:val="22"/>
        </w:rPr>
        <w:tab/>
      </w:r>
      <w:r w:rsidRPr="00A93B58">
        <w:rPr>
          <w:noProof/>
          <w:sz w:val="22"/>
        </w:rPr>
        <w:fldChar w:fldCharType="begin"/>
      </w:r>
      <w:r w:rsidRPr="00A93B58">
        <w:rPr>
          <w:noProof/>
          <w:sz w:val="22"/>
        </w:rPr>
        <w:instrText xml:space="preserve"> PAGEREF _Toc71746695 \h </w:instrText>
      </w:r>
      <w:r w:rsidRPr="00A93B58">
        <w:rPr>
          <w:noProof/>
          <w:sz w:val="22"/>
        </w:rPr>
      </w:r>
      <w:r w:rsidRPr="00A93B58">
        <w:rPr>
          <w:noProof/>
          <w:sz w:val="22"/>
        </w:rPr>
        <w:fldChar w:fldCharType="separate"/>
      </w:r>
      <w:r w:rsidRPr="00A93B58">
        <w:rPr>
          <w:noProof/>
          <w:sz w:val="22"/>
        </w:rPr>
        <w:t>10</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六、指令的发送、确认及执行</w:t>
      </w:r>
      <w:r w:rsidRPr="00A93B58">
        <w:rPr>
          <w:noProof/>
          <w:sz w:val="22"/>
        </w:rPr>
        <w:tab/>
      </w:r>
      <w:r w:rsidRPr="00A93B58">
        <w:rPr>
          <w:noProof/>
          <w:sz w:val="22"/>
        </w:rPr>
        <w:fldChar w:fldCharType="begin"/>
      </w:r>
      <w:r w:rsidRPr="00A93B58">
        <w:rPr>
          <w:noProof/>
          <w:sz w:val="22"/>
        </w:rPr>
        <w:instrText xml:space="preserve"> PAGEREF _Toc71746696 \h </w:instrText>
      </w:r>
      <w:r w:rsidRPr="00A93B58">
        <w:rPr>
          <w:noProof/>
          <w:sz w:val="22"/>
        </w:rPr>
      </w:r>
      <w:r w:rsidRPr="00A93B58">
        <w:rPr>
          <w:noProof/>
          <w:sz w:val="22"/>
        </w:rPr>
        <w:fldChar w:fldCharType="separate"/>
      </w:r>
      <w:r w:rsidRPr="00A93B58">
        <w:rPr>
          <w:noProof/>
          <w:sz w:val="22"/>
        </w:rPr>
        <w:t>12</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七、交易及清算交收安排</w:t>
      </w:r>
      <w:r w:rsidRPr="00A93B58">
        <w:rPr>
          <w:noProof/>
          <w:sz w:val="22"/>
        </w:rPr>
        <w:tab/>
      </w:r>
      <w:r w:rsidRPr="00A93B58">
        <w:rPr>
          <w:noProof/>
          <w:sz w:val="22"/>
        </w:rPr>
        <w:fldChar w:fldCharType="begin"/>
      </w:r>
      <w:r w:rsidRPr="00A93B58">
        <w:rPr>
          <w:noProof/>
          <w:sz w:val="22"/>
        </w:rPr>
        <w:instrText xml:space="preserve"> PAGEREF _Toc71746697 \h </w:instrText>
      </w:r>
      <w:r w:rsidRPr="00A93B58">
        <w:rPr>
          <w:noProof/>
          <w:sz w:val="22"/>
        </w:rPr>
      </w:r>
      <w:r w:rsidRPr="00A93B58">
        <w:rPr>
          <w:noProof/>
          <w:sz w:val="22"/>
        </w:rPr>
        <w:fldChar w:fldCharType="separate"/>
      </w:r>
      <w:r w:rsidRPr="00A93B58">
        <w:rPr>
          <w:noProof/>
          <w:sz w:val="22"/>
        </w:rPr>
        <w:t>15</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八、基金资产净值计算和会计核算</w:t>
      </w:r>
      <w:r w:rsidRPr="00A93B58">
        <w:rPr>
          <w:noProof/>
          <w:sz w:val="22"/>
        </w:rPr>
        <w:tab/>
      </w:r>
      <w:r w:rsidRPr="00A93B58">
        <w:rPr>
          <w:noProof/>
          <w:sz w:val="22"/>
        </w:rPr>
        <w:fldChar w:fldCharType="begin"/>
      </w:r>
      <w:r w:rsidRPr="00A93B58">
        <w:rPr>
          <w:noProof/>
          <w:sz w:val="22"/>
        </w:rPr>
        <w:instrText xml:space="preserve"> PAGEREF _Toc71746698 \h </w:instrText>
      </w:r>
      <w:r w:rsidRPr="00A93B58">
        <w:rPr>
          <w:noProof/>
          <w:sz w:val="22"/>
        </w:rPr>
      </w:r>
      <w:r w:rsidRPr="00A93B58">
        <w:rPr>
          <w:noProof/>
          <w:sz w:val="22"/>
        </w:rPr>
        <w:fldChar w:fldCharType="separate"/>
      </w:r>
      <w:r w:rsidRPr="00A93B58">
        <w:rPr>
          <w:noProof/>
          <w:sz w:val="22"/>
        </w:rPr>
        <w:t>21</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九、基金收益分配</w:t>
      </w:r>
      <w:r w:rsidRPr="00A93B58">
        <w:rPr>
          <w:noProof/>
          <w:sz w:val="22"/>
        </w:rPr>
        <w:tab/>
      </w:r>
      <w:r w:rsidRPr="00A93B58">
        <w:rPr>
          <w:noProof/>
          <w:sz w:val="22"/>
        </w:rPr>
        <w:fldChar w:fldCharType="begin"/>
      </w:r>
      <w:r w:rsidRPr="00A93B58">
        <w:rPr>
          <w:noProof/>
          <w:sz w:val="22"/>
        </w:rPr>
        <w:instrText xml:space="preserve"> PAGEREF _Toc71746699 \h </w:instrText>
      </w:r>
      <w:r w:rsidRPr="00A93B58">
        <w:rPr>
          <w:noProof/>
          <w:sz w:val="22"/>
        </w:rPr>
      </w:r>
      <w:r w:rsidRPr="00A93B58">
        <w:rPr>
          <w:noProof/>
          <w:sz w:val="22"/>
        </w:rPr>
        <w:fldChar w:fldCharType="separate"/>
      </w:r>
      <w:r w:rsidRPr="00A93B58">
        <w:rPr>
          <w:noProof/>
          <w:sz w:val="22"/>
        </w:rPr>
        <w:t>23</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十、基金信息披露</w:t>
      </w:r>
      <w:r w:rsidRPr="00A93B58">
        <w:rPr>
          <w:noProof/>
          <w:sz w:val="22"/>
        </w:rPr>
        <w:tab/>
      </w:r>
      <w:r w:rsidRPr="00A93B58">
        <w:rPr>
          <w:noProof/>
          <w:sz w:val="22"/>
        </w:rPr>
        <w:fldChar w:fldCharType="begin"/>
      </w:r>
      <w:r w:rsidRPr="00A93B58">
        <w:rPr>
          <w:noProof/>
          <w:sz w:val="22"/>
        </w:rPr>
        <w:instrText xml:space="preserve"> PAGEREF _Toc71746700 \h </w:instrText>
      </w:r>
      <w:r w:rsidRPr="00A93B58">
        <w:rPr>
          <w:noProof/>
          <w:sz w:val="22"/>
        </w:rPr>
      </w:r>
      <w:r w:rsidRPr="00A93B58">
        <w:rPr>
          <w:noProof/>
          <w:sz w:val="22"/>
        </w:rPr>
        <w:fldChar w:fldCharType="separate"/>
      </w:r>
      <w:r w:rsidRPr="00A93B58">
        <w:rPr>
          <w:noProof/>
          <w:sz w:val="22"/>
        </w:rPr>
        <w:t>24</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十一、基金费用</w:t>
      </w:r>
      <w:r w:rsidRPr="00A93B58">
        <w:rPr>
          <w:noProof/>
          <w:sz w:val="22"/>
        </w:rPr>
        <w:tab/>
      </w:r>
      <w:r w:rsidRPr="00A93B58">
        <w:rPr>
          <w:noProof/>
          <w:sz w:val="22"/>
        </w:rPr>
        <w:fldChar w:fldCharType="begin"/>
      </w:r>
      <w:r w:rsidRPr="00A93B58">
        <w:rPr>
          <w:noProof/>
          <w:sz w:val="22"/>
        </w:rPr>
        <w:instrText xml:space="preserve"> PAGEREF _Toc71746701 \h </w:instrText>
      </w:r>
      <w:r w:rsidRPr="00A93B58">
        <w:rPr>
          <w:noProof/>
          <w:sz w:val="22"/>
        </w:rPr>
      </w:r>
      <w:r w:rsidRPr="00A93B58">
        <w:rPr>
          <w:noProof/>
          <w:sz w:val="22"/>
        </w:rPr>
        <w:fldChar w:fldCharType="separate"/>
      </w:r>
      <w:r w:rsidRPr="00A93B58">
        <w:rPr>
          <w:noProof/>
          <w:sz w:val="22"/>
        </w:rPr>
        <w:t>26</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cs="方正仿宋简体" w:hint="eastAsia"/>
          <w:noProof/>
          <w:color w:val="000000"/>
          <w:sz w:val="22"/>
        </w:rPr>
        <w:t>十二、基金份额持有人名册的保管</w:t>
      </w:r>
      <w:r w:rsidRPr="00A93B58">
        <w:rPr>
          <w:noProof/>
          <w:sz w:val="22"/>
        </w:rPr>
        <w:tab/>
      </w:r>
      <w:r w:rsidRPr="00A93B58">
        <w:rPr>
          <w:noProof/>
          <w:sz w:val="22"/>
        </w:rPr>
        <w:fldChar w:fldCharType="begin"/>
      </w:r>
      <w:r w:rsidRPr="00A93B58">
        <w:rPr>
          <w:noProof/>
          <w:sz w:val="22"/>
        </w:rPr>
        <w:instrText xml:space="preserve"> PAGEREF _Toc71746702 \h </w:instrText>
      </w:r>
      <w:r w:rsidRPr="00A93B58">
        <w:rPr>
          <w:noProof/>
          <w:sz w:val="22"/>
        </w:rPr>
      </w:r>
      <w:r w:rsidRPr="00A93B58">
        <w:rPr>
          <w:noProof/>
          <w:sz w:val="22"/>
        </w:rPr>
        <w:fldChar w:fldCharType="separate"/>
      </w:r>
      <w:r w:rsidRPr="00A93B58">
        <w:rPr>
          <w:noProof/>
          <w:sz w:val="22"/>
        </w:rPr>
        <w:t>27</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十三、基金有关文件档案的保存</w:t>
      </w:r>
      <w:r w:rsidRPr="00A93B58">
        <w:rPr>
          <w:noProof/>
          <w:sz w:val="22"/>
        </w:rPr>
        <w:tab/>
      </w:r>
      <w:r w:rsidRPr="00A93B58">
        <w:rPr>
          <w:noProof/>
          <w:sz w:val="22"/>
        </w:rPr>
        <w:fldChar w:fldCharType="begin"/>
      </w:r>
      <w:r w:rsidRPr="00A93B58">
        <w:rPr>
          <w:noProof/>
          <w:sz w:val="22"/>
        </w:rPr>
        <w:instrText xml:space="preserve"> PAGEREF _Toc71746703 \h </w:instrText>
      </w:r>
      <w:r w:rsidRPr="00A93B58">
        <w:rPr>
          <w:noProof/>
          <w:sz w:val="22"/>
        </w:rPr>
      </w:r>
      <w:r w:rsidRPr="00A93B58">
        <w:rPr>
          <w:noProof/>
          <w:sz w:val="22"/>
        </w:rPr>
        <w:fldChar w:fldCharType="separate"/>
      </w:r>
      <w:r w:rsidRPr="00A93B58">
        <w:rPr>
          <w:noProof/>
          <w:sz w:val="22"/>
        </w:rPr>
        <w:t>27</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十四、基金托管人和基金管理人的更换</w:t>
      </w:r>
      <w:r w:rsidRPr="00A93B58">
        <w:rPr>
          <w:noProof/>
          <w:sz w:val="22"/>
        </w:rPr>
        <w:tab/>
      </w:r>
      <w:r w:rsidRPr="00A93B58">
        <w:rPr>
          <w:noProof/>
          <w:sz w:val="22"/>
        </w:rPr>
        <w:fldChar w:fldCharType="begin"/>
      </w:r>
      <w:r w:rsidRPr="00A93B58">
        <w:rPr>
          <w:noProof/>
          <w:sz w:val="22"/>
        </w:rPr>
        <w:instrText xml:space="preserve"> PAGEREF _Toc71746704 \h </w:instrText>
      </w:r>
      <w:r w:rsidRPr="00A93B58">
        <w:rPr>
          <w:noProof/>
          <w:sz w:val="22"/>
        </w:rPr>
      </w:r>
      <w:r w:rsidRPr="00A93B58">
        <w:rPr>
          <w:noProof/>
          <w:sz w:val="22"/>
        </w:rPr>
        <w:fldChar w:fldCharType="separate"/>
      </w:r>
      <w:r w:rsidRPr="00A93B58">
        <w:rPr>
          <w:noProof/>
          <w:sz w:val="22"/>
        </w:rPr>
        <w:t>28</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十五、禁止行为</w:t>
      </w:r>
      <w:r w:rsidRPr="00A93B58">
        <w:rPr>
          <w:noProof/>
          <w:sz w:val="22"/>
        </w:rPr>
        <w:tab/>
      </w:r>
      <w:r w:rsidRPr="00A93B58">
        <w:rPr>
          <w:noProof/>
          <w:sz w:val="22"/>
        </w:rPr>
        <w:fldChar w:fldCharType="begin"/>
      </w:r>
      <w:r w:rsidRPr="00A93B58">
        <w:rPr>
          <w:noProof/>
          <w:sz w:val="22"/>
        </w:rPr>
        <w:instrText xml:space="preserve"> PAGEREF _Toc71746705 \h </w:instrText>
      </w:r>
      <w:r w:rsidRPr="00A93B58">
        <w:rPr>
          <w:noProof/>
          <w:sz w:val="22"/>
        </w:rPr>
      </w:r>
      <w:r w:rsidRPr="00A93B58">
        <w:rPr>
          <w:noProof/>
          <w:sz w:val="22"/>
        </w:rPr>
        <w:fldChar w:fldCharType="separate"/>
      </w:r>
      <w:r w:rsidRPr="00A93B58">
        <w:rPr>
          <w:noProof/>
          <w:sz w:val="22"/>
        </w:rPr>
        <w:t>28</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十六、托管协议的变更、终止与基金财产的清算</w:t>
      </w:r>
      <w:r w:rsidRPr="00A93B58">
        <w:rPr>
          <w:noProof/>
          <w:sz w:val="22"/>
        </w:rPr>
        <w:tab/>
      </w:r>
      <w:r w:rsidRPr="00A93B58">
        <w:rPr>
          <w:noProof/>
          <w:sz w:val="22"/>
        </w:rPr>
        <w:fldChar w:fldCharType="begin"/>
      </w:r>
      <w:r w:rsidRPr="00A93B58">
        <w:rPr>
          <w:noProof/>
          <w:sz w:val="22"/>
        </w:rPr>
        <w:instrText xml:space="preserve"> PAGEREF _Toc71746706 \h </w:instrText>
      </w:r>
      <w:r w:rsidRPr="00A93B58">
        <w:rPr>
          <w:noProof/>
          <w:sz w:val="22"/>
        </w:rPr>
      </w:r>
      <w:r w:rsidRPr="00A93B58">
        <w:rPr>
          <w:noProof/>
          <w:sz w:val="22"/>
        </w:rPr>
        <w:fldChar w:fldCharType="separate"/>
      </w:r>
      <w:r w:rsidRPr="00A93B58">
        <w:rPr>
          <w:noProof/>
          <w:sz w:val="22"/>
        </w:rPr>
        <w:t>28</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十七、违约责任和责任划分</w:t>
      </w:r>
      <w:r w:rsidRPr="00A93B58">
        <w:rPr>
          <w:noProof/>
          <w:sz w:val="22"/>
        </w:rPr>
        <w:tab/>
      </w:r>
      <w:r w:rsidRPr="00A93B58">
        <w:rPr>
          <w:noProof/>
          <w:sz w:val="22"/>
        </w:rPr>
        <w:fldChar w:fldCharType="begin"/>
      </w:r>
      <w:r w:rsidRPr="00A93B58">
        <w:rPr>
          <w:noProof/>
          <w:sz w:val="22"/>
        </w:rPr>
        <w:instrText xml:space="preserve"> PAGEREF _Toc71746707 \h </w:instrText>
      </w:r>
      <w:r w:rsidRPr="00A93B58">
        <w:rPr>
          <w:noProof/>
          <w:sz w:val="22"/>
        </w:rPr>
      </w:r>
      <w:r w:rsidRPr="00A93B58">
        <w:rPr>
          <w:noProof/>
          <w:sz w:val="22"/>
        </w:rPr>
        <w:fldChar w:fldCharType="separate"/>
      </w:r>
      <w:r w:rsidRPr="00A93B58">
        <w:rPr>
          <w:noProof/>
          <w:sz w:val="22"/>
        </w:rPr>
        <w:t>29</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十八、适用法律与争议解决方式</w:t>
      </w:r>
      <w:r w:rsidRPr="00A93B58">
        <w:rPr>
          <w:noProof/>
          <w:sz w:val="22"/>
        </w:rPr>
        <w:tab/>
      </w:r>
      <w:r w:rsidRPr="00A93B58">
        <w:rPr>
          <w:noProof/>
          <w:sz w:val="22"/>
        </w:rPr>
        <w:fldChar w:fldCharType="begin"/>
      </w:r>
      <w:r w:rsidRPr="00A93B58">
        <w:rPr>
          <w:noProof/>
          <w:sz w:val="22"/>
        </w:rPr>
        <w:instrText xml:space="preserve"> PAGEREF _Toc71746708 \h </w:instrText>
      </w:r>
      <w:r w:rsidRPr="00A93B58">
        <w:rPr>
          <w:noProof/>
          <w:sz w:val="22"/>
        </w:rPr>
      </w:r>
      <w:r w:rsidRPr="00A93B58">
        <w:rPr>
          <w:noProof/>
          <w:sz w:val="22"/>
        </w:rPr>
        <w:fldChar w:fldCharType="separate"/>
      </w:r>
      <w:r w:rsidRPr="00A93B58">
        <w:rPr>
          <w:noProof/>
          <w:sz w:val="22"/>
        </w:rPr>
        <w:t>31</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十九、托管协议的效力</w:t>
      </w:r>
      <w:r w:rsidRPr="00A93B58">
        <w:rPr>
          <w:noProof/>
          <w:sz w:val="22"/>
        </w:rPr>
        <w:tab/>
      </w:r>
      <w:r w:rsidRPr="00A93B58">
        <w:rPr>
          <w:noProof/>
          <w:sz w:val="22"/>
        </w:rPr>
        <w:fldChar w:fldCharType="begin"/>
      </w:r>
      <w:r w:rsidRPr="00A93B58">
        <w:rPr>
          <w:noProof/>
          <w:sz w:val="22"/>
        </w:rPr>
        <w:instrText xml:space="preserve"> PAGEREF _Toc71746709 \h </w:instrText>
      </w:r>
      <w:r w:rsidRPr="00A93B58">
        <w:rPr>
          <w:noProof/>
          <w:sz w:val="22"/>
        </w:rPr>
      </w:r>
      <w:r w:rsidRPr="00A93B58">
        <w:rPr>
          <w:noProof/>
          <w:sz w:val="22"/>
        </w:rPr>
        <w:fldChar w:fldCharType="separate"/>
      </w:r>
      <w:r w:rsidRPr="00A93B58">
        <w:rPr>
          <w:noProof/>
          <w:sz w:val="22"/>
        </w:rPr>
        <w:t>31</w:t>
      </w:r>
      <w:r w:rsidRPr="00A93B58">
        <w:rPr>
          <w:noProof/>
          <w:sz w:val="22"/>
        </w:rPr>
        <w:fldChar w:fldCharType="end"/>
      </w:r>
    </w:p>
    <w:p w:rsidR="00A93B58" w:rsidRPr="00A93B58" w:rsidRDefault="00A93B58" w:rsidP="00A93B58">
      <w:pPr>
        <w:pStyle w:val="10"/>
        <w:tabs>
          <w:tab w:val="right" w:pos="8296"/>
        </w:tabs>
        <w:spacing w:line="360" w:lineRule="auto"/>
        <w:rPr>
          <w:rFonts w:asciiTheme="minorHAnsi" w:eastAsiaTheme="minorEastAsia" w:hAnsiTheme="minorHAnsi" w:cstheme="minorBidi"/>
          <w:noProof/>
          <w:sz w:val="22"/>
          <w:szCs w:val="22"/>
        </w:rPr>
      </w:pPr>
      <w:r w:rsidRPr="00A93B58">
        <w:rPr>
          <w:rFonts w:ascii="宋体" w:hAnsi="宋体" w:hint="eastAsia"/>
          <w:noProof/>
          <w:sz w:val="22"/>
        </w:rPr>
        <w:t>二十、托管协议的签订</w:t>
      </w:r>
      <w:r w:rsidRPr="00A93B58">
        <w:rPr>
          <w:noProof/>
          <w:sz w:val="22"/>
        </w:rPr>
        <w:tab/>
      </w:r>
      <w:r w:rsidRPr="00A93B58">
        <w:rPr>
          <w:noProof/>
          <w:sz w:val="22"/>
        </w:rPr>
        <w:fldChar w:fldCharType="begin"/>
      </w:r>
      <w:r w:rsidRPr="00A93B58">
        <w:rPr>
          <w:noProof/>
          <w:sz w:val="22"/>
        </w:rPr>
        <w:instrText xml:space="preserve"> PAGEREF _Toc71746710 \h </w:instrText>
      </w:r>
      <w:r w:rsidRPr="00A93B58">
        <w:rPr>
          <w:noProof/>
          <w:sz w:val="22"/>
        </w:rPr>
      </w:r>
      <w:r w:rsidRPr="00A93B58">
        <w:rPr>
          <w:noProof/>
          <w:sz w:val="22"/>
        </w:rPr>
        <w:fldChar w:fldCharType="separate"/>
      </w:r>
      <w:r w:rsidRPr="00A93B58">
        <w:rPr>
          <w:noProof/>
          <w:sz w:val="22"/>
        </w:rPr>
        <w:t>32</w:t>
      </w:r>
      <w:r w:rsidRPr="00A93B58">
        <w:rPr>
          <w:noProof/>
          <w:sz w:val="22"/>
        </w:rPr>
        <w:fldChar w:fldCharType="end"/>
      </w:r>
    </w:p>
    <w:p w:rsidR="005A0C12" w:rsidRDefault="00404031" w:rsidP="00A93B58">
      <w:pPr>
        <w:pStyle w:val="10"/>
        <w:tabs>
          <w:tab w:val="right" w:pos="8296"/>
        </w:tabs>
        <w:spacing w:line="360" w:lineRule="auto"/>
        <w:rPr>
          <w:rFonts w:ascii="宋体" w:hAnsi="宋体"/>
          <w:b/>
          <w:sz w:val="24"/>
        </w:rPr>
      </w:pPr>
      <w:r w:rsidRPr="00A93B58">
        <w:rPr>
          <w:caps/>
          <w:sz w:val="22"/>
          <w:szCs w:val="21"/>
        </w:rPr>
        <w:fldChar w:fldCharType="end"/>
      </w:r>
    </w:p>
    <w:p w:rsidR="005A0C12" w:rsidRDefault="00404031">
      <w:pPr>
        <w:spacing w:before="100" w:beforeAutospacing="1" w:after="100" w:afterAutospacing="1" w:line="400" w:lineRule="exact"/>
        <w:ind w:right="26" w:firstLine="403"/>
        <w:rPr>
          <w:rFonts w:ascii="宋体" w:hAnsi="宋体"/>
          <w:szCs w:val="21"/>
        </w:rPr>
      </w:pPr>
      <w:r>
        <w:rPr>
          <w:b/>
          <w:sz w:val="24"/>
        </w:rPr>
        <w:br w:type="page"/>
      </w:r>
      <w:bookmarkStart w:id="2" w:name="_Toc309590729"/>
      <w:r>
        <w:rPr>
          <w:rFonts w:ascii="宋体" w:hAnsi="宋体"/>
          <w:szCs w:val="21"/>
        </w:rPr>
        <w:lastRenderedPageBreak/>
        <w:t>鉴于</w:t>
      </w:r>
      <w:r>
        <w:rPr>
          <w:rFonts w:ascii="宋体" w:hAnsi="宋体" w:hint="eastAsia"/>
          <w:szCs w:val="21"/>
        </w:rPr>
        <w:t>嘉</w:t>
      </w:r>
      <w:proofErr w:type="gramStart"/>
      <w:r>
        <w:rPr>
          <w:rFonts w:ascii="宋体" w:hAnsi="宋体" w:hint="eastAsia"/>
          <w:szCs w:val="21"/>
        </w:rPr>
        <w:t>实</w:t>
      </w:r>
      <w:r>
        <w:rPr>
          <w:rFonts w:ascii="宋体" w:hAnsi="宋体"/>
          <w:szCs w:val="21"/>
        </w:rPr>
        <w:t>基金</w:t>
      </w:r>
      <w:proofErr w:type="gramEnd"/>
      <w:r>
        <w:rPr>
          <w:rFonts w:ascii="宋体" w:hAnsi="宋体"/>
          <w:szCs w:val="21"/>
        </w:rPr>
        <w:t>管理有限公司是一家依照中国法律合法成立并有效存续的</w:t>
      </w:r>
      <w:r>
        <w:rPr>
          <w:rFonts w:ascii="宋体" w:hAnsi="宋体" w:hint="eastAsia"/>
          <w:szCs w:val="21"/>
        </w:rPr>
        <w:t>有限责任公司</w:t>
      </w:r>
      <w:r>
        <w:rPr>
          <w:rFonts w:ascii="宋体" w:hAnsi="宋体"/>
          <w:szCs w:val="21"/>
        </w:rPr>
        <w:t>，按照相关法律法规的规定具备担任基金管理人的资格和能力；</w:t>
      </w:r>
      <w:bookmarkEnd w:id="2"/>
    </w:p>
    <w:p w:rsidR="005A0C12" w:rsidRDefault="00404031">
      <w:pPr>
        <w:spacing w:before="100" w:beforeAutospacing="1" w:after="100" w:afterAutospacing="1" w:line="400" w:lineRule="exact"/>
        <w:ind w:right="26" w:firstLine="403"/>
        <w:rPr>
          <w:rFonts w:ascii="宋体" w:hAnsi="宋体"/>
          <w:szCs w:val="21"/>
        </w:rPr>
      </w:pPr>
      <w:r>
        <w:rPr>
          <w:rFonts w:ascii="宋体" w:hAnsi="宋体"/>
          <w:szCs w:val="21"/>
        </w:rPr>
        <w:t>鉴于中国银行股份有限公司是一家依照中国法律合法成立并有效存续的银行，按照</w:t>
      </w:r>
      <w:r>
        <w:rPr>
          <w:rFonts w:ascii="宋体" w:hAnsi="宋体" w:hint="eastAsia"/>
          <w:szCs w:val="21"/>
        </w:rPr>
        <w:t>相关</w:t>
      </w:r>
      <w:r>
        <w:rPr>
          <w:rFonts w:ascii="宋体" w:hAnsi="宋体"/>
          <w:szCs w:val="21"/>
        </w:rPr>
        <w:t>法律法规的规定具备担任基金托管人的资格和能力；</w:t>
      </w:r>
    </w:p>
    <w:p w:rsidR="005A0C12" w:rsidRDefault="00404031">
      <w:pPr>
        <w:spacing w:before="100" w:beforeAutospacing="1" w:after="100" w:afterAutospacing="1" w:line="400" w:lineRule="exact"/>
        <w:ind w:right="26" w:firstLine="403"/>
        <w:rPr>
          <w:rFonts w:ascii="宋体" w:hAnsi="宋体"/>
          <w:szCs w:val="21"/>
        </w:rPr>
      </w:pPr>
      <w:r>
        <w:rPr>
          <w:rFonts w:ascii="宋体" w:hAnsi="宋体"/>
          <w:szCs w:val="21"/>
        </w:rPr>
        <w:t>鉴于</w:t>
      </w:r>
      <w:r>
        <w:rPr>
          <w:rFonts w:ascii="宋体" w:hAnsi="宋体" w:hint="eastAsia"/>
          <w:szCs w:val="21"/>
        </w:rPr>
        <w:t>嘉</w:t>
      </w:r>
      <w:proofErr w:type="gramStart"/>
      <w:r>
        <w:rPr>
          <w:rFonts w:ascii="宋体" w:hAnsi="宋体" w:hint="eastAsia"/>
          <w:szCs w:val="21"/>
        </w:rPr>
        <w:t>实</w:t>
      </w:r>
      <w:r>
        <w:rPr>
          <w:rFonts w:ascii="宋体" w:hAnsi="宋体"/>
          <w:szCs w:val="21"/>
        </w:rPr>
        <w:t>基金</w:t>
      </w:r>
      <w:proofErr w:type="gramEnd"/>
      <w:r>
        <w:rPr>
          <w:rFonts w:ascii="宋体" w:hAnsi="宋体"/>
          <w:szCs w:val="21"/>
        </w:rPr>
        <w:t>管理有限公司拟担任</w:t>
      </w:r>
      <w:r>
        <w:rPr>
          <w:rFonts w:ascii="宋体" w:hAnsi="宋体" w:hint="eastAsia"/>
          <w:szCs w:val="21"/>
        </w:rPr>
        <w:t>嘉实领先优势混合型证券投资基金</w:t>
      </w:r>
      <w:r>
        <w:rPr>
          <w:rFonts w:ascii="宋体" w:hAnsi="宋体"/>
          <w:szCs w:val="21"/>
        </w:rPr>
        <w:t>的基金</w:t>
      </w:r>
      <w:r>
        <w:rPr>
          <w:rFonts w:ascii="宋体" w:hAnsi="宋体" w:hint="eastAsia"/>
          <w:szCs w:val="21"/>
        </w:rPr>
        <w:t>管理</w:t>
      </w:r>
      <w:r>
        <w:rPr>
          <w:rFonts w:ascii="宋体" w:hAnsi="宋体"/>
          <w:szCs w:val="21"/>
        </w:rPr>
        <w:t>人，中国银行股份有限公司拟担任</w:t>
      </w:r>
      <w:r>
        <w:rPr>
          <w:rFonts w:ascii="宋体" w:hAnsi="宋体" w:hint="eastAsia"/>
          <w:szCs w:val="21"/>
        </w:rPr>
        <w:t>嘉实领先优势混合型证券投资基金</w:t>
      </w:r>
      <w:r>
        <w:rPr>
          <w:rFonts w:ascii="宋体" w:hAnsi="宋体"/>
          <w:szCs w:val="21"/>
        </w:rPr>
        <w:t>的基金托管人；</w:t>
      </w:r>
    </w:p>
    <w:p w:rsidR="005A0C12" w:rsidRDefault="00404031">
      <w:pPr>
        <w:spacing w:before="100" w:beforeAutospacing="1" w:after="100" w:afterAutospacing="1" w:line="400" w:lineRule="exact"/>
        <w:ind w:right="26" w:firstLine="403"/>
        <w:rPr>
          <w:rFonts w:ascii="宋体" w:hAnsi="宋体"/>
          <w:szCs w:val="21"/>
          <w:lang w:val="en-GB"/>
        </w:rPr>
      </w:pPr>
      <w:r>
        <w:rPr>
          <w:rFonts w:ascii="宋体" w:hAnsi="宋体"/>
          <w:szCs w:val="21"/>
        </w:rPr>
        <w:t>为</w:t>
      </w:r>
      <w:proofErr w:type="gramStart"/>
      <w:r>
        <w:rPr>
          <w:rFonts w:ascii="宋体" w:hAnsi="宋体"/>
          <w:szCs w:val="21"/>
        </w:rPr>
        <w:t>明确</w:t>
      </w:r>
      <w:r>
        <w:rPr>
          <w:rFonts w:ascii="宋体" w:hAnsi="宋体" w:hint="eastAsia"/>
          <w:szCs w:val="21"/>
        </w:rPr>
        <w:t>嘉</w:t>
      </w:r>
      <w:proofErr w:type="gramEnd"/>
      <w:r>
        <w:rPr>
          <w:rFonts w:ascii="宋体" w:hAnsi="宋体" w:hint="eastAsia"/>
          <w:szCs w:val="21"/>
        </w:rPr>
        <w:t>实领先优势混合型证券投资</w:t>
      </w:r>
      <w:proofErr w:type="gramStart"/>
      <w:r>
        <w:rPr>
          <w:rFonts w:ascii="宋体" w:hAnsi="宋体" w:hint="eastAsia"/>
          <w:szCs w:val="21"/>
        </w:rPr>
        <w:t>基金</w:t>
      </w:r>
      <w:r>
        <w:rPr>
          <w:rFonts w:ascii="宋体" w:hAnsi="宋体"/>
          <w:szCs w:val="21"/>
        </w:rPr>
        <w:t>基金</w:t>
      </w:r>
      <w:proofErr w:type="gramEnd"/>
      <w:r>
        <w:rPr>
          <w:rFonts w:ascii="宋体" w:hAnsi="宋体"/>
          <w:szCs w:val="21"/>
        </w:rPr>
        <w:t>管理人和基金托管人之间的权利</w:t>
      </w:r>
      <w:r>
        <w:rPr>
          <w:rFonts w:ascii="宋体" w:hAnsi="宋体" w:hint="eastAsia"/>
          <w:szCs w:val="21"/>
        </w:rPr>
        <w:t>义务</w:t>
      </w:r>
      <w:r>
        <w:rPr>
          <w:rFonts w:ascii="宋体" w:hAnsi="宋体"/>
          <w:szCs w:val="21"/>
        </w:rPr>
        <w:t>关系，特制订本协议。</w:t>
      </w:r>
      <w:bookmarkStart w:id="3" w:name="_Toc30230313"/>
    </w:p>
    <w:p w:rsidR="005A0C12" w:rsidRDefault="00404031">
      <w:pPr>
        <w:spacing w:before="100" w:beforeAutospacing="1" w:after="100" w:afterAutospacing="1" w:line="400" w:lineRule="exact"/>
        <w:ind w:right="26" w:firstLine="403"/>
        <w:rPr>
          <w:rFonts w:ascii="宋体" w:hAnsi="宋体"/>
          <w:szCs w:val="21"/>
        </w:rPr>
      </w:pPr>
      <w:r>
        <w:rPr>
          <w:rFonts w:ascii="宋体" w:hAnsi="宋体" w:hint="eastAsia"/>
          <w:szCs w:val="21"/>
          <w:lang w:val="en-GB"/>
        </w:rPr>
        <w:t>若本基金实施</w:t>
      </w:r>
      <w:proofErr w:type="gramStart"/>
      <w:r>
        <w:rPr>
          <w:rFonts w:ascii="宋体" w:hAnsi="宋体" w:hint="eastAsia"/>
          <w:szCs w:val="21"/>
          <w:lang w:val="en-GB"/>
        </w:rPr>
        <w:t>侧袋机制</w:t>
      </w:r>
      <w:proofErr w:type="gramEnd"/>
      <w:r>
        <w:rPr>
          <w:rFonts w:ascii="宋体" w:hAnsi="宋体" w:hint="eastAsia"/>
          <w:szCs w:val="21"/>
          <w:lang w:val="en-GB"/>
        </w:rPr>
        <w:t>的，</w:t>
      </w:r>
      <w:proofErr w:type="gramStart"/>
      <w:r>
        <w:rPr>
          <w:rFonts w:ascii="宋体" w:hAnsi="宋体" w:hint="eastAsia"/>
          <w:szCs w:val="21"/>
          <w:lang w:val="en-GB"/>
        </w:rPr>
        <w:t>侧袋机制</w:t>
      </w:r>
      <w:proofErr w:type="gramEnd"/>
      <w:r>
        <w:rPr>
          <w:rFonts w:ascii="宋体" w:hAnsi="宋体" w:hint="eastAsia"/>
          <w:szCs w:val="21"/>
          <w:lang w:val="en-GB"/>
        </w:rPr>
        <w:t>实施期间的相关安排</w:t>
      </w:r>
      <w:proofErr w:type="gramStart"/>
      <w:r>
        <w:rPr>
          <w:rFonts w:ascii="宋体" w:hAnsi="宋体" w:hint="eastAsia"/>
          <w:szCs w:val="21"/>
          <w:lang w:val="en-GB"/>
        </w:rPr>
        <w:t>见基金</w:t>
      </w:r>
      <w:proofErr w:type="gramEnd"/>
      <w:r>
        <w:rPr>
          <w:rFonts w:ascii="宋体" w:hAnsi="宋体" w:hint="eastAsia"/>
          <w:szCs w:val="21"/>
          <w:lang w:val="en-GB"/>
        </w:rPr>
        <w:t>合同和招募说明书的规定。</w:t>
      </w:r>
    </w:p>
    <w:p w:rsidR="005A0C12" w:rsidRDefault="00404031">
      <w:pPr>
        <w:widowControl/>
        <w:jc w:val="left"/>
        <w:rPr>
          <w:rFonts w:ascii="宋体" w:hAnsi="宋体"/>
          <w:szCs w:val="21"/>
        </w:rPr>
      </w:pPr>
      <w:r>
        <w:rPr>
          <w:rFonts w:hAnsi="宋体"/>
          <w:szCs w:val="21"/>
        </w:rPr>
        <w:br w:type="page"/>
      </w:r>
    </w:p>
    <w:p w:rsidR="005A0C12" w:rsidRDefault="00404031">
      <w:pPr>
        <w:pStyle w:val="1"/>
        <w:spacing w:before="100" w:beforeAutospacing="1" w:after="100" w:afterAutospacing="1" w:line="400" w:lineRule="exact"/>
        <w:ind w:firstLine="422"/>
        <w:rPr>
          <w:rFonts w:ascii="宋体" w:hAnsi="宋体"/>
          <w:sz w:val="21"/>
        </w:rPr>
      </w:pPr>
      <w:bookmarkStart w:id="4" w:name="_Toc116900096"/>
      <w:bookmarkStart w:id="5" w:name="_Toc71746691"/>
      <w:r>
        <w:rPr>
          <w:rFonts w:ascii="宋体" w:hAnsi="宋体"/>
          <w:kern w:val="2"/>
          <w:sz w:val="21"/>
        </w:rPr>
        <w:lastRenderedPageBreak/>
        <w:t>一、托管协议当事人</w:t>
      </w:r>
      <w:bookmarkEnd w:id="3"/>
      <w:bookmarkEnd w:id="4"/>
      <w:bookmarkEnd w:id="5"/>
    </w:p>
    <w:p w:rsidR="005A0C12" w:rsidRDefault="00404031">
      <w:pPr>
        <w:pStyle w:val="a7"/>
        <w:spacing w:before="100" w:beforeAutospacing="1" w:after="100" w:afterAutospacing="1" w:line="400" w:lineRule="exact"/>
        <w:ind w:firstLine="403"/>
        <w:rPr>
          <w:rFonts w:hAnsi="宋体"/>
        </w:rPr>
      </w:pPr>
      <w:r>
        <w:rPr>
          <w:rFonts w:hAnsi="宋体"/>
        </w:rPr>
        <w:t>（一）基金管理人（或简称“管理人”）</w:t>
      </w:r>
    </w:p>
    <w:p w:rsidR="005A0C12" w:rsidRDefault="00404031">
      <w:pPr>
        <w:spacing w:before="100" w:beforeAutospacing="1" w:after="100" w:afterAutospacing="1" w:line="400" w:lineRule="exact"/>
        <w:ind w:right="26" w:firstLine="403"/>
        <w:rPr>
          <w:rFonts w:ascii="宋体" w:hAnsi="宋体"/>
          <w:szCs w:val="21"/>
        </w:rPr>
      </w:pPr>
      <w:r>
        <w:rPr>
          <w:rFonts w:ascii="宋体" w:hAnsi="宋体"/>
          <w:szCs w:val="21"/>
        </w:rPr>
        <w:t>名称：</w:t>
      </w:r>
      <w:r>
        <w:rPr>
          <w:rFonts w:ascii="宋体" w:hAnsi="宋体" w:hint="eastAsia"/>
          <w:szCs w:val="21"/>
        </w:rPr>
        <w:t>嘉</w:t>
      </w:r>
      <w:proofErr w:type="gramStart"/>
      <w:r>
        <w:rPr>
          <w:rFonts w:ascii="宋体" w:hAnsi="宋体" w:hint="eastAsia"/>
          <w:szCs w:val="21"/>
        </w:rPr>
        <w:t>实</w:t>
      </w:r>
      <w:r>
        <w:rPr>
          <w:rFonts w:ascii="宋体" w:hAnsi="宋体"/>
          <w:szCs w:val="21"/>
        </w:rPr>
        <w:t>基金</w:t>
      </w:r>
      <w:proofErr w:type="gramEnd"/>
      <w:r>
        <w:rPr>
          <w:rFonts w:ascii="宋体" w:hAnsi="宋体"/>
          <w:szCs w:val="21"/>
        </w:rPr>
        <w:t>管理有限公司</w:t>
      </w:r>
    </w:p>
    <w:p w:rsidR="005A0C12" w:rsidRDefault="00404031">
      <w:pPr>
        <w:spacing w:before="100" w:beforeAutospacing="1" w:after="100" w:afterAutospacing="1" w:line="400" w:lineRule="exact"/>
        <w:ind w:right="26" w:firstLine="403"/>
        <w:rPr>
          <w:rFonts w:ascii="宋体" w:hAnsi="宋体"/>
          <w:szCs w:val="21"/>
        </w:rPr>
      </w:pPr>
      <w:r>
        <w:rPr>
          <w:rFonts w:ascii="宋体" w:hAnsi="宋体" w:hint="eastAsia"/>
          <w:szCs w:val="21"/>
        </w:rPr>
        <w:t>住所：中国（上海）自由贸易试验区世纪大道8号上海国金中心二期27楼09-14单元</w:t>
      </w:r>
    </w:p>
    <w:p w:rsidR="005A0C12" w:rsidRDefault="00404031">
      <w:pPr>
        <w:spacing w:before="100" w:beforeAutospacing="1" w:after="100" w:afterAutospacing="1" w:line="400" w:lineRule="exact"/>
        <w:ind w:right="26" w:firstLine="403"/>
        <w:rPr>
          <w:rFonts w:ascii="宋体" w:hAnsi="宋体"/>
          <w:szCs w:val="21"/>
        </w:rPr>
      </w:pPr>
      <w:r>
        <w:rPr>
          <w:rFonts w:ascii="宋体" w:hAnsi="宋体" w:hint="eastAsia"/>
          <w:szCs w:val="21"/>
        </w:rPr>
        <w:t>办公地址：北京市朝阳区建国门外大街21号北京国际俱乐部C座写字楼12A层</w:t>
      </w:r>
    </w:p>
    <w:p w:rsidR="005A0C12" w:rsidRDefault="00404031">
      <w:pPr>
        <w:spacing w:before="100" w:beforeAutospacing="1" w:after="100" w:afterAutospacing="1" w:line="400" w:lineRule="exact"/>
        <w:ind w:right="26" w:firstLine="403"/>
        <w:rPr>
          <w:rFonts w:ascii="宋体" w:hAnsi="宋体"/>
          <w:szCs w:val="21"/>
        </w:rPr>
      </w:pPr>
      <w:r>
        <w:rPr>
          <w:rFonts w:ascii="宋体" w:hAnsi="宋体"/>
          <w:szCs w:val="21"/>
        </w:rPr>
        <w:t>法定代表人:</w:t>
      </w:r>
      <w:r>
        <w:rPr>
          <w:rFonts w:ascii="宋体" w:hAnsi="宋体" w:hint="eastAsia"/>
          <w:szCs w:val="21"/>
        </w:rPr>
        <w:t>经雷</w:t>
      </w:r>
    </w:p>
    <w:p w:rsidR="005A0C12" w:rsidRDefault="00404031">
      <w:pPr>
        <w:spacing w:before="100" w:beforeAutospacing="1" w:after="100" w:afterAutospacing="1" w:line="400" w:lineRule="exact"/>
        <w:ind w:right="26" w:firstLine="403"/>
        <w:rPr>
          <w:rFonts w:ascii="宋体" w:hAnsi="宋体"/>
          <w:szCs w:val="21"/>
        </w:rPr>
      </w:pPr>
      <w:r>
        <w:rPr>
          <w:rFonts w:ascii="宋体" w:hAnsi="宋体"/>
          <w:szCs w:val="21"/>
        </w:rPr>
        <w:t>成立时间：</w:t>
      </w:r>
      <w:r>
        <w:rPr>
          <w:rFonts w:ascii="宋体" w:hAnsi="宋体" w:hint="eastAsia"/>
          <w:szCs w:val="21"/>
        </w:rPr>
        <w:t>1999年3月25日</w:t>
      </w:r>
    </w:p>
    <w:p w:rsidR="005A0C12" w:rsidRDefault="00404031">
      <w:pPr>
        <w:spacing w:before="100" w:beforeAutospacing="1" w:after="100" w:afterAutospacing="1" w:line="400" w:lineRule="exact"/>
        <w:ind w:right="26" w:firstLine="403"/>
        <w:rPr>
          <w:rFonts w:ascii="宋体" w:hAnsi="宋体"/>
          <w:szCs w:val="21"/>
        </w:rPr>
      </w:pPr>
      <w:r>
        <w:rPr>
          <w:rFonts w:ascii="宋体" w:hAnsi="宋体"/>
          <w:szCs w:val="21"/>
        </w:rPr>
        <w:t>批准设立机关：中国证券监督管理委员会</w:t>
      </w:r>
    </w:p>
    <w:p w:rsidR="005A0C12" w:rsidRDefault="00404031">
      <w:pPr>
        <w:spacing w:before="100" w:beforeAutospacing="1" w:after="100" w:afterAutospacing="1" w:line="400" w:lineRule="exact"/>
        <w:ind w:right="26" w:firstLine="403"/>
        <w:rPr>
          <w:rFonts w:ascii="宋体" w:hAnsi="宋体"/>
          <w:szCs w:val="21"/>
        </w:rPr>
      </w:pPr>
      <w:r>
        <w:rPr>
          <w:rFonts w:ascii="宋体" w:hAnsi="宋体"/>
          <w:szCs w:val="21"/>
        </w:rPr>
        <w:t>批准设立文号：</w:t>
      </w:r>
      <w:r>
        <w:rPr>
          <w:rFonts w:ascii="宋体" w:hAnsi="宋体" w:hint="eastAsia"/>
          <w:szCs w:val="21"/>
        </w:rPr>
        <w:t>中国证监会</w:t>
      </w:r>
      <w:proofErr w:type="gramStart"/>
      <w:r>
        <w:rPr>
          <w:rFonts w:ascii="宋体" w:hAnsi="宋体" w:hint="eastAsia"/>
          <w:szCs w:val="21"/>
        </w:rPr>
        <w:t>证监基字</w:t>
      </w:r>
      <w:proofErr w:type="gramEnd"/>
      <w:r>
        <w:rPr>
          <w:rFonts w:ascii="宋体" w:hAnsi="宋体" w:hint="eastAsia"/>
          <w:szCs w:val="21"/>
        </w:rPr>
        <w:t>【1999】5号</w:t>
      </w:r>
    </w:p>
    <w:p w:rsidR="005A0C12" w:rsidRDefault="00404031">
      <w:pPr>
        <w:spacing w:before="100" w:beforeAutospacing="1" w:after="100" w:afterAutospacing="1" w:line="400" w:lineRule="exact"/>
        <w:ind w:right="26" w:firstLine="403"/>
        <w:rPr>
          <w:rFonts w:ascii="宋体" w:hAnsi="宋体" w:cs="Arial"/>
          <w:kern w:val="0"/>
          <w:szCs w:val="21"/>
        </w:rPr>
      </w:pPr>
      <w:r>
        <w:rPr>
          <w:rFonts w:ascii="宋体" w:hAnsi="宋体"/>
          <w:szCs w:val="21"/>
        </w:rPr>
        <w:t>组织形式：</w:t>
      </w:r>
      <w:r>
        <w:rPr>
          <w:rFonts w:ascii="宋体" w:hAnsi="宋体" w:cs="Arial" w:hint="eastAsia"/>
          <w:kern w:val="0"/>
          <w:szCs w:val="21"/>
        </w:rPr>
        <w:t>有限责任公司（中外合资）</w:t>
      </w:r>
    </w:p>
    <w:p w:rsidR="005A0C12" w:rsidRDefault="00404031">
      <w:pPr>
        <w:spacing w:before="100" w:beforeAutospacing="1" w:after="100" w:afterAutospacing="1" w:line="400" w:lineRule="exact"/>
        <w:ind w:right="26" w:firstLine="403"/>
        <w:rPr>
          <w:rFonts w:ascii="宋体" w:hAnsi="宋体"/>
          <w:szCs w:val="21"/>
        </w:rPr>
      </w:pPr>
      <w:r>
        <w:rPr>
          <w:rFonts w:ascii="宋体" w:hAnsi="宋体"/>
          <w:szCs w:val="21"/>
        </w:rPr>
        <w:t>注册资本：</w:t>
      </w:r>
      <w:r>
        <w:rPr>
          <w:rFonts w:ascii="宋体" w:hAnsi="宋体" w:hint="eastAsia"/>
          <w:szCs w:val="21"/>
        </w:rPr>
        <w:t>1.5亿元人民币</w:t>
      </w:r>
    </w:p>
    <w:p w:rsidR="005A0C12" w:rsidRDefault="00404031">
      <w:pPr>
        <w:spacing w:before="100" w:beforeAutospacing="1" w:after="100" w:afterAutospacing="1" w:line="400" w:lineRule="exact"/>
        <w:ind w:right="26" w:firstLine="403"/>
        <w:rPr>
          <w:rFonts w:ascii="宋体" w:hAnsi="宋体"/>
          <w:szCs w:val="21"/>
        </w:rPr>
      </w:pPr>
      <w:r>
        <w:rPr>
          <w:rFonts w:ascii="宋体" w:hAnsi="宋体"/>
          <w:szCs w:val="21"/>
        </w:rPr>
        <w:t>经营范围：</w:t>
      </w:r>
      <w:r>
        <w:rPr>
          <w:rFonts w:ascii="宋体" w:hAnsi="宋体" w:hint="eastAsia"/>
          <w:szCs w:val="21"/>
        </w:rPr>
        <w:t>基金募集、基金销售、资产管理及中国证监会许可的其他业务</w:t>
      </w:r>
    </w:p>
    <w:p w:rsidR="005A0C12" w:rsidRDefault="00404031">
      <w:pPr>
        <w:spacing w:before="100" w:beforeAutospacing="1" w:after="100" w:afterAutospacing="1" w:line="400" w:lineRule="exact"/>
        <w:ind w:right="26" w:firstLine="403"/>
        <w:rPr>
          <w:rFonts w:hAnsi="宋体"/>
          <w:szCs w:val="21"/>
        </w:rPr>
      </w:pPr>
      <w:r>
        <w:rPr>
          <w:rFonts w:hAnsi="宋体"/>
          <w:szCs w:val="21"/>
        </w:rPr>
        <w:t>存续期间：持续经营</w:t>
      </w:r>
    </w:p>
    <w:p w:rsidR="005A0C12" w:rsidRDefault="00404031">
      <w:pPr>
        <w:pStyle w:val="a7"/>
        <w:spacing w:before="100" w:beforeAutospacing="1" w:after="100" w:afterAutospacing="1" w:line="400" w:lineRule="exact"/>
        <w:ind w:firstLine="403"/>
        <w:rPr>
          <w:rFonts w:hAnsi="宋体"/>
        </w:rPr>
      </w:pPr>
      <w:r>
        <w:rPr>
          <w:rFonts w:hAnsi="宋体"/>
        </w:rPr>
        <w:t>（二）基金托管人（或简称“托管人”）</w:t>
      </w:r>
    </w:p>
    <w:p w:rsidR="005A0C12" w:rsidRDefault="00404031">
      <w:pPr>
        <w:spacing w:before="100" w:beforeAutospacing="1" w:after="100" w:afterAutospacing="1" w:line="400" w:lineRule="exact"/>
        <w:ind w:right="26" w:firstLine="403"/>
        <w:rPr>
          <w:rFonts w:ascii="宋体" w:hAnsi="宋体"/>
          <w:szCs w:val="21"/>
        </w:rPr>
      </w:pPr>
      <w:r>
        <w:rPr>
          <w:rFonts w:ascii="宋体" w:hAnsi="宋体"/>
          <w:szCs w:val="21"/>
        </w:rPr>
        <w:t>名称：中国银行股份有限公司</w:t>
      </w:r>
    </w:p>
    <w:p w:rsidR="005A0C12" w:rsidRDefault="00404031">
      <w:pPr>
        <w:spacing w:before="100" w:beforeAutospacing="1" w:after="100" w:afterAutospacing="1" w:line="400" w:lineRule="exact"/>
        <w:ind w:right="26" w:firstLine="403"/>
        <w:rPr>
          <w:rFonts w:ascii="宋体" w:hAnsi="宋体"/>
          <w:szCs w:val="21"/>
        </w:rPr>
      </w:pPr>
      <w:r>
        <w:rPr>
          <w:rFonts w:ascii="宋体" w:hAnsi="宋体"/>
          <w:szCs w:val="21"/>
        </w:rPr>
        <w:t>住所</w:t>
      </w:r>
      <w:r>
        <w:rPr>
          <w:rFonts w:ascii="宋体" w:hAnsi="宋体" w:hint="eastAsia"/>
          <w:szCs w:val="21"/>
        </w:rPr>
        <w:t>及办公地址</w:t>
      </w:r>
      <w:r>
        <w:rPr>
          <w:rFonts w:ascii="宋体" w:hAnsi="宋体"/>
          <w:szCs w:val="21"/>
        </w:rPr>
        <w:t>：北京市西城区复兴门内大街1号</w:t>
      </w:r>
    </w:p>
    <w:p w:rsidR="005A0C12" w:rsidRDefault="00404031">
      <w:pPr>
        <w:spacing w:before="100" w:beforeAutospacing="1" w:after="100" w:afterAutospacing="1" w:line="400" w:lineRule="exact"/>
        <w:ind w:right="26" w:firstLine="403"/>
        <w:rPr>
          <w:rFonts w:ascii="宋体" w:hAnsi="宋体"/>
          <w:szCs w:val="21"/>
        </w:rPr>
      </w:pPr>
      <w:r>
        <w:rPr>
          <w:rFonts w:ascii="宋体" w:hAnsi="宋体"/>
          <w:szCs w:val="21"/>
        </w:rPr>
        <w:t xml:space="preserve">法定代表人: </w:t>
      </w:r>
      <w:r>
        <w:rPr>
          <w:rFonts w:ascii="宋体" w:hAnsi="宋体" w:hint="eastAsia"/>
          <w:szCs w:val="21"/>
        </w:rPr>
        <w:t>刘连舸</w:t>
      </w:r>
    </w:p>
    <w:p w:rsidR="005A0C12" w:rsidRDefault="00404031">
      <w:pPr>
        <w:spacing w:before="100" w:beforeAutospacing="1" w:after="100" w:afterAutospacing="1" w:line="400" w:lineRule="exact"/>
        <w:ind w:firstLine="435"/>
        <w:rPr>
          <w:rFonts w:ascii="宋体" w:hAnsi="宋体"/>
          <w:kern w:val="0"/>
          <w:szCs w:val="21"/>
        </w:rPr>
      </w:pPr>
      <w:r>
        <w:rPr>
          <w:rFonts w:ascii="宋体" w:hAnsi="宋体"/>
          <w:szCs w:val="21"/>
        </w:rPr>
        <w:t>成立时间：</w:t>
      </w:r>
      <w:r>
        <w:rPr>
          <w:rFonts w:ascii="宋体" w:hAnsi="宋体" w:hint="eastAsia"/>
          <w:szCs w:val="21"/>
        </w:rPr>
        <w:t>1983年10月31日</w:t>
      </w:r>
    </w:p>
    <w:p w:rsidR="005A0C12" w:rsidRDefault="00404031">
      <w:pPr>
        <w:spacing w:before="100" w:beforeAutospacing="1" w:after="100" w:afterAutospacing="1" w:line="400" w:lineRule="exact"/>
        <w:ind w:firstLine="420"/>
        <w:rPr>
          <w:rFonts w:ascii="宋体" w:hAnsi="宋体"/>
          <w:szCs w:val="21"/>
        </w:rPr>
      </w:pPr>
      <w:r>
        <w:rPr>
          <w:rFonts w:ascii="宋体" w:hAnsi="宋体"/>
          <w:kern w:val="0"/>
          <w:szCs w:val="21"/>
        </w:rPr>
        <w:t>基金托管业务批准文号：中国证监会</w:t>
      </w:r>
      <w:proofErr w:type="gramStart"/>
      <w:r>
        <w:rPr>
          <w:rFonts w:ascii="宋体" w:hAnsi="宋体"/>
          <w:kern w:val="0"/>
          <w:szCs w:val="21"/>
        </w:rPr>
        <w:t>证监基字</w:t>
      </w:r>
      <w:proofErr w:type="gramEnd"/>
      <w:r>
        <w:rPr>
          <w:rFonts w:ascii="宋体" w:hAnsi="宋体"/>
          <w:kern w:val="0"/>
          <w:szCs w:val="21"/>
        </w:rPr>
        <w:t>【1998】24号</w:t>
      </w:r>
    </w:p>
    <w:p w:rsidR="005A0C12" w:rsidRDefault="00404031">
      <w:pPr>
        <w:tabs>
          <w:tab w:val="left" w:pos="1110"/>
        </w:tabs>
        <w:spacing w:before="100" w:beforeAutospacing="1" w:after="100" w:afterAutospacing="1" w:line="400" w:lineRule="exact"/>
        <w:ind w:firstLine="420"/>
        <w:rPr>
          <w:rFonts w:ascii="宋体" w:hAnsi="宋体"/>
          <w:szCs w:val="21"/>
        </w:rPr>
      </w:pPr>
      <w:r>
        <w:rPr>
          <w:rFonts w:ascii="宋体" w:hAnsi="宋体"/>
          <w:szCs w:val="21"/>
        </w:rPr>
        <w:t>组织形式：股份有限公司</w:t>
      </w:r>
    </w:p>
    <w:p w:rsidR="005A0C12" w:rsidRDefault="00404031">
      <w:pPr>
        <w:tabs>
          <w:tab w:val="left" w:pos="1110"/>
        </w:tabs>
        <w:spacing w:before="100" w:beforeAutospacing="1" w:after="100" w:afterAutospacing="1" w:line="400" w:lineRule="exact"/>
        <w:ind w:firstLine="420"/>
        <w:rPr>
          <w:color w:val="000000"/>
          <w:kern w:val="0"/>
          <w:szCs w:val="21"/>
        </w:rPr>
      </w:pPr>
      <w:r>
        <w:rPr>
          <w:color w:val="000000"/>
          <w:kern w:val="0"/>
          <w:szCs w:val="21"/>
        </w:rPr>
        <w:lastRenderedPageBreak/>
        <w:t>注册资本：</w:t>
      </w:r>
      <w:r>
        <w:rPr>
          <w:rFonts w:ascii="宋体" w:hAnsi="宋体" w:hint="eastAsia"/>
          <w:bCs/>
          <w:kern w:val="0"/>
          <w:szCs w:val="21"/>
        </w:rPr>
        <w:t>人民币</w:t>
      </w:r>
      <w:proofErr w:type="gramStart"/>
      <w:r>
        <w:rPr>
          <w:rFonts w:ascii="宋体" w:hAnsi="宋体" w:hint="eastAsia"/>
          <w:bCs/>
          <w:kern w:val="0"/>
          <w:szCs w:val="21"/>
        </w:rPr>
        <w:t>贰仟玖佰肆拾叁亿捌仟柒佰柒拾玖万壹仟贰佰肆拾壹</w:t>
      </w:r>
      <w:proofErr w:type="gramEnd"/>
      <w:r>
        <w:rPr>
          <w:rFonts w:ascii="宋体" w:hAnsi="宋体" w:hint="eastAsia"/>
          <w:bCs/>
          <w:kern w:val="0"/>
          <w:szCs w:val="21"/>
        </w:rPr>
        <w:t>元整</w:t>
      </w:r>
    </w:p>
    <w:p w:rsidR="005A0C12" w:rsidRDefault="00404031">
      <w:pPr>
        <w:spacing w:before="100" w:beforeAutospacing="1" w:after="100" w:afterAutospacing="1" w:line="400" w:lineRule="exact"/>
        <w:ind w:left="1674" w:right="26" w:hanging="1271"/>
        <w:rPr>
          <w:rFonts w:ascii="宋体" w:hAnsi="宋体"/>
          <w:szCs w:val="21"/>
        </w:rPr>
      </w:pPr>
      <w:r>
        <w:rPr>
          <w:rFonts w:ascii="宋体" w:hAnsi="宋体"/>
          <w:szCs w:val="21"/>
        </w:rPr>
        <w:t>经营范围：</w:t>
      </w:r>
      <w:r>
        <w:rPr>
          <w:rFonts w:ascii="宋体" w:hAnsi="宋体" w:hint="eastAsia"/>
          <w:szCs w:val="21"/>
        </w:rPr>
        <w:tab/>
      </w:r>
      <w:r>
        <w:rPr>
          <w:rFonts w:ascii="宋体" w:hAnsi="宋体"/>
          <w:szCs w:val="21"/>
        </w:rPr>
        <w:t>吸收人民币存款；发放短期、中期和长期贷款；办理结算；办理票据</w:t>
      </w:r>
      <w:r>
        <w:rPr>
          <w:rFonts w:ascii="宋体" w:hAnsi="宋体" w:hint="eastAsia"/>
          <w:szCs w:val="21"/>
        </w:rPr>
        <w:t>贴现</w:t>
      </w:r>
      <w:r>
        <w:rPr>
          <w:rFonts w:ascii="宋体" w:hAnsi="宋体"/>
          <w:szCs w:val="21"/>
        </w:rPr>
        <w:t>；发行金融债券；代理发行、代理兑付、承销政府债券；买卖</w:t>
      </w:r>
      <w:r>
        <w:rPr>
          <w:rFonts w:ascii="宋体" w:hAnsi="宋体" w:hint="eastAsia"/>
          <w:szCs w:val="21"/>
        </w:rPr>
        <w:t>政府债券</w:t>
      </w:r>
      <w:r>
        <w:rPr>
          <w:rFonts w:ascii="宋体" w:hAnsi="宋体"/>
          <w:szCs w:val="21"/>
        </w:rPr>
        <w:t>；从事同业拆借；提供信用证服务及担保；代理收付款项及代理保险业务；提供保险箱服务；外汇存款；外汇贷款；外汇汇款；外汇兑换；国际结算；同业外汇拆借；外汇票据的承兑和贴现；外汇借款；外汇</w:t>
      </w:r>
      <w:r>
        <w:rPr>
          <w:rFonts w:ascii="宋体" w:hAnsi="宋体" w:hint="eastAsia"/>
          <w:szCs w:val="21"/>
        </w:rPr>
        <w:t>担保</w:t>
      </w:r>
      <w:r>
        <w:rPr>
          <w:rFonts w:ascii="宋体" w:hAnsi="宋体"/>
          <w:szCs w:val="21"/>
        </w:rPr>
        <w:t>；结汇、售汇；发行和代理发行股票以外的外币有价证券；买卖和</w:t>
      </w:r>
      <w:r>
        <w:rPr>
          <w:rFonts w:ascii="宋体" w:hAnsi="宋体" w:hint="eastAsia"/>
          <w:szCs w:val="21"/>
        </w:rPr>
        <w:t>代理</w:t>
      </w:r>
      <w:r>
        <w:rPr>
          <w:rFonts w:ascii="宋体" w:hAnsi="宋体"/>
          <w:szCs w:val="21"/>
        </w:rPr>
        <w:t>买卖股票以外的外币有价证券；自营外汇买卖；代客外汇买卖；外汇信用卡的发行和代理国外信用卡的发行及付款；资信调查、咨询、见证业务；组织或参加银团贷款；国际贵金属买卖；海外分支机构经营与</w:t>
      </w:r>
      <w:r>
        <w:rPr>
          <w:rFonts w:ascii="宋体" w:hAnsi="宋体" w:hint="eastAsia"/>
          <w:szCs w:val="21"/>
        </w:rPr>
        <w:t>当地</w:t>
      </w:r>
      <w:r>
        <w:rPr>
          <w:rFonts w:ascii="宋体" w:hAnsi="宋体"/>
          <w:szCs w:val="21"/>
        </w:rPr>
        <w:t>法律许可的一切银行业务；在港澳地区的分行依据当地法令可发行或参与代理发行当地货币；经中国人民银行批准的其他业务。</w:t>
      </w:r>
    </w:p>
    <w:p w:rsidR="005A0C12" w:rsidRDefault="00404031">
      <w:pPr>
        <w:spacing w:before="100" w:beforeAutospacing="1" w:after="100" w:afterAutospacing="1" w:line="400" w:lineRule="exact"/>
        <w:ind w:firstLine="403"/>
        <w:rPr>
          <w:rFonts w:ascii="宋体" w:hAnsi="宋体"/>
          <w:szCs w:val="21"/>
        </w:rPr>
      </w:pPr>
      <w:r>
        <w:rPr>
          <w:rFonts w:ascii="宋体" w:hAnsi="宋体"/>
          <w:szCs w:val="21"/>
        </w:rPr>
        <w:t>存续期间：持续经营</w:t>
      </w:r>
    </w:p>
    <w:p w:rsidR="005A0C12" w:rsidRDefault="005A0C12">
      <w:pPr>
        <w:spacing w:before="100" w:beforeAutospacing="1" w:after="100" w:afterAutospacing="1" w:line="400" w:lineRule="exact"/>
        <w:ind w:firstLine="403"/>
        <w:rPr>
          <w:rFonts w:ascii="宋体" w:hAnsi="宋体"/>
        </w:rPr>
      </w:pPr>
    </w:p>
    <w:p w:rsidR="005A0C12" w:rsidRDefault="00404031">
      <w:pPr>
        <w:pStyle w:val="1"/>
        <w:spacing w:before="100" w:beforeAutospacing="1" w:after="100" w:afterAutospacing="1" w:line="400" w:lineRule="exact"/>
        <w:ind w:firstLine="422"/>
        <w:rPr>
          <w:rFonts w:ascii="宋体" w:hAnsi="宋体"/>
          <w:sz w:val="21"/>
        </w:rPr>
      </w:pPr>
      <w:bookmarkStart w:id="6" w:name="_Toc116900097"/>
      <w:bookmarkStart w:id="7" w:name="_Toc71746692"/>
      <w:r>
        <w:rPr>
          <w:rFonts w:ascii="宋体" w:hAnsi="宋体"/>
          <w:kern w:val="2"/>
          <w:sz w:val="21"/>
        </w:rPr>
        <w:t>二、托管协议的依据、目的、原则和解释</w:t>
      </w:r>
      <w:bookmarkEnd w:id="6"/>
      <w:bookmarkEnd w:id="7"/>
    </w:p>
    <w:p w:rsidR="005A0C12" w:rsidRDefault="00404031">
      <w:pPr>
        <w:spacing w:before="100" w:beforeAutospacing="1" w:after="100" w:afterAutospacing="1" w:line="400" w:lineRule="exact"/>
        <w:ind w:firstLine="403"/>
        <w:rPr>
          <w:rFonts w:ascii="宋体" w:hAnsi="宋体"/>
          <w:szCs w:val="21"/>
        </w:rPr>
      </w:pPr>
      <w:r>
        <w:rPr>
          <w:rFonts w:ascii="宋体" w:hAnsi="宋体"/>
          <w:szCs w:val="21"/>
        </w:rPr>
        <w:t>（一）依据</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本协议依据《中华人民共和国</w:t>
      </w:r>
      <w:r>
        <w:rPr>
          <w:rFonts w:ascii="宋体" w:eastAsia="宋体" w:hint="eastAsia"/>
          <w:color w:val="auto"/>
          <w:sz w:val="21"/>
          <w:szCs w:val="21"/>
        </w:rPr>
        <w:t>民法典</w:t>
      </w:r>
      <w:r>
        <w:rPr>
          <w:rFonts w:ascii="宋体" w:eastAsia="宋体"/>
          <w:color w:val="auto"/>
          <w:sz w:val="21"/>
          <w:szCs w:val="21"/>
        </w:rPr>
        <w:t>》、《中华人民共和国证券投资基金法》（以下简称“《基金法》”）、《</w:t>
      </w:r>
      <w:r>
        <w:rPr>
          <w:rFonts w:ascii="宋体" w:eastAsia="宋体" w:hint="eastAsia"/>
          <w:color w:val="auto"/>
          <w:sz w:val="21"/>
          <w:szCs w:val="21"/>
        </w:rPr>
        <w:t>公开募集</w:t>
      </w:r>
      <w:r>
        <w:rPr>
          <w:rFonts w:ascii="宋体" w:eastAsia="宋体"/>
          <w:color w:val="auto"/>
          <w:sz w:val="21"/>
          <w:szCs w:val="21"/>
        </w:rPr>
        <w:t>证券投资基金运作管理办法》（以下简称“《运作办法》”）、</w:t>
      </w:r>
      <w:r>
        <w:rPr>
          <w:rFonts w:ascii="宋体" w:eastAsia="宋体" w:hint="eastAsia"/>
          <w:sz w:val="21"/>
          <w:szCs w:val="21"/>
        </w:rPr>
        <w:t>《公开募集证券投资基金信息披露管理办法》</w:t>
      </w:r>
      <w:r>
        <w:rPr>
          <w:rFonts w:ascii="宋体" w:eastAsia="宋体"/>
          <w:color w:val="auto"/>
          <w:sz w:val="21"/>
          <w:szCs w:val="21"/>
        </w:rPr>
        <w:t>（以下简称“《信息披露办法》”）</w:t>
      </w:r>
      <w:r>
        <w:rPr>
          <w:rFonts w:ascii="宋体" w:eastAsia="宋体" w:hint="eastAsia"/>
          <w:color w:val="auto"/>
          <w:sz w:val="21"/>
          <w:szCs w:val="21"/>
        </w:rPr>
        <w:t>、《公开募集开放式证券投资基金流动性风险管理规定》(以下简称“《流动性风险管理规定》”)</w:t>
      </w:r>
      <w:r>
        <w:rPr>
          <w:rFonts w:ascii="宋体" w:eastAsia="宋体"/>
          <w:color w:val="auto"/>
          <w:sz w:val="21"/>
          <w:szCs w:val="21"/>
        </w:rPr>
        <w:t>及其他有关法律法规与</w:t>
      </w:r>
      <w:r>
        <w:rPr>
          <w:rFonts w:ascii="宋体" w:eastAsia="宋体" w:hint="eastAsia"/>
          <w:sz w:val="21"/>
          <w:szCs w:val="21"/>
        </w:rPr>
        <w:t>《嘉实领先优势混合型证券投资基金基金合同》</w:t>
      </w:r>
      <w:r>
        <w:rPr>
          <w:rFonts w:ascii="宋体" w:eastAsia="宋体"/>
          <w:color w:val="auto"/>
          <w:sz w:val="21"/>
          <w:szCs w:val="21"/>
        </w:rPr>
        <w:t>（以下简称“《基金合同》”）订立。</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（二）目的</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订立本协议的目的是</w:t>
      </w:r>
      <w:proofErr w:type="gramStart"/>
      <w:r>
        <w:rPr>
          <w:rFonts w:ascii="宋体" w:eastAsia="宋体"/>
          <w:color w:val="auto"/>
          <w:sz w:val="21"/>
          <w:szCs w:val="21"/>
        </w:rPr>
        <w:t>明确</w:t>
      </w:r>
      <w:r>
        <w:rPr>
          <w:rFonts w:ascii="宋体" w:eastAsia="宋体" w:hint="eastAsia"/>
          <w:sz w:val="21"/>
          <w:szCs w:val="21"/>
        </w:rPr>
        <w:t>嘉</w:t>
      </w:r>
      <w:proofErr w:type="gramEnd"/>
      <w:r>
        <w:rPr>
          <w:rFonts w:ascii="宋体" w:eastAsia="宋体" w:hint="eastAsia"/>
          <w:sz w:val="21"/>
          <w:szCs w:val="21"/>
        </w:rPr>
        <w:t>实领先优势混合型证券投资基金</w:t>
      </w:r>
      <w:r>
        <w:rPr>
          <w:rFonts w:ascii="宋体" w:eastAsia="宋体" w:hint="eastAsia"/>
          <w:color w:val="auto"/>
          <w:sz w:val="21"/>
          <w:szCs w:val="21"/>
        </w:rPr>
        <w:t>的</w:t>
      </w:r>
      <w:r>
        <w:rPr>
          <w:rFonts w:ascii="宋体" w:eastAsia="宋体"/>
          <w:color w:val="auto"/>
          <w:sz w:val="21"/>
          <w:szCs w:val="21"/>
        </w:rPr>
        <w:t>基金托管人</w:t>
      </w:r>
      <w:r>
        <w:rPr>
          <w:rFonts w:ascii="宋体" w:eastAsia="宋体" w:hint="eastAsia"/>
          <w:sz w:val="21"/>
          <w:szCs w:val="21"/>
        </w:rPr>
        <w:t>和</w:t>
      </w:r>
      <w:r>
        <w:rPr>
          <w:rFonts w:ascii="宋体" w:eastAsia="宋体"/>
          <w:color w:val="auto"/>
          <w:sz w:val="21"/>
          <w:szCs w:val="21"/>
        </w:rPr>
        <w:t>基金管理人之间在基金财产的保管、投资运作、净值计算、收益分配、信息披露</w:t>
      </w:r>
      <w:r>
        <w:rPr>
          <w:rFonts w:ascii="宋体" w:eastAsia="宋体" w:hint="eastAsia"/>
          <w:color w:val="auto"/>
          <w:sz w:val="21"/>
          <w:szCs w:val="21"/>
        </w:rPr>
        <w:t>、基金份额持有人名册的建立和保管</w:t>
      </w:r>
      <w:r>
        <w:rPr>
          <w:rFonts w:ascii="宋体" w:eastAsia="宋体"/>
          <w:color w:val="auto"/>
          <w:sz w:val="21"/>
          <w:szCs w:val="21"/>
        </w:rPr>
        <w:t>及相互监督等相关事宜中的权利、义务及职责，确保基金财产的安全，保护基金份额持有人的合法权益。</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（三）原则</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lastRenderedPageBreak/>
        <w:t>基金管理人和基金托管人本着平等自愿、诚实信用的原则，经协商一致，签订本协议。</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（四）解释</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除非文义另有所指，本协议的所有术语与</w:t>
      </w:r>
      <w:bookmarkStart w:id="8" w:name="OLE_LINK3"/>
      <w:r>
        <w:rPr>
          <w:rFonts w:ascii="宋体" w:eastAsia="宋体"/>
          <w:kern w:val="0"/>
          <w:sz w:val="21"/>
          <w:szCs w:val="21"/>
        </w:rPr>
        <w:t>《基金合同》</w:t>
      </w:r>
      <w:bookmarkEnd w:id="8"/>
      <w:r>
        <w:rPr>
          <w:rFonts w:ascii="宋体" w:eastAsia="宋体"/>
          <w:kern w:val="0"/>
          <w:sz w:val="21"/>
          <w:szCs w:val="21"/>
        </w:rPr>
        <w:t>的相应术语具有相同含义。若有抵触的，应以《基金合同》为准，并依其条款解释。</w:t>
      </w:r>
    </w:p>
    <w:p w:rsidR="005A0C12" w:rsidRDefault="005A0C12">
      <w:pPr>
        <w:pStyle w:val="a6"/>
        <w:spacing w:before="100" w:beforeAutospacing="1" w:after="100" w:afterAutospacing="1"/>
        <w:ind w:firstLine="403"/>
        <w:rPr>
          <w:rFonts w:ascii="宋体" w:eastAsia="宋体"/>
          <w:kern w:val="0"/>
          <w:sz w:val="21"/>
          <w:szCs w:val="21"/>
        </w:rPr>
      </w:pPr>
    </w:p>
    <w:p w:rsidR="005A0C12" w:rsidRDefault="00404031">
      <w:pPr>
        <w:pStyle w:val="1"/>
        <w:spacing w:before="100" w:beforeAutospacing="1" w:after="100" w:afterAutospacing="1" w:line="400" w:lineRule="exact"/>
        <w:ind w:firstLine="422"/>
        <w:rPr>
          <w:rFonts w:ascii="宋体" w:hAnsi="宋体"/>
          <w:sz w:val="21"/>
        </w:rPr>
      </w:pPr>
      <w:bookmarkStart w:id="9" w:name="_Toc116900098"/>
      <w:bookmarkStart w:id="10" w:name="_Toc71746693"/>
      <w:r>
        <w:rPr>
          <w:rFonts w:ascii="宋体" w:hAnsi="宋体"/>
          <w:sz w:val="21"/>
        </w:rPr>
        <w:t>三、基金托管人对基金管理人的业务监督和核查</w:t>
      </w:r>
      <w:bookmarkEnd w:id="9"/>
      <w:bookmarkEnd w:id="10"/>
    </w:p>
    <w:p w:rsidR="005A0C12" w:rsidRDefault="00404031">
      <w:pPr>
        <w:adjustRightInd w:val="0"/>
        <w:snapToGrid w:val="0"/>
        <w:spacing w:before="100" w:beforeAutospacing="1" w:after="100" w:afterAutospacing="1" w:line="400" w:lineRule="exact"/>
        <w:ind w:firstLineChars="200" w:firstLine="420"/>
        <w:rPr>
          <w:rFonts w:ascii="宋体" w:hAnsi="宋体"/>
        </w:rPr>
      </w:pPr>
      <w:r>
        <w:rPr>
          <w:rFonts w:ascii="宋体" w:hAnsi="宋体"/>
        </w:rPr>
        <w:t>（一）基金托管人根据有关法律法规</w:t>
      </w:r>
      <w:r>
        <w:rPr>
          <w:rFonts w:ascii="宋体" w:hAnsi="宋体" w:hint="eastAsia"/>
        </w:rPr>
        <w:t>的规定，</w:t>
      </w:r>
      <w:r>
        <w:rPr>
          <w:rFonts w:ascii="宋体" w:hAnsi="宋体"/>
        </w:rPr>
        <w:t>对基金管理人的下列投资运作进行监督</w:t>
      </w:r>
    </w:p>
    <w:p w:rsidR="005A0C12" w:rsidRDefault="00404031">
      <w:pPr>
        <w:widowControl/>
        <w:spacing w:line="400" w:lineRule="exact"/>
        <w:ind w:firstLineChars="200" w:firstLine="420"/>
        <w:jc w:val="left"/>
        <w:rPr>
          <w:rFonts w:ascii="宋体" w:hAnsi="宋体"/>
        </w:rPr>
      </w:pPr>
      <w:r>
        <w:rPr>
          <w:rFonts w:ascii="宋体" w:hAnsi="宋体"/>
        </w:rPr>
        <w:t>1、对基金的投资范围、投资对象进行监督</w:t>
      </w:r>
      <w:r>
        <w:rPr>
          <w:rFonts w:ascii="宋体" w:hAnsi="宋体" w:cs="方正仿宋简体" w:hint="eastAsia"/>
          <w:szCs w:val="21"/>
        </w:rPr>
        <w:t>。基金管理人应将拟投资的股票库、债券库等各投资品种的具体范围（如有）及时提供给基金托管人。基金</w:t>
      </w:r>
      <w:r>
        <w:rPr>
          <w:rFonts w:ascii="宋体" w:hAnsi="宋体" w:hint="eastAsia"/>
          <w:color w:val="000000"/>
          <w:szCs w:val="21"/>
        </w:rPr>
        <w:t>管理人可以根据实际情况的变化，对各投资品种的具体范围</w:t>
      </w:r>
      <w:r>
        <w:rPr>
          <w:rFonts w:ascii="宋体" w:hAnsi="宋体" w:cs="方正仿宋简体" w:hint="eastAsia"/>
          <w:szCs w:val="21"/>
        </w:rPr>
        <w:t>（如有）</w:t>
      </w:r>
      <w:r>
        <w:rPr>
          <w:rFonts w:ascii="宋体" w:hAnsi="宋体" w:hint="eastAsia"/>
          <w:color w:val="000000"/>
          <w:szCs w:val="21"/>
        </w:rPr>
        <w:t>予以更新和调整，并及时通知基金托管人。基金托管人根据上述投资范围</w:t>
      </w:r>
      <w:r>
        <w:rPr>
          <w:rFonts w:ascii="宋体" w:hAnsi="宋体" w:cs="方正仿宋简体" w:hint="eastAsia"/>
          <w:szCs w:val="21"/>
        </w:rPr>
        <w:t>（如有）</w:t>
      </w:r>
      <w:r>
        <w:rPr>
          <w:rFonts w:ascii="宋体" w:hAnsi="宋体" w:hint="eastAsia"/>
          <w:color w:val="000000"/>
          <w:szCs w:val="21"/>
        </w:rPr>
        <w:t>对基金的投资进行监督。</w:t>
      </w:r>
    </w:p>
    <w:p w:rsidR="005A0C12" w:rsidRDefault="00404031">
      <w:pPr>
        <w:widowControl/>
        <w:spacing w:line="400" w:lineRule="exact"/>
        <w:ind w:firstLineChars="200" w:firstLine="420"/>
        <w:jc w:val="left"/>
        <w:rPr>
          <w:rFonts w:ascii="宋体" w:hAnsi="宋体"/>
          <w:bCs/>
        </w:rPr>
      </w:pPr>
      <w:r>
        <w:rPr>
          <w:rFonts w:ascii="宋体" w:hAnsi="宋体" w:hint="eastAsia"/>
          <w:bCs/>
        </w:rPr>
        <w:t>本基金投资于国内依法发行上市的股票（包含创业板、存托凭证及其他依法发行上市的股票）、内地与香港股票市场交易互联互通机制下允许买卖的香港联合交易所上市股票（以下简称“港股通标的股票”）、债券（国债、地方政府债、金融债、企业债、公司债、次级债、可转换债券（含分离交易可转债）、可交换公司债券、央行票据、短期融资</w:t>
      </w:r>
      <w:proofErr w:type="gramStart"/>
      <w:r>
        <w:rPr>
          <w:rFonts w:ascii="宋体" w:hAnsi="宋体" w:hint="eastAsia"/>
          <w:bCs/>
        </w:rPr>
        <w:t>券</w:t>
      </w:r>
      <w:proofErr w:type="gramEnd"/>
      <w:r>
        <w:rPr>
          <w:rFonts w:ascii="宋体" w:hAnsi="宋体" w:hint="eastAsia"/>
          <w:bCs/>
        </w:rPr>
        <w:t>、超短期融资</w:t>
      </w:r>
      <w:proofErr w:type="gramStart"/>
      <w:r>
        <w:rPr>
          <w:rFonts w:ascii="宋体" w:hAnsi="宋体" w:hint="eastAsia"/>
          <w:bCs/>
        </w:rPr>
        <w:t>券</w:t>
      </w:r>
      <w:proofErr w:type="gramEnd"/>
      <w:r>
        <w:rPr>
          <w:rFonts w:ascii="宋体" w:hAnsi="宋体" w:hint="eastAsia"/>
          <w:bCs/>
        </w:rPr>
        <w:t>、中期票据等）、资产支持证券、债券回购、同业存单、银行存款、股指期货、国债期货、股票期权、现金以及法律法规或中国证监会允许基金投资的其他金融工具（但须符合中国证监会的相关规定）。</w:t>
      </w:r>
    </w:p>
    <w:p w:rsidR="005A0C12" w:rsidRDefault="00404031">
      <w:pPr>
        <w:widowControl/>
        <w:spacing w:line="400" w:lineRule="exact"/>
        <w:ind w:firstLineChars="200" w:firstLine="420"/>
        <w:jc w:val="left"/>
        <w:rPr>
          <w:rFonts w:ascii="宋体" w:hAnsi="宋体"/>
          <w:bCs/>
        </w:rPr>
      </w:pPr>
      <w:r>
        <w:rPr>
          <w:rFonts w:ascii="宋体" w:hAnsi="宋体" w:hint="eastAsia"/>
          <w:bCs/>
        </w:rPr>
        <w:t>本基金可根据相关法律法规和基金合同的约定，参与融资业务。</w:t>
      </w:r>
    </w:p>
    <w:p w:rsidR="005A0C12" w:rsidRDefault="00404031">
      <w:pPr>
        <w:widowControl/>
        <w:spacing w:line="400" w:lineRule="exact"/>
        <w:ind w:firstLineChars="200" w:firstLine="420"/>
        <w:jc w:val="left"/>
        <w:rPr>
          <w:rFonts w:ascii="宋体" w:hAnsi="宋体"/>
          <w:bCs/>
        </w:rPr>
      </w:pPr>
      <w:r>
        <w:rPr>
          <w:rFonts w:ascii="宋体" w:hAnsi="宋体" w:hint="eastAsia"/>
          <w:bCs/>
        </w:rPr>
        <w:t>如法律法规或监管机构以后允许基金投资其他品种，基金管理人在履行适当程序后，可以将其纳入投资范围。</w:t>
      </w:r>
    </w:p>
    <w:p w:rsidR="005A0C12" w:rsidRDefault="00404031">
      <w:pPr>
        <w:widowControl/>
        <w:spacing w:line="400" w:lineRule="exact"/>
        <w:ind w:firstLineChars="200" w:firstLine="420"/>
        <w:jc w:val="left"/>
        <w:rPr>
          <w:rFonts w:ascii="宋体" w:hAnsi="宋体"/>
          <w:bCs/>
        </w:rPr>
      </w:pPr>
      <w:r>
        <w:rPr>
          <w:rFonts w:ascii="宋体" w:hAnsi="宋体" w:hint="eastAsia"/>
          <w:bCs/>
        </w:rPr>
        <w:t>本基金的投资组合比例为：股票资产占基金资产的比例为60%-95%，其中投资于港股通标的股票的比例占股票资产的0-50%。本基金应当保持不低于基金资产净值的5%的现金或到期日在一年以内的政府债券，其中现金不包括结算备付金、存出保证金、应收申购款等。股指期货、国债期货、股票期权及其他金融工具的投资比例符合法律法规和监管机构的规定。</w:t>
      </w:r>
    </w:p>
    <w:p w:rsidR="005A0C12" w:rsidRDefault="00404031">
      <w:pPr>
        <w:widowControl/>
        <w:spacing w:line="400" w:lineRule="exact"/>
        <w:ind w:firstLineChars="200" w:firstLine="420"/>
        <w:jc w:val="left"/>
        <w:rPr>
          <w:rFonts w:ascii="宋体" w:hAnsi="宋体"/>
        </w:rPr>
      </w:pPr>
      <w:r>
        <w:rPr>
          <w:rFonts w:ascii="宋体" w:hAnsi="宋体"/>
        </w:rPr>
        <w:t>2、对基金投融资比例进行监督</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hint="eastAsia"/>
          <w:szCs w:val="21"/>
        </w:rPr>
        <w:t>1</w:t>
      </w:r>
      <w:r>
        <w:rPr>
          <w:rFonts w:hAnsi="宋体" w:hint="eastAsia"/>
          <w:szCs w:val="21"/>
        </w:rPr>
        <w:t>）股票资产占基金资产的比例为</w:t>
      </w:r>
      <w:r>
        <w:rPr>
          <w:rFonts w:hAnsi="宋体" w:hint="eastAsia"/>
          <w:szCs w:val="21"/>
        </w:rPr>
        <w:t>60%-95%</w:t>
      </w:r>
      <w:r>
        <w:rPr>
          <w:rFonts w:hAnsi="宋体" w:hint="eastAsia"/>
          <w:szCs w:val="21"/>
        </w:rPr>
        <w:t>，其中投资于港股通标的股票的比例占股票资产的</w:t>
      </w:r>
      <w:r>
        <w:rPr>
          <w:rFonts w:hAnsi="宋体" w:hint="eastAsia"/>
          <w:szCs w:val="21"/>
        </w:rPr>
        <w:t>0-50%</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lastRenderedPageBreak/>
        <w:t>（</w:t>
      </w:r>
      <w:r>
        <w:rPr>
          <w:rFonts w:hAnsi="宋体" w:hint="eastAsia"/>
          <w:szCs w:val="21"/>
        </w:rPr>
        <w:t>2</w:t>
      </w:r>
      <w:r>
        <w:rPr>
          <w:rFonts w:hAnsi="宋体" w:hint="eastAsia"/>
          <w:szCs w:val="21"/>
        </w:rPr>
        <w:t>）本基金应当保持不低于基金资产净值</w:t>
      </w:r>
      <w:r>
        <w:rPr>
          <w:rFonts w:hAnsi="宋体" w:hint="eastAsia"/>
          <w:szCs w:val="21"/>
        </w:rPr>
        <w:t>5</w:t>
      </w:r>
      <w:r>
        <w:rPr>
          <w:rFonts w:hAnsi="宋体" w:hint="eastAsia"/>
          <w:szCs w:val="21"/>
        </w:rPr>
        <w:t>％的现金或者到期日在一年以内的政府债券，其中现金不包括结算备付金、存出保证金和应收申购款等；</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hint="eastAsia"/>
          <w:szCs w:val="21"/>
        </w:rPr>
        <w:t>3</w:t>
      </w:r>
      <w:r>
        <w:rPr>
          <w:rFonts w:hAnsi="宋体" w:hint="eastAsia"/>
          <w:szCs w:val="21"/>
        </w:rPr>
        <w:t>）本基金持有一家公司发行的证券，其市值不超过基金资产净值的</w:t>
      </w:r>
      <w:r>
        <w:rPr>
          <w:rFonts w:hAnsi="宋体" w:hint="eastAsia"/>
          <w:szCs w:val="21"/>
        </w:rPr>
        <w:t>10</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hint="eastAsia"/>
          <w:szCs w:val="21"/>
        </w:rPr>
        <w:t>4</w:t>
      </w:r>
      <w:r>
        <w:rPr>
          <w:rFonts w:hAnsi="宋体" w:hint="eastAsia"/>
          <w:szCs w:val="21"/>
        </w:rPr>
        <w:t>）本基金管理人管理且由本基金托管人托管的全部基金持有一家公司发行的证券，不超过该证券的</w:t>
      </w:r>
      <w:r>
        <w:rPr>
          <w:rFonts w:hAnsi="宋体" w:hint="eastAsia"/>
          <w:szCs w:val="21"/>
        </w:rPr>
        <w:t>10</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hint="eastAsia"/>
          <w:szCs w:val="21"/>
        </w:rPr>
        <w:t>5</w:t>
      </w:r>
      <w:r>
        <w:rPr>
          <w:rFonts w:hAnsi="宋体" w:hint="eastAsia"/>
          <w:szCs w:val="21"/>
        </w:rPr>
        <w:t>）本基金投资于同一原始权益人的各类资产支持证券的比例，不得超过基金资产净值的</w:t>
      </w:r>
      <w:r>
        <w:rPr>
          <w:rFonts w:hAnsi="宋体" w:hint="eastAsia"/>
          <w:szCs w:val="21"/>
        </w:rPr>
        <w:t>10</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hint="eastAsia"/>
          <w:szCs w:val="21"/>
        </w:rPr>
        <w:t>6</w:t>
      </w:r>
      <w:r>
        <w:rPr>
          <w:rFonts w:hAnsi="宋体" w:hint="eastAsia"/>
          <w:szCs w:val="21"/>
        </w:rPr>
        <w:t>）本基金持有的全部资产支持证券，其市值不得超过基金资产净值的</w:t>
      </w:r>
      <w:r>
        <w:rPr>
          <w:rFonts w:hAnsi="宋体" w:hint="eastAsia"/>
          <w:szCs w:val="21"/>
        </w:rPr>
        <w:t>20</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hint="eastAsia"/>
          <w:szCs w:val="21"/>
        </w:rPr>
        <w:t>7</w:t>
      </w:r>
      <w:r>
        <w:rPr>
          <w:rFonts w:hAnsi="宋体" w:hint="eastAsia"/>
          <w:szCs w:val="21"/>
        </w:rPr>
        <w:t>）本基金持有的同一</w:t>
      </w:r>
      <w:r>
        <w:rPr>
          <w:rFonts w:hAnsi="宋体" w:hint="eastAsia"/>
          <w:szCs w:val="21"/>
        </w:rPr>
        <w:t>(</w:t>
      </w:r>
      <w:r>
        <w:rPr>
          <w:rFonts w:hAnsi="宋体" w:hint="eastAsia"/>
          <w:szCs w:val="21"/>
        </w:rPr>
        <w:t>指同一信用级别</w:t>
      </w:r>
      <w:r>
        <w:rPr>
          <w:rFonts w:hAnsi="宋体" w:hint="eastAsia"/>
          <w:szCs w:val="21"/>
        </w:rPr>
        <w:t>)</w:t>
      </w:r>
      <w:r>
        <w:rPr>
          <w:rFonts w:hAnsi="宋体" w:hint="eastAsia"/>
          <w:szCs w:val="21"/>
        </w:rPr>
        <w:t>资产支持证券的比例，不得超过该资产支持证券规模的</w:t>
      </w:r>
      <w:r>
        <w:rPr>
          <w:rFonts w:hAnsi="宋体" w:hint="eastAsia"/>
          <w:szCs w:val="21"/>
        </w:rPr>
        <w:t>10</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hint="eastAsia"/>
          <w:szCs w:val="21"/>
        </w:rPr>
        <w:t>8</w:t>
      </w:r>
      <w:r>
        <w:rPr>
          <w:rFonts w:hAnsi="宋体" w:hint="eastAsia"/>
          <w:szCs w:val="21"/>
        </w:rPr>
        <w:t>）本基金管理人管理且由本基金托管人托管的全部基金投资于同一原始权益人的各类资产支持证券，不得超过其各类资产支持证券合计规模的</w:t>
      </w:r>
      <w:r>
        <w:rPr>
          <w:rFonts w:hAnsi="宋体" w:hint="eastAsia"/>
          <w:szCs w:val="21"/>
        </w:rPr>
        <w:t>10</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hint="eastAsia"/>
          <w:szCs w:val="21"/>
        </w:rPr>
        <w:t>9</w:t>
      </w:r>
      <w:r>
        <w:rPr>
          <w:rFonts w:hAnsi="宋体" w:hint="eastAsia"/>
          <w:szCs w:val="21"/>
        </w:rPr>
        <w:t>）本基金应投资于信用级别评级为</w:t>
      </w:r>
      <w:r>
        <w:rPr>
          <w:rFonts w:hAnsi="宋体" w:hint="eastAsia"/>
          <w:szCs w:val="21"/>
        </w:rPr>
        <w:t>BBB</w:t>
      </w:r>
      <w:r>
        <w:rPr>
          <w:rFonts w:hAnsi="宋体" w:hint="eastAsia"/>
          <w:szCs w:val="21"/>
        </w:rPr>
        <w:t>以上</w:t>
      </w:r>
      <w:r>
        <w:rPr>
          <w:rFonts w:hAnsi="宋体" w:hint="eastAsia"/>
          <w:szCs w:val="21"/>
        </w:rPr>
        <w:t>(</w:t>
      </w:r>
      <w:r>
        <w:rPr>
          <w:rFonts w:hAnsi="宋体" w:hint="eastAsia"/>
          <w:szCs w:val="21"/>
        </w:rPr>
        <w:t>含</w:t>
      </w:r>
      <w:r>
        <w:rPr>
          <w:rFonts w:hAnsi="宋体" w:hint="eastAsia"/>
          <w:szCs w:val="21"/>
        </w:rPr>
        <w:t>BBB)</w:t>
      </w:r>
      <w:r>
        <w:rPr>
          <w:rFonts w:hAnsi="宋体" w:hint="eastAsia"/>
          <w:szCs w:val="21"/>
        </w:rPr>
        <w:t>的资产支持证券。基金持有资产支持证券期间，如果其信用等级下降、不再符合投资标准，应在评级报告发布之日起</w:t>
      </w:r>
      <w:r>
        <w:rPr>
          <w:rFonts w:hAnsi="宋体" w:hint="eastAsia"/>
          <w:szCs w:val="21"/>
        </w:rPr>
        <w:t>3</w:t>
      </w:r>
      <w:r>
        <w:rPr>
          <w:rFonts w:hAnsi="宋体" w:hint="eastAsia"/>
          <w:szCs w:val="21"/>
        </w:rPr>
        <w:t>个月内予以全部卖出；</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hint="eastAsia"/>
          <w:szCs w:val="21"/>
        </w:rPr>
        <w:t>10</w:t>
      </w:r>
      <w:r>
        <w:rPr>
          <w:rFonts w:hAnsi="宋体" w:hint="eastAsia"/>
          <w:szCs w:val="21"/>
        </w:rPr>
        <w:t>）基金财产参与股票发行申购，本基金所申报的金额不超过本基金的总资产，本基金所申报的股票数量不超过拟发行股票公司本次发行股票的总量；</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hint="eastAsia"/>
          <w:szCs w:val="21"/>
        </w:rPr>
        <w:t>11</w:t>
      </w:r>
      <w:r>
        <w:rPr>
          <w:rFonts w:hAnsi="宋体" w:hint="eastAsia"/>
          <w:szCs w:val="21"/>
        </w:rPr>
        <w:t>）本基金进入全国银行间同业市场进行债券回购的资金余额不得超过基金资产净值的</w:t>
      </w:r>
      <w:r>
        <w:rPr>
          <w:rFonts w:hAnsi="宋体" w:hint="eastAsia"/>
          <w:szCs w:val="21"/>
        </w:rPr>
        <w:t>40%</w:t>
      </w:r>
      <w:r>
        <w:rPr>
          <w:rFonts w:hAnsi="宋体" w:hint="eastAsia"/>
          <w:szCs w:val="21"/>
        </w:rPr>
        <w:t>，进入全国银行间同业市场进行债券回购的最长期限为</w:t>
      </w:r>
      <w:r>
        <w:rPr>
          <w:rFonts w:hAnsi="宋体" w:hint="eastAsia"/>
          <w:szCs w:val="21"/>
        </w:rPr>
        <w:t>1</w:t>
      </w:r>
      <w:r>
        <w:rPr>
          <w:rFonts w:hAnsi="宋体" w:hint="eastAsia"/>
          <w:szCs w:val="21"/>
        </w:rPr>
        <w:t>年，债券回购到期后不得展期；</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hint="eastAsia"/>
          <w:szCs w:val="21"/>
        </w:rPr>
        <w:t>12</w:t>
      </w:r>
      <w:r>
        <w:rPr>
          <w:rFonts w:hAnsi="宋体" w:hint="eastAsia"/>
          <w:szCs w:val="21"/>
        </w:rPr>
        <w:t>）本基金参与股指期货交易，应当遵守下列投资限制：</w:t>
      </w:r>
    </w:p>
    <w:p w:rsidR="005A0C12" w:rsidRDefault="00404031">
      <w:pPr>
        <w:widowControl/>
        <w:spacing w:line="360" w:lineRule="auto"/>
        <w:ind w:firstLineChars="200" w:firstLine="420"/>
        <w:contextualSpacing/>
        <w:rPr>
          <w:rFonts w:hAnsi="宋体"/>
          <w:szCs w:val="21"/>
        </w:rPr>
      </w:pPr>
      <w:r>
        <w:rPr>
          <w:rFonts w:hAnsi="宋体" w:hint="eastAsia"/>
          <w:szCs w:val="21"/>
        </w:rPr>
        <w:t>①本基金在任何交易日日终，持有的买入股指期货合约价值，不得超过基金资产净值的</w:t>
      </w:r>
      <w:r>
        <w:rPr>
          <w:rFonts w:hAnsi="宋体" w:hint="eastAsia"/>
          <w:szCs w:val="21"/>
        </w:rPr>
        <w:t>10%</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t>②每个交易日日终在扣除股指期货合约和国债期货合约需缴纳的交易保证金后，应当保持不低于基金资产净值的</w:t>
      </w:r>
      <w:r>
        <w:rPr>
          <w:rFonts w:hAnsi="宋体" w:hint="eastAsia"/>
          <w:szCs w:val="21"/>
        </w:rPr>
        <w:t>5%</w:t>
      </w:r>
      <w:r>
        <w:rPr>
          <w:rFonts w:hAnsi="宋体" w:hint="eastAsia"/>
          <w:szCs w:val="21"/>
        </w:rPr>
        <w:t>的现金或到期日在一年以内的政府债券，其中现金不包括结算备付金、存出保证金、应收申购款等；</w:t>
      </w:r>
    </w:p>
    <w:p w:rsidR="005A0C12" w:rsidRDefault="00404031">
      <w:pPr>
        <w:widowControl/>
        <w:spacing w:line="360" w:lineRule="auto"/>
        <w:ind w:firstLineChars="200" w:firstLine="420"/>
        <w:contextualSpacing/>
        <w:rPr>
          <w:rFonts w:hAnsi="宋体"/>
          <w:szCs w:val="21"/>
        </w:rPr>
      </w:pPr>
      <w:r>
        <w:rPr>
          <w:rFonts w:hAnsi="宋体" w:hint="eastAsia"/>
          <w:szCs w:val="21"/>
        </w:rPr>
        <w:t>③本基金在任何交易日日终，持有的买入国债期货和股指期货合约价值与有价证券市值之和，不得超过基金资产净值的</w:t>
      </w:r>
      <w:r>
        <w:rPr>
          <w:rFonts w:hAnsi="宋体" w:hint="eastAsia"/>
          <w:szCs w:val="21"/>
        </w:rPr>
        <w:t>95%</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t>其中，有价证券指股票、债券（不含到期日在一年以内的政府债券）、资产支持证券、买入返售金融资产（不含质押式回购）等；</w:t>
      </w:r>
    </w:p>
    <w:p w:rsidR="005A0C12" w:rsidRDefault="00404031">
      <w:pPr>
        <w:widowControl/>
        <w:spacing w:line="360" w:lineRule="auto"/>
        <w:ind w:firstLineChars="200" w:firstLine="420"/>
        <w:contextualSpacing/>
        <w:rPr>
          <w:rFonts w:hAnsi="宋体"/>
          <w:szCs w:val="21"/>
        </w:rPr>
      </w:pPr>
      <w:r>
        <w:rPr>
          <w:rFonts w:hAnsi="宋体" w:hint="eastAsia"/>
          <w:szCs w:val="21"/>
        </w:rPr>
        <w:lastRenderedPageBreak/>
        <w:t>④本基金在任何交易日日终，持有的卖出股指期货合约价值不得超过基金持有的股票总市值的</w:t>
      </w:r>
      <w:r>
        <w:rPr>
          <w:rFonts w:hAnsi="宋体" w:hint="eastAsia"/>
          <w:szCs w:val="21"/>
        </w:rPr>
        <w:t>20%</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t>⑤本基金所持有的股票市值和买入、卖出股指期货合约价值，合计（轧差计算）应当占基金资产的比例为</w:t>
      </w:r>
      <w:r>
        <w:rPr>
          <w:rFonts w:hAnsi="宋体" w:hint="eastAsia"/>
          <w:szCs w:val="21"/>
        </w:rPr>
        <w:t>60%-95%</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t>⑥本基金在任何交易日内交易（不包括平仓）的股指期货合约的成交金额不得超过上一交易日基金资产净值的</w:t>
      </w:r>
      <w:r>
        <w:rPr>
          <w:rFonts w:hAnsi="宋体" w:hint="eastAsia"/>
          <w:szCs w:val="21"/>
        </w:rPr>
        <w:t>20%</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hint="eastAsia"/>
          <w:szCs w:val="21"/>
        </w:rPr>
        <w:t>13</w:t>
      </w:r>
      <w:r>
        <w:rPr>
          <w:rFonts w:hAnsi="宋体" w:hint="eastAsia"/>
          <w:szCs w:val="21"/>
        </w:rPr>
        <w:t>）本基金参与国债期货交易，应当遵守下列投资限制：</w:t>
      </w:r>
    </w:p>
    <w:p w:rsidR="005A0C12" w:rsidRDefault="00404031">
      <w:pPr>
        <w:widowControl/>
        <w:spacing w:line="360" w:lineRule="auto"/>
        <w:ind w:firstLineChars="200" w:firstLine="420"/>
        <w:contextualSpacing/>
        <w:rPr>
          <w:rFonts w:hAnsi="宋体"/>
          <w:szCs w:val="21"/>
        </w:rPr>
      </w:pPr>
      <w:r>
        <w:rPr>
          <w:rFonts w:hAnsi="宋体" w:hint="eastAsia"/>
          <w:szCs w:val="21"/>
        </w:rPr>
        <w:t>①本基金在任何交易日日终，持有的买入国债期货合约价值，不得超过基金资产净值的</w:t>
      </w:r>
      <w:r>
        <w:rPr>
          <w:rFonts w:hAnsi="宋体" w:hint="eastAsia"/>
          <w:szCs w:val="21"/>
        </w:rPr>
        <w:t xml:space="preserve"> 15%</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t>②每个交易日日终在扣除股指期货合约和国债期货合约需缴纳的交易保证金后，应当保持不低于基金资产净值的</w:t>
      </w:r>
      <w:r>
        <w:rPr>
          <w:rFonts w:hAnsi="宋体" w:hint="eastAsia"/>
          <w:szCs w:val="21"/>
        </w:rPr>
        <w:t>5%</w:t>
      </w:r>
      <w:r>
        <w:rPr>
          <w:rFonts w:hAnsi="宋体" w:hint="eastAsia"/>
          <w:szCs w:val="21"/>
        </w:rPr>
        <w:t>的现金或到期日在一年以内的政府债券，其中现金不包括结算备付金、存出保证金、应收申购款等；</w:t>
      </w:r>
    </w:p>
    <w:p w:rsidR="005A0C12" w:rsidRDefault="00404031">
      <w:pPr>
        <w:widowControl/>
        <w:spacing w:line="360" w:lineRule="auto"/>
        <w:ind w:firstLineChars="200" w:firstLine="420"/>
        <w:contextualSpacing/>
        <w:rPr>
          <w:rFonts w:hAnsi="宋体"/>
          <w:szCs w:val="21"/>
        </w:rPr>
      </w:pPr>
      <w:r>
        <w:rPr>
          <w:rFonts w:hAnsi="宋体" w:hint="eastAsia"/>
          <w:szCs w:val="21"/>
        </w:rPr>
        <w:t>③本基金在任何交易日日终，持有的买入国债期货和股指期货合约价值与有价证券市值之和，不得超过基金资产净值的</w:t>
      </w:r>
      <w:r>
        <w:rPr>
          <w:rFonts w:hAnsi="宋体" w:hint="eastAsia"/>
          <w:szCs w:val="21"/>
        </w:rPr>
        <w:t>95%</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t>其中，有价证券指股票、债券（不含到期日在一年以内的政府债券）、资产支持证券、买入返售金融资产（不含质押式回购）等；</w:t>
      </w:r>
    </w:p>
    <w:p w:rsidR="005A0C12" w:rsidRDefault="00404031">
      <w:pPr>
        <w:widowControl/>
        <w:spacing w:line="360" w:lineRule="auto"/>
        <w:ind w:firstLineChars="200" w:firstLine="420"/>
        <w:contextualSpacing/>
        <w:rPr>
          <w:rFonts w:hAnsi="宋体"/>
          <w:szCs w:val="21"/>
        </w:rPr>
      </w:pPr>
      <w:r>
        <w:rPr>
          <w:rFonts w:hAnsi="宋体" w:hint="eastAsia"/>
          <w:szCs w:val="21"/>
        </w:rPr>
        <w:t>④本基金在任何交易日日终，持有的卖出国债期货合约价值，不得超过基金持有的债券总市值的</w:t>
      </w:r>
      <w:r>
        <w:rPr>
          <w:rFonts w:hAnsi="宋体" w:hint="eastAsia"/>
          <w:szCs w:val="21"/>
        </w:rPr>
        <w:t>30%</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t>⑤本基金在任何交易日内交易（不包括平仓）的国债期货合约的成交金额不得超过上一交易日基金资产净值的</w:t>
      </w:r>
      <w:r>
        <w:rPr>
          <w:rFonts w:hAnsi="宋体" w:hint="eastAsia"/>
          <w:szCs w:val="21"/>
        </w:rPr>
        <w:t>30%</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hint="eastAsia"/>
          <w:szCs w:val="21"/>
        </w:rPr>
        <w:t>14</w:t>
      </w:r>
      <w:r>
        <w:rPr>
          <w:rFonts w:hAnsi="宋体" w:hint="eastAsia"/>
          <w:szCs w:val="21"/>
        </w:rPr>
        <w:t>）本基金管理人管理且由本基金托管人托管的全部开放式基金持有一家上市公司发行的可流通股票，不得超过该上市公司可流通股票的</w:t>
      </w:r>
      <w:r>
        <w:rPr>
          <w:rFonts w:hAnsi="宋体" w:hint="eastAsia"/>
          <w:szCs w:val="21"/>
        </w:rPr>
        <w:t>15%</w:t>
      </w:r>
      <w:r>
        <w:rPr>
          <w:rFonts w:hAnsi="宋体" w:hint="eastAsia"/>
          <w:szCs w:val="21"/>
        </w:rPr>
        <w:t>；本基金管理人管理且由本基金托管人托管的全部投资组合持有一家上市公司发行的可流通股票，不得超过该上市公司可流通股票的</w:t>
      </w:r>
      <w:r>
        <w:rPr>
          <w:rFonts w:hAnsi="宋体" w:hint="eastAsia"/>
          <w:szCs w:val="21"/>
        </w:rPr>
        <w:t>30%</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hint="eastAsia"/>
          <w:szCs w:val="21"/>
        </w:rPr>
        <w:t>1</w:t>
      </w:r>
      <w:r>
        <w:rPr>
          <w:rFonts w:hAnsi="宋体"/>
          <w:szCs w:val="21"/>
        </w:rPr>
        <w:t>5</w:t>
      </w:r>
      <w:r>
        <w:rPr>
          <w:rFonts w:hAnsi="宋体" w:hint="eastAsia"/>
          <w:szCs w:val="21"/>
        </w:rPr>
        <w:t>）本基金主动投资于流动性受限资产的市值合计不得超过基金资产净值的</w:t>
      </w:r>
      <w:r>
        <w:rPr>
          <w:rFonts w:hAnsi="宋体" w:hint="eastAsia"/>
          <w:szCs w:val="21"/>
        </w:rPr>
        <w:t>15%</w:t>
      </w:r>
      <w:r>
        <w:rPr>
          <w:rFonts w:hAnsi="宋体" w:hint="eastAsia"/>
          <w:szCs w:val="21"/>
        </w:rPr>
        <w:t>；因证券市场波动、上市公司股票停牌、基金规模变动等基金管理人之外的因素致使基金不符合该比例限制的，基金管理人不得主动新增流动性受限资产的投资；</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hint="eastAsia"/>
          <w:szCs w:val="21"/>
        </w:rPr>
        <w:t>1</w:t>
      </w:r>
      <w:r>
        <w:rPr>
          <w:rFonts w:hAnsi="宋体"/>
          <w:szCs w:val="21"/>
        </w:rPr>
        <w:t>6</w:t>
      </w:r>
      <w:r>
        <w:rPr>
          <w:rFonts w:hAnsi="宋体" w:hint="eastAsia"/>
          <w:szCs w:val="21"/>
        </w:rPr>
        <w:t>）本基金与私募类</w:t>
      </w:r>
      <w:proofErr w:type="gramStart"/>
      <w:r>
        <w:rPr>
          <w:rFonts w:hAnsi="宋体" w:hint="eastAsia"/>
          <w:szCs w:val="21"/>
        </w:rPr>
        <w:t>证券资管产品</w:t>
      </w:r>
      <w:proofErr w:type="gramEnd"/>
      <w:r>
        <w:rPr>
          <w:rFonts w:hAnsi="宋体" w:hint="eastAsia"/>
          <w:szCs w:val="21"/>
        </w:rPr>
        <w:t>及中国证监会认定的其他主体为交易对手开展逆回购交易的，可接受质押品的资质要求应当与基金合同约定的投资范围保持一致；</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hint="eastAsia"/>
          <w:szCs w:val="21"/>
        </w:rPr>
        <w:t>1</w:t>
      </w:r>
      <w:r>
        <w:rPr>
          <w:rFonts w:hAnsi="宋体"/>
          <w:szCs w:val="21"/>
        </w:rPr>
        <w:t>7</w:t>
      </w:r>
      <w:r>
        <w:rPr>
          <w:rFonts w:hAnsi="宋体" w:hint="eastAsia"/>
          <w:szCs w:val="21"/>
        </w:rPr>
        <w:t>）本基金资产总值不超过基金资产净值的</w:t>
      </w:r>
      <w:r>
        <w:rPr>
          <w:rFonts w:hAnsi="宋体" w:hint="eastAsia"/>
          <w:szCs w:val="21"/>
        </w:rPr>
        <w:t>140%</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lastRenderedPageBreak/>
        <w:t>（</w:t>
      </w:r>
      <w:r>
        <w:rPr>
          <w:rFonts w:hAnsi="宋体" w:hint="eastAsia"/>
          <w:szCs w:val="21"/>
        </w:rPr>
        <w:t>1</w:t>
      </w:r>
      <w:r>
        <w:rPr>
          <w:rFonts w:hAnsi="宋体"/>
          <w:szCs w:val="21"/>
        </w:rPr>
        <w:t>8</w:t>
      </w:r>
      <w:r>
        <w:rPr>
          <w:rFonts w:hAnsi="宋体" w:hint="eastAsia"/>
          <w:szCs w:val="21"/>
        </w:rPr>
        <w:t>）本基金参与融资的，每个交易日日终，本基金持有的融资买入股票与其他有价证券市值之和，不得超过基金资产净值的</w:t>
      </w:r>
      <w:r>
        <w:rPr>
          <w:rFonts w:hAnsi="宋体" w:hint="eastAsia"/>
          <w:szCs w:val="21"/>
        </w:rPr>
        <w:t>95%</w:t>
      </w:r>
      <w:r>
        <w:rPr>
          <w:rFonts w:hAnsi="宋体" w:hint="eastAsia"/>
          <w:szCs w:val="21"/>
        </w:rPr>
        <w:t>；</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szCs w:val="21"/>
        </w:rPr>
        <w:t>19</w:t>
      </w:r>
      <w:r>
        <w:rPr>
          <w:rFonts w:hAnsi="宋体" w:hint="eastAsia"/>
          <w:szCs w:val="21"/>
        </w:rPr>
        <w:t>）本基金投资存托凭证的比例限制依照国内依法发行上市的股票执行，与国内依法发行上市的股票合并计算；</w:t>
      </w:r>
    </w:p>
    <w:p w:rsidR="005A0C12" w:rsidRDefault="00404031">
      <w:pPr>
        <w:widowControl/>
        <w:spacing w:line="360" w:lineRule="auto"/>
        <w:ind w:firstLineChars="200" w:firstLine="420"/>
        <w:contextualSpacing/>
        <w:rPr>
          <w:rFonts w:hAnsi="宋体"/>
          <w:szCs w:val="21"/>
        </w:rPr>
      </w:pPr>
      <w:r>
        <w:rPr>
          <w:rFonts w:hAnsi="宋体" w:hint="eastAsia"/>
          <w:szCs w:val="21"/>
        </w:rPr>
        <w:t>（</w:t>
      </w:r>
      <w:r>
        <w:rPr>
          <w:rFonts w:hAnsi="宋体" w:hint="eastAsia"/>
          <w:szCs w:val="21"/>
        </w:rPr>
        <w:t>2</w:t>
      </w:r>
      <w:r>
        <w:rPr>
          <w:rFonts w:hAnsi="宋体"/>
          <w:szCs w:val="21"/>
        </w:rPr>
        <w:t>0</w:t>
      </w:r>
      <w:r>
        <w:rPr>
          <w:rFonts w:hAnsi="宋体" w:hint="eastAsia"/>
          <w:szCs w:val="21"/>
        </w:rPr>
        <w:t>）法律法规及中国证监会规定的其他投资比例限制。</w:t>
      </w:r>
    </w:p>
    <w:p w:rsidR="005A0C12" w:rsidRDefault="00404031">
      <w:pPr>
        <w:widowControl/>
        <w:spacing w:line="360" w:lineRule="auto"/>
        <w:ind w:firstLineChars="200" w:firstLine="420"/>
        <w:contextualSpacing/>
        <w:rPr>
          <w:rFonts w:hAnsi="宋体"/>
          <w:szCs w:val="21"/>
        </w:rPr>
      </w:pPr>
      <w:r>
        <w:rPr>
          <w:rFonts w:hAnsi="宋体" w:hint="eastAsia"/>
          <w:szCs w:val="21"/>
        </w:rPr>
        <w:t>除上述</w:t>
      </w:r>
      <w:r>
        <w:rPr>
          <w:rFonts w:hAnsi="宋体"/>
          <w:szCs w:val="21"/>
        </w:rPr>
        <w:t>（</w:t>
      </w:r>
      <w:r>
        <w:rPr>
          <w:rFonts w:hAnsi="宋体" w:hint="eastAsia"/>
          <w:szCs w:val="21"/>
        </w:rPr>
        <w:t>2</w:t>
      </w:r>
      <w:r>
        <w:rPr>
          <w:rFonts w:hAnsi="宋体"/>
          <w:szCs w:val="21"/>
        </w:rPr>
        <w:t>）、（</w:t>
      </w:r>
      <w:r>
        <w:rPr>
          <w:rFonts w:hAnsi="宋体"/>
          <w:szCs w:val="21"/>
        </w:rPr>
        <w:t>9</w:t>
      </w:r>
      <w:r>
        <w:rPr>
          <w:rFonts w:hAnsi="宋体"/>
          <w:szCs w:val="21"/>
        </w:rPr>
        <w:t>）、（</w:t>
      </w:r>
      <w:r>
        <w:rPr>
          <w:rFonts w:hAnsi="宋体"/>
          <w:szCs w:val="21"/>
        </w:rPr>
        <w:t>15</w:t>
      </w:r>
      <w:r>
        <w:rPr>
          <w:rFonts w:hAnsi="宋体"/>
          <w:szCs w:val="21"/>
        </w:rPr>
        <w:t>）、（</w:t>
      </w:r>
      <w:r>
        <w:rPr>
          <w:rFonts w:hAnsi="宋体"/>
          <w:szCs w:val="21"/>
        </w:rPr>
        <w:t>16</w:t>
      </w:r>
      <w:r>
        <w:rPr>
          <w:rFonts w:hAnsi="宋体"/>
          <w:szCs w:val="21"/>
        </w:rPr>
        <w:t>）</w:t>
      </w:r>
      <w:r>
        <w:rPr>
          <w:rFonts w:hAnsi="宋体" w:hint="eastAsia"/>
          <w:szCs w:val="21"/>
        </w:rPr>
        <w:t>情形之外，因</w:t>
      </w:r>
      <w:r>
        <w:rPr>
          <w:rFonts w:hAnsi="宋体"/>
          <w:szCs w:val="21"/>
        </w:rPr>
        <w:t>证券</w:t>
      </w:r>
      <w:r>
        <w:rPr>
          <w:rFonts w:hAnsi="宋体" w:hint="eastAsia"/>
          <w:szCs w:val="21"/>
        </w:rPr>
        <w:t>、</w:t>
      </w:r>
      <w:r>
        <w:rPr>
          <w:rFonts w:hAnsi="宋体"/>
          <w:szCs w:val="21"/>
        </w:rPr>
        <w:t>期货市场</w:t>
      </w:r>
      <w:r>
        <w:rPr>
          <w:rFonts w:hAnsi="宋体" w:hint="eastAsia"/>
          <w:szCs w:val="21"/>
        </w:rPr>
        <w:t>波动、证券发行人合并、基金规模变动等基金管理人之外的因素致使基金投资比例不符合上述规定投资比例的，基金管理人应当在所涉证券可交易之日起</w:t>
      </w:r>
      <w:r>
        <w:rPr>
          <w:rFonts w:hAnsi="宋体"/>
          <w:szCs w:val="21"/>
        </w:rPr>
        <w:t>10</w:t>
      </w:r>
      <w:r>
        <w:rPr>
          <w:rFonts w:hAnsi="宋体" w:hint="eastAsia"/>
          <w:szCs w:val="21"/>
        </w:rPr>
        <w:t>个交易日内进行调整，但中国证监会规定的特殊情形除外。法律法规另有规定的，从其规定。</w:t>
      </w:r>
    </w:p>
    <w:p w:rsidR="005A0C12" w:rsidRDefault="00404031">
      <w:pPr>
        <w:adjustRightInd w:val="0"/>
        <w:snapToGrid w:val="0"/>
        <w:spacing w:before="100" w:beforeAutospacing="1" w:after="100" w:afterAutospacing="1" w:line="400" w:lineRule="exact"/>
        <w:ind w:firstLineChars="200" w:firstLine="420"/>
        <w:rPr>
          <w:rFonts w:ascii="宋体" w:hAnsi="宋体"/>
          <w:szCs w:val="21"/>
        </w:rPr>
      </w:pPr>
      <w:r>
        <w:rPr>
          <w:rFonts w:hAnsi="宋体" w:hint="eastAsia"/>
          <w:szCs w:val="21"/>
        </w:rPr>
        <w:t>基金管理人应当自基金合同生效之日起</w:t>
      </w:r>
      <w:r>
        <w:rPr>
          <w:rFonts w:hAnsi="宋体" w:hint="eastAsia"/>
          <w:szCs w:val="21"/>
        </w:rPr>
        <w:t>6</w:t>
      </w:r>
      <w:r>
        <w:rPr>
          <w:rFonts w:hAnsi="宋体" w:hint="eastAsia"/>
          <w:szCs w:val="21"/>
        </w:rPr>
        <w:t>个月内使基金的投资组合比例符合基金合同的有关约定。在上述期间内，本基金的投资范围、投资策略应当符合基金合同的约定。基金托管人对基金投资的监督与检查自基金合同生效之日起开始。</w:t>
      </w:r>
    </w:p>
    <w:p w:rsidR="005A0C12" w:rsidRDefault="00404031">
      <w:pPr>
        <w:widowControl/>
        <w:spacing w:line="360" w:lineRule="auto"/>
        <w:ind w:firstLineChars="200" w:firstLine="420"/>
        <w:contextualSpacing/>
        <w:rPr>
          <w:rFonts w:hAnsi="宋体"/>
          <w:szCs w:val="21"/>
        </w:rPr>
      </w:pPr>
      <w:r>
        <w:rPr>
          <w:rFonts w:hAnsi="宋体" w:hint="eastAsia"/>
          <w:szCs w:val="21"/>
        </w:rPr>
        <w:t>法律法规或监管部门对基金合同所述投资比例、投资限制、组合限制、禁止行为等</w:t>
      </w:r>
      <w:proofErr w:type="gramStart"/>
      <w:r>
        <w:rPr>
          <w:rFonts w:hAnsi="宋体" w:hint="eastAsia"/>
          <w:szCs w:val="21"/>
        </w:rPr>
        <w:t>作出</w:t>
      </w:r>
      <w:proofErr w:type="gramEnd"/>
      <w:r>
        <w:rPr>
          <w:rFonts w:hAnsi="宋体" w:hint="eastAsia"/>
          <w:szCs w:val="21"/>
        </w:rPr>
        <w:t>强制性调整的，本基金应当按照法律法规或监管部门的规定执行。</w:t>
      </w:r>
    </w:p>
    <w:p w:rsidR="005A0C12" w:rsidRDefault="00404031">
      <w:pPr>
        <w:widowControl/>
        <w:spacing w:line="360" w:lineRule="auto"/>
        <w:ind w:firstLineChars="200" w:firstLine="420"/>
        <w:contextualSpacing/>
        <w:rPr>
          <w:rFonts w:ascii="宋体" w:hAnsi="宋体"/>
          <w:szCs w:val="21"/>
        </w:rPr>
      </w:pPr>
      <w:r>
        <w:rPr>
          <w:rFonts w:ascii="宋体" w:hAnsi="宋体" w:hint="eastAsia"/>
          <w:szCs w:val="21"/>
        </w:rPr>
        <w:t>3、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含三分之二）的独立董事通过。基金管理人董事会应至少每半年对关联交易事项进行审查。</w:t>
      </w:r>
    </w:p>
    <w:p w:rsidR="005A0C12" w:rsidRDefault="00404031">
      <w:pPr>
        <w:adjustRightInd w:val="0"/>
        <w:snapToGrid w:val="0"/>
        <w:spacing w:before="100" w:beforeAutospacing="1" w:after="100" w:afterAutospacing="1" w:line="400" w:lineRule="exact"/>
        <w:ind w:firstLineChars="200" w:firstLine="420"/>
        <w:rPr>
          <w:rFonts w:ascii="宋体" w:hAnsi="宋体"/>
        </w:rPr>
      </w:pPr>
      <w:r>
        <w:rPr>
          <w:rFonts w:ascii="宋体" w:hAnsi="宋体"/>
        </w:rPr>
        <w:t>（二）基金托管人应根据有关法律法规的规定</w:t>
      </w:r>
      <w:r>
        <w:rPr>
          <w:rFonts w:ascii="宋体" w:hAnsi="宋体" w:hint="eastAsia"/>
        </w:rPr>
        <w:t>和</w:t>
      </w:r>
      <w:r>
        <w:rPr>
          <w:rFonts w:ascii="宋体" w:hAnsi="宋体"/>
        </w:rPr>
        <w:t>《基金合同》的约定，对各类基金份额的基金资产净值计算、各类基金份额的基金份额净值计算、应收资金到账、基金费用开支及收入确定、基金收益分配、相关信息披露</w:t>
      </w:r>
      <w:r>
        <w:rPr>
          <w:rFonts w:ascii="宋体" w:hAnsi="宋体" w:hint="eastAsia"/>
        </w:rPr>
        <w:t>材料中登</w:t>
      </w:r>
      <w:r>
        <w:rPr>
          <w:rFonts w:ascii="宋体" w:hAnsi="宋体"/>
        </w:rPr>
        <w:t>载基金业绩表现数据等进行</w:t>
      </w:r>
      <w:r>
        <w:rPr>
          <w:rFonts w:ascii="宋体" w:hAnsi="宋体" w:hint="eastAsia"/>
        </w:rPr>
        <w:t>复核。</w:t>
      </w:r>
    </w:p>
    <w:p w:rsidR="005A0C12" w:rsidRDefault="00404031">
      <w:pPr>
        <w:adjustRightInd w:val="0"/>
        <w:snapToGrid w:val="0"/>
        <w:spacing w:before="100" w:beforeAutospacing="1" w:after="100" w:afterAutospacing="1" w:line="400" w:lineRule="exact"/>
        <w:ind w:firstLineChars="200" w:firstLine="420"/>
        <w:rPr>
          <w:rFonts w:ascii="宋体" w:hAnsi="宋体"/>
        </w:rPr>
      </w:pPr>
      <w:r>
        <w:rPr>
          <w:rFonts w:ascii="宋体" w:hAnsi="宋体"/>
        </w:rPr>
        <w:t>（三）基金托管人在上述第（一）、（二）款的监督和核查中发现基金管理人违反法律</w:t>
      </w:r>
      <w:r>
        <w:rPr>
          <w:rFonts w:ascii="宋体" w:hAnsi="宋体" w:cs="方正仿宋简体" w:hint="eastAsia"/>
          <w:szCs w:val="21"/>
        </w:rPr>
        <w:t>法规</w:t>
      </w:r>
      <w:r>
        <w:rPr>
          <w:rFonts w:ascii="宋体" w:hAnsi="宋体"/>
        </w:rPr>
        <w:t>的规定及</w:t>
      </w:r>
      <w:r>
        <w:rPr>
          <w:rFonts w:ascii="宋体" w:hAnsi="宋体" w:hint="eastAsia"/>
        </w:rPr>
        <w:t>本协议</w:t>
      </w:r>
      <w:r>
        <w:rPr>
          <w:rFonts w:ascii="宋体" w:hAnsi="宋体"/>
        </w:rPr>
        <w:t>的约定，应及时提示基金管理人，基金管理人</w:t>
      </w:r>
      <w:r>
        <w:rPr>
          <w:rFonts w:ascii="宋体" w:hAnsi="宋体" w:hint="eastAsia"/>
          <w:szCs w:val="21"/>
        </w:rPr>
        <w:t>收到</w:t>
      </w:r>
      <w:r>
        <w:rPr>
          <w:rFonts w:ascii="宋体" w:hAnsi="宋体"/>
        </w:rPr>
        <w:t>提示后应及时核对确认并改正。在限期内，基金托管人有权随时对提示事项进行复查。基金管理人对基金托管人提示的违规事项未能在限期内</w:t>
      </w:r>
      <w:r>
        <w:rPr>
          <w:rFonts w:ascii="宋体" w:hAnsi="宋体" w:hint="eastAsia"/>
          <w:szCs w:val="21"/>
        </w:rPr>
        <w:t>纠正</w:t>
      </w:r>
      <w:r>
        <w:rPr>
          <w:rFonts w:ascii="宋体" w:hAnsi="宋体"/>
        </w:rPr>
        <w:t>的，基金托管人应及时向中国证监会报告。</w:t>
      </w:r>
    </w:p>
    <w:p w:rsidR="005A0C12" w:rsidRDefault="00404031">
      <w:pPr>
        <w:adjustRightInd w:val="0"/>
        <w:snapToGrid w:val="0"/>
        <w:spacing w:before="100" w:beforeAutospacing="1" w:after="100" w:afterAutospacing="1" w:line="400" w:lineRule="exact"/>
        <w:ind w:firstLineChars="200" w:firstLine="420"/>
        <w:rPr>
          <w:rFonts w:ascii="宋体" w:hAnsi="宋体"/>
        </w:rPr>
      </w:pPr>
      <w:r>
        <w:rPr>
          <w:rFonts w:ascii="宋体" w:hAnsi="宋体"/>
        </w:rPr>
        <w:lastRenderedPageBreak/>
        <w:t>（四）基金托管人发现基金管理人的投资指令违反法律法规的规定及</w:t>
      </w:r>
      <w:r>
        <w:rPr>
          <w:rFonts w:ascii="宋体" w:hAnsi="宋体" w:hint="eastAsia"/>
        </w:rPr>
        <w:t>本协议的约定</w:t>
      </w:r>
      <w:r>
        <w:rPr>
          <w:rFonts w:ascii="宋体" w:hAnsi="宋体"/>
        </w:rPr>
        <w:t>，应当拒绝执行，</w:t>
      </w:r>
      <w:r>
        <w:rPr>
          <w:rFonts w:ascii="宋体" w:hAnsi="宋体" w:hint="eastAsia"/>
        </w:rPr>
        <w:t>及时</w:t>
      </w:r>
      <w:r>
        <w:rPr>
          <w:rFonts w:ascii="宋体" w:hAnsi="宋体"/>
        </w:rPr>
        <w:t>提示基金管理人，并依照法律法规的规定及时向中国证监会报告。基金托管人发现基金管理人依据交易程序已经生效的指令违反法律法规</w:t>
      </w:r>
      <w:r>
        <w:rPr>
          <w:rFonts w:ascii="宋体" w:hAnsi="宋体" w:hint="eastAsia"/>
        </w:rPr>
        <w:t>和其他有关规定，</w:t>
      </w:r>
      <w:r>
        <w:rPr>
          <w:rFonts w:ascii="宋体" w:hAnsi="宋体" w:hint="eastAsia"/>
          <w:szCs w:val="21"/>
        </w:rPr>
        <w:t>或者</w:t>
      </w:r>
      <w:r>
        <w:rPr>
          <w:rFonts w:ascii="宋体" w:hAnsi="宋体"/>
        </w:rPr>
        <w:t>违反</w:t>
      </w:r>
      <w:r>
        <w:rPr>
          <w:rFonts w:ascii="宋体" w:hAnsi="宋体" w:hint="eastAsia"/>
        </w:rPr>
        <w:t>本协议</w:t>
      </w:r>
      <w:r>
        <w:rPr>
          <w:rFonts w:ascii="宋体" w:hAnsi="宋体"/>
        </w:rPr>
        <w:t>约定的，应当</w:t>
      </w:r>
      <w:r>
        <w:rPr>
          <w:rFonts w:ascii="宋体" w:hAnsi="宋体" w:hint="eastAsia"/>
        </w:rPr>
        <w:t>及时</w:t>
      </w:r>
      <w:r>
        <w:rPr>
          <w:rFonts w:ascii="宋体" w:hAnsi="宋体"/>
        </w:rPr>
        <w:t>提示基金管理人，并依照法律法规的规定</w:t>
      </w:r>
      <w:r>
        <w:rPr>
          <w:rFonts w:ascii="宋体" w:hAnsi="宋体" w:hint="eastAsia"/>
          <w:szCs w:val="21"/>
        </w:rPr>
        <w:t>及时</w:t>
      </w:r>
      <w:r>
        <w:rPr>
          <w:rFonts w:ascii="宋体" w:hAnsi="宋体"/>
        </w:rPr>
        <w:t>向中国证监会报告。</w:t>
      </w:r>
    </w:p>
    <w:p w:rsidR="005A0C12" w:rsidRDefault="00404031">
      <w:pPr>
        <w:spacing w:before="100" w:beforeAutospacing="1" w:after="100" w:afterAutospacing="1" w:line="400" w:lineRule="exact"/>
        <w:ind w:firstLine="420"/>
        <w:rPr>
          <w:rFonts w:ascii="宋体" w:hAnsi="宋体"/>
        </w:rPr>
      </w:pPr>
      <w:r>
        <w:rPr>
          <w:rFonts w:ascii="宋体" w:hAnsi="宋体"/>
        </w:rPr>
        <w:t>（五）基金管理人应积极配合和协助基金托管人的监督和核查，包括但不限于：在规定时间内答复基金托管人并改正，就基金托管人的疑义进行解释或举证，对基金托管人按照</w:t>
      </w:r>
      <w:r>
        <w:rPr>
          <w:rFonts w:ascii="宋体" w:hAnsi="宋体" w:cs="方正仿宋简体" w:hint="eastAsia"/>
          <w:szCs w:val="21"/>
        </w:rPr>
        <w:t>法规</w:t>
      </w:r>
      <w:r>
        <w:rPr>
          <w:rFonts w:ascii="宋体" w:hAnsi="宋体"/>
        </w:rPr>
        <w:t>要求需向中国证监会报送基金监督报告的，基金管理人应积极配合提供相关数据资料和</w:t>
      </w:r>
      <w:r>
        <w:rPr>
          <w:rFonts w:ascii="宋体" w:hAnsi="宋体" w:cs="方正仿宋简体" w:hint="eastAsia"/>
          <w:szCs w:val="21"/>
        </w:rPr>
        <w:t>制度</w:t>
      </w:r>
      <w:r>
        <w:rPr>
          <w:rFonts w:ascii="宋体" w:hAnsi="宋体"/>
        </w:rPr>
        <w:t>等。</w:t>
      </w:r>
    </w:p>
    <w:p w:rsidR="005A0C12" w:rsidRDefault="005A0C12">
      <w:pPr>
        <w:spacing w:before="100" w:beforeAutospacing="1" w:after="100" w:afterAutospacing="1" w:line="400" w:lineRule="exact"/>
        <w:ind w:firstLine="420"/>
        <w:rPr>
          <w:rFonts w:ascii="宋体" w:hAnsi="宋体"/>
        </w:rPr>
      </w:pPr>
    </w:p>
    <w:p w:rsidR="005A0C12" w:rsidRDefault="00404031">
      <w:pPr>
        <w:pStyle w:val="1"/>
        <w:spacing w:before="100" w:beforeAutospacing="1" w:after="100" w:afterAutospacing="1" w:line="400" w:lineRule="exact"/>
        <w:ind w:firstLine="422"/>
        <w:rPr>
          <w:rFonts w:ascii="宋体" w:hAnsi="宋体"/>
          <w:sz w:val="21"/>
        </w:rPr>
      </w:pPr>
      <w:bookmarkStart w:id="11" w:name="_Toc71746694"/>
      <w:r>
        <w:rPr>
          <w:rFonts w:ascii="宋体" w:hAnsi="宋体"/>
          <w:sz w:val="21"/>
        </w:rPr>
        <w:t>四、基金管理人对基金托管人的业务核查</w:t>
      </w:r>
      <w:bookmarkEnd w:id="11"/>
    </w:p>
    <w:p w:rsidR="005A0C12" w:rsidRDefault="00404031">
      <w:pPr>
        <w:adjustRightInd w:val="0"/>
        <w:snapToGrid w:val="0"/>
        <w:spacing w:before="100" w:beforeAutospacing="1" w:after="100" w:afterAutospacing="1" w:line="400" w:lineRule="exact"/>
        <w:ind w:firstLineChars="200" w:firstLine="420"/>
        <w:rPr>
          <w:rFonts w:ascii="宋体" w:hAnsi="宋体"/>
        </w:rPr>
      </w:pPr>
      <w:r>
        <w:rPr>
          <w:rFonts w:ascii="宋体" w:hAnsi="宋体"/>
        </w:rPr>
        <w:t>（</w:t>
      </w:r>
      <w:r>
        <w:rPr>
          <w:rFonts w:ascii="宋体" w:hAnsi="宋体" w:hint="eastAsia"/>
        </w:rPr>
        <w:t>一</w:t>
      </w:r>
      <w:r>
        <w:rPr>
          <w:rFonts w:ascii="宋体" w:hAnsi="宋体"/>
        </w:rPr>
        <w:t>）在本协议的有效期内，在不违反公平、合理原则以及不妨碍基金托管人遵守相关</w:t>
      </w:r>
      <w:r>
        <w:rPr>
          <w:rFonts w:ascii="宋体" w:hAnsi="宋体" w:hint="eastAsia"/>
          <w:szCs w:val="21"/>
        </w:rPr>
        <w:t>法律</w:t>
      </w:r>
      <w:r>
        <w:rPr>
          <w:rFonts w:ascii="宋体" w:hAnsi="宋体"/>
        </w:rPr>
        <w:t>法规及其行业监管要求的基础上，基金管理人有权对基金托管人履行本协议的情况进行</w:t>
      </w:r>
      <w:r>
        <w:rPr>
          <w:rFonts w:ascii="宋体" w:hAnsi="宋体" w:hint="eastAsia"/>
          <w:szCs w:val="21"/>
        </w:rPr>
        <w:t>必要</w:t>
      </w:r>
      <w:r>
        <w:rPr>
          <w:rFonts w:ascii="宋体" w:hAnsi="宋体"/>
        </w:rPr>
        <w:t>的核查，核查事项包括但不限于基金托管人安全保管基金财产、开设</w:t>
      </w:r>
      <w:r>
        <w:rPr>
          <w:rFonts w:ascii="宋体" w:hAnsi="宋体" w:hint="eastAsia"/>
          <w:szCs w:val="21"/>
        </w:rPr>
        <w:t>或注销</w:t>
      </w:r>
      <w:r>
        <w:rPr>
          <w:rFonts w:ascii="宋体" w:hAnsi="宋体"/>
        </w:rPr>
        <w:t>基金财产的资金账户</w:t>
      </w:r>
      <w:r>
        <w:rPr>
          <w:rFonts w:ascii="宋体" w:hAnsi="宋体" w:hint="eastAsia"/>
        </w:rPr>
        <w:t>、</w:t>
      </w:r>
      <w:r>
        <w:rPr>
          <w:rFonts w:ascii="宋体" w:hAnsi="宋体"/>
        </w:rPr>
        <w:t>证券账户</w:t>
      </w:r>
      <w:r>
        <w:rPr>
          <w:rFonts w:ascii="宋体" w:hAnsi="宋体" w:hint="eastAsia"/>
        </w:rPr>
        <w:t>、期货结算账户及其他投资所需账户、</w:t>
      </w:r>
      <w:r>
        <w:rPr>
          <w:rFonts w:ascii="宋体" w:hAnsi="宋体"/>
        </w:rPr>
        <w:t>复核基金管理人计算的各类基金份额的基金资产净值和基金份额净值、根据基金管理人指令</w:t>
      </w:r>
      <w:r>
        <w:rPr>
          <w:rFonts w:ascii="宋体" w:hAnsi="宋体" w:hint="eastAsia"/>
          <w:szCs w:val="21"/>
        </w:rPr>
        <w:t>办理</w:t>
      </w:r>
      <w:r>
        <w:rPr>
          <w:rFonts w:ascii="宋体" w:hAnsi="宋体"/>
        </w:rPr>
        <w:t>清算交收、相关信息披露和监督基金投资运作等行为。</w:t>
      </w:r>
    </w:p>
    <w:p w:rsidR="005A0C12" w:rsidRDefault="00404031">
      <w:pPr>
        <w:adjustRightInd w:val="0"/>
        <w:snapToGrid w:val="0"/>
        <w:spacing w:before="100" w:beforeAutospacing="1" w:after="100" w:afterAutospacing="1" w:line="400" w:lineRule="exact"/>
        <w:ind w:firstLineChars="200" w:firstLine="420"/>
        <w:rPr>
          <w:rFonts w:ascii="宋体" w:hAnsi="宋体"/>
        </w:rPr>
      </w:pPr>
      <w:r>
        <w:rPr>
          <w:rFonts w:ascii="宋体" w:hAnsi="宋体"/>
        </w:rPr>
        <w:t>（</w:t>
      </w:r>
      <w:r>
        <w:rPr>
          <w:rFonts w:ascii="宋体" w:hAnsi="宋体" w:hint="eastAsia"/>
        </w:rPr>
        <w:t>二</w:t>
      </w:r>
      <w:r>
        <w:rPr>
          <w:rFonts w:ascii="宋体" w:hAnsi="宋体"/>
        </w:rPr>
        <w:t>）基金管理人发现基金托管人擅自挪用基金财产、未对基金财产实行分账管理、无</w:t>
      </w:r>
      <w:r>
        <w:rPr>
          <w:rFonts w:ascii="宋体" w:hAnsi="宋体" w:hint="eastAsia"/>
          <w:szCs w:val="21"/>
        </w:rPr>
        <w:t>正当</w:t>
      </w:r>
      <w:r>
        <w:rPr>
          <w:rFonts w:ascii="宋体" w:hAnsi="宋体"/>
        </w:rPr>
        <w:t>理由未执行或延迟执行基金管理人资金划拨指令、泄露基金投资信息等违反法律法规、</w:t>
      </w:r>
      <w:r>
        <w:rPr>
          <w:rFonts w:ascii="宋体" w:hAnsi="宋体" w:hint="eastAsia"/>
          <w:szCs w:val="21"/>
        </w:rPr>
        <w:t>《基金合同》</w:t>
      </w:r>
      <w:r>
        <w:rPr>
          <w:rFonts w:ascii="宋体" w:hAnsi="宋体"/>
        </w:rPr>
        <w:t>及本协议有关规定时，应及时以书面形式通知基金托管人限期纠正，基金托管人</w:t>
      </w:r>
      <w:r>
        <w:rPr>
          <w:rFonts w:ascii="宋体" w:hAnsi="宋体" w:hint="eastAsia"/>
          <w:szCs w:val="21"/>
        </w:rPr>
        <w:t>收到</w:t>
      </w:r>
      <w:r>
        <w:rPr>
          <w:rFonts w:ascii="宋体" w:hAnsi="宋体"/>
        </w:rPr>
        <w:t>通知后应及时核对并以书面形式对基金管理人发出回函。在限期内，基金管理人有权随时对通知事项进行复查，督促基金托管人改正。基金托管人对基金管理人通知的违规事项未能在限期内纠正的，基金管理人应依照法律法规的规定报告中国证监会。</w:t>
      </w:r>
    </w:p>
    <w:p w:rsidR="005A0C12" w:rsidRDefault="00404031">
      <w:pPr>
        <w:adjustRightInd w:val="0"/>
        <w:snapToGrid w:val="0"/>
        <w:spacing w:before="100" w:beforeAutospacing="1" w:after="100" w:afterAutospacing="1" w:line="400" w:lineRule="exact"/>
        <w:ind w:firstLineChars="200" w:firstLine="420"/>
        <w:rPr>
          <w:rFonts w:ascii="宋体" w:hAnsi="宋体"/>
        </w:rPr>
      </w:pPr>
      <w:r>
        <w:rPr>
          <w:rFonts w:ascii="宋体" w:hAnsi="宋体"/>
        </w:rPr>
        <w:t>（</w:t>
      </w:r>
      <w:r>
        <w:rPr>
          <w:rFonts w:ascii="宋体" w:hAnsi="宋体" w:hint="eastAsia"/>
        </w:rPr>
        <w:t>三</w:t>
      </w:r>
      <w:r>
        <w:rPr>
          <w:rFonts w:ascii="宋体" w:hAnsi="宋体"/>
        </w:rPr>
        <w:t>）基金托管人应积极配合基金管理人的核查行为，包括但不限于：提交相关资料以</w:t>
      </w:r>
      <w:proofErr w:type="gramStart"/>
      <w:r>
        <w:rPr>
          <w:rFonts w:ascii="宋体" w:hAnsi="宋体"/>
        </w:rPr>
        <w:t>供基金</w:t>
      </w:r>
      <w:proofErr w:type="gramEnd"/>
      <w:r>
        <w:rPr>
          <w:rFonts w:ascii="宋体" w:hAnsi="宋体"/>
        </w:rPr>
        <w:t>管理人核查托管财产的完整性和真实性，在规定时间内答复基金管理人并改正。</w:t>
      </w:r>
      <w:r>
        <w:rPr>
          <w:rFonts w:ascii="宋体" w:hAnsi="宋体" w:hint="eastAsia"/>
        </w:rPr>
        <w:t>对基金管理人按照法规要求需向中国证监会提交基金监督报告的，基金托管人应积极配合提供相关数据资料和制度等。</w:t>
      </w:r>
    </w:p>
    <w:p w:rsidR="005A0C12" w:rsidRDefault="005A0C12">
      <w:pPr>
        <w:adjustRightInd w:val="0"/>
        <w:snapToGrid w:val="0"/>
        <w:spacing w:before="100" w:beforeAutospacing="1" w:after="100" w:afterAutospacing="1" w:line="400" w:lineRule="exact"/>
        <w:ind w:firstLineChars="200" w:firstLine="420"/>
        <w:rPr>
          <w:rFonts w:ascii="宋体" w:hAnsi="宋体"/>
        </w:rPr>
      </w:pPr>
    </w:p>
    <w:p w:rsidR="005A0C12" w:rsidRDefault="00404031">
      <w:pPr>
        <w:pStyle w:val="1"/>
        <w:spacing w:before="100" w:beforeAutospacing="1" w:after="100" w:afterAutospacing="1" w:line="400" w:lineRule="exact"/>
        <w:ind w:firstLine="422"/>
        <w:rPr>
          <w:rFonts w:ascii="宋体" w:hAnsi="宋体"/>
          <w:sz w:val="21"/>
        </w:rPr>
      </w:pPr>
      <w:bookmarkStart w:id="12" w:name="_Toc116900099"/>
      <w:bookmarkStart w:id="13" w:name="_Toc71746695"/>
      <w:r>
        <w:rPr>
          <w:rFonts w:ascii="宋体" w:hAnsi="宋体"/>
          <w:kern w:val="2"/>
          <w:sz w:val="21"/>
        </w:rPr>
        <w:lastRenderedPageBreak/>
        <w:t>五、基金财产的保管</w:t>
      </w:r>
      <w:bookmarkEnd w:id="12"/>
      <w:bookmarkEnd w:id="13"/>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（一）基金财产保管的原则</w:t>
      </w:r>
    </w:p>
    <w:p w:rsidR="005A0C12" w:rsidRDefault="00404031">
      <w:pPr>
        <w:adjustRightInd w:val="0"/>
        <w:snapToGrid w:val="0"/>
        <w:spacing w:before="100" w:beforeAutospacing="1" w:after="100" w:afterAutospacing="1" w:line="400" w:lineRule="exact"/>
        <w:ind w:firstLineChars="200" w:firstLine="420"/>
        <w:rPr>
          <w:rFonts w:ascii="宋体" w:hAnsi="宋体"/>
          <w:szCs w:val="21"/>
        </w:rPr>
      </w:pPr>
      <w:r>
        <w:rPr>
          <w:rFonts w:ascii="宋体" w:hAnsi="宋体"/>
          <w:szCs w:val="21"/>
        </w:rPr>
        <w:t>1、基金财产应独立于基金管理人、基金托管人的固有财产。</w:t>
      </w:r>
    </w:p>
    <w:p w:rsidR="005A0C12" w:rsidRDefault="00404031">
      <w:pPr>
        <w:adjustRightInd w:val="0"/>
        <w:snapToGrid w:val="0"/>
        <w:spacing w:before="100" w:beforeAutospacing="1" w:after="100" w:afterAutospacing="1" w:line="400" w:lineRule="exact"/>
        <w:ind w:firstLineChars="200" w:firstLine="420"/>
        <w:rPr>
          <w:rFonts w:ascii="宋体" w:hAnsi="宋体"/>
          <w:szCs w:val="21"/>
        </w:rPr>
      </w:pPr>
      <w:r>
        <w:rPr>
          <w:rFonts w:ascii="宋体" w:hAnsi="宋体"/>
          <w:szCs w:val="21"/>
        </w:rPr>
        <w:t>2、基金托管人应安全保管基金财产，未经基金管理人的合法合</w:t>
      </w:r>
      <w:proofErr w:type="gramStart"/>
      <w:r>
        <w:rPr>
          <w:rFonts w:ascii="宋体" w:hAnsi="宋体"/>
          <w:szCs w:val="21"/>
        </w:rPr>
        <w:t>规</w:t>
      </w:r>
      <w:proofErr w:type="gramEnd"/>
      <w:r>
        <w:rPr>
          <w:rFonts w:ascii="宋体" w:hAnsi="宋体"/>
          <w:szCs w:val="21"/>
        </w:rPr>
        <w:t>指令或法律法规、</w:t>
      </w:r>
      <w:r>
        <w:rPr>
          <w:rFonts w:ascii="宋体" w:hAnsi="宋体" w:hint="eastAsia"/>
          <w:szCs w:val="21"/>
        </w:rPr>
        <w:t>《基金合同》</w:t>
      </w:r>
      <w:r>
        <w:rPr>
          <w:rFonts w:ascii="宋体" w:hAnsi="宋体"/>
          <w:szCs w:val="21"/>
        </w:rPr>
        <w:t>及本协议另有规定，不得自行运用、处分、分配基金的任何财产。</w:t>
      </w:r>
    </w:p>
    <w:p w:rsidR="005A0C12" w:rsidRDefault="00404031">
      <w:pPr>
        <w:adjustRightInd w:val="0"/>
        <w:snapToGrid w:val="0"/>
        <w:spacing w:before="100" w:beforeAutospacing="1" w:after="100" w:afterAutospacing="1" w:line="400" w:lineRule="exact"/>
        <w:ind w:firstLineChars="200" w:firstLine="420"/>
        <w:rPr>
          <w:rFonts w:ascii="宋体" w:hAnsi="宋体"/>
          <w:color w:val="000000"/>
          <w:kern w:val="0"/>
          <w:szCs w:val="21"/>
        </w:rPr>
      </w:pPr>
      <w:r>
        <w:rPr>
          <w:rFonts w:ascii="宋体" w:hAnsi="宋体"/>
          <w:color w:val="000000"/>
          <w:kern w:val="0"/>
          <w:szCs w:val="21"/>
        </w:rPr>
        <w:t>3、基金托管人按照规定开设基金财产的资金账户</w:t>
      </w:r>
      <w:r>
        <w:rPr>
          <w:rFonts w:ascii="宋体" w:hAnsi="宋体" w:hint="eastAsia"/>
          <w:color w:val="000000"/>
          <w:kern w:val="0"/>
          <w:szCs w:val="21"/>
        </w:rPr>
        <w:t>、</w:t>
      </w:r>
      <w:r>
        <w:rPr>
          <w:rFonts w:ascii="宋体" w:hAnsi="宋体"/>
          <w:color w:val="000000"/>
          <w:kern w:val="0"/>
          <w:szCs w:val="21"/>
        </w:rPr>
        <w:t>证券账户</w:t>
      </w:r>
      <w:r>
        <w:rPr>
          <w:rFonts w:ascii="宋体" w:hAnsi="宋体" w:hint="eastAsia"/>
          <w:color w:val="000000"/>
          <w:kern w:val="0"/>
          <w:szCs w:val="21"/>
        </w:rPr>
        <w:t>、期货结算账户</w:t>
      </w:r>
      <w:r>
        <w:rPr>
          <w:rFonts w:ascii="宋体" w:hAnsi="宋体" w:cs="方正仿宋简体" w:hint="eastAsia"/>
          <w:szCs w:val="21"/>
        </w:rPr>
        <w:t>及其他投资所需账户</w:t>
      </w:r>
      <w:r>
        <w:rPr>
          <w:rFonts w:ascii="宋体" w:hAnsi="宋体"/>
          <w:color w:val="000000"/>
          <w:kern w:val="0"/>
          <w:szCs w:val="21"/>
        </w:rPr>
        <w:t>。</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4、基金托管人对所托管的不同基金财产分别设置账户，分账管理</w:t>
      </w:r>
      <w:r>
        <w:rPr>
          <w:rFonts w:ascii="宋体" w:eastAsia="宋体" w:hint="eastAsia"/>
          <w:color w:val="auto"/>
          <w:sz w:val="21"/>
          <w:szCs w:val="21"/>
        </w:rPr>
        <w:t>，</w:t>
      </w:r>
      <w:r>
        <w:rPr>
          <w:rFonts w:ascii="宋体" w:eastAsia="宋体"/>
          <w:color w:val="auto"/>
          <w:sz w:val="21"/>
          <w:szCs w:val="21"/>
        </w:rPr>
        <w:t>独立核算</w:t>
      </w:r>
      <w:r>
        <w:rPr>
          <w:rFonts w:ascii="宋体" w:eastAsia="宋体" w:hint="eastAsia"/>
          <w:color w:val="auto"/>
          <w:sz w:val="21"/>
          <w:szCs w:val="21"/>
        </w:rPr>
        <w:t>，</w:t>
      </w:r>
      <w:r>
        <w:rPr>
          <w:rFonts w:ascii="宋体" w:eastAsia="宋体"/>
          <w:color w:val="auto"/>
          <w:sz w:val="21"/>
          <w:szCs w:val="21"/>
        </w:rPr>
        <w:t>确保基金财产的完整与独立。</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5、除依据《基金法》、《运作办法》、《基金合同》及其他有关法律法规规定外，基金</w:t>
      </w:r>
      <w:r>
        <w:rPr>
          <w:rFonts w:ascii="宋体" w:eastAsia="宋体" w:hint="eastAsia"/>
          <w:sz w:val="21"/>
          <w:szCs w:val="21"/>
        </w:rPr>
        <w:t>托管</w:t>
      </w:r>
      <w:r>
        <w:rPr>
          <w:rFonts w:ascii="宋体" w:eastAsia="宋体"/>
          <w:color w:val="auto"/>
          <w:sz w:val="21"/>
          <w:szCs w:val="21"/>
        </w:rPr>
        <w:t>人不得委托第三人托管基金财产。</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（二）</w:t>
      </w:r>
      <w:r>
        <w:rPr>
          <w:rFonts w:ascii="宋体" w:eastAsia="宋体" w:hint="eastAsia"/>
          <w:color w:val="auto"/>
          <w:sz w:val="21"/>
          <w:szCs w:val="21"/>
        </w:rPr>
        <w:t>《</w:t>
      </w:r>
      <w:r>
        <w:rPr>
          <w:rFonts w:ascii="宋体" w:eastAsia="宋体" w:hint="eastAsia"/>
          <w:sz w:val="21"/>
          <w:szCs w:val="21"/>
        </w:rPr>
        <w:t>基金合同》</w:t>
      </w:r>
      <w:r>
        <w:rPr>
          <w:rFonts w:ascii="宋体" w:eastAsia="宋体"/>
          <w:color w:val="auto"/>
          <w:sz w:val="21"/>
          <w:szCs w:val="21"/>
        </w:rPr>
        <w:t>生效前募集资金的验资和入账</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1、基金募集期满或</w:t>
      </w:r>
      <w:r>
        <w:rPr>
          <w:rFonts w:ascii="宋体" w:eastAsia="宋体" w:hint="eastAsia"/>
          <w:color w:val="auto"/>
          <w:sz w:val="21"/>
          <w:szCs w:val="21"/>
        </w:rPr>
        <w:t>基金管理人依据法律法规及招募说明书决定停止基金发售</w:t>
      </w:r>
      <w:r>
        <w:rPr>
          <w:rFonts w:ascii="宋体" w:eastAsia="宋体"/>
          <w:color w:val="auto"/>
          <w:sz w:val="21"/>
          <w:szCs w:val="21"/>
        </w:rPr>
        <w:t>时，募集的基金份额总额、基金募集金额、基金份额持有人人数符合《基金法》、《运作办法》等有关规定的，由基金管理人在法定期限内聘请</w:t>
      </w:r>
      <w:r>
        <w:rPr>
          <w:rFonts w:ascii="宋体" w:eastAsia="宋体" w:hint="eastAsia"/>
          <w:color w:val="auto"/>
          <w:sz w:val="21"/>
          <w:szCs w:val="21"/>
        </w:rPr>
        <w:t>符合《中华人民共和国证券法》规定的</w:t>
      </w:r>
      <w:r>
        <w:rPr>
          <w:rFonts w:ascii="宋体" w:eastAsia="宋体"/>
          <w:color w:val="auto"/>
          <w:sz w:val="21"/>
          <w:szCs w:val="21"/>
        </w:rPr>
        <w:t>会计师事务所进行验资，并出具验资报告</w:t>
      </w:r>
      <w:r>
        <w:rPr>
          <w:rFonts w:ascii="宋体" w:eastAsia="宋体" w:hint="eastAsia"/>
          <w:color w:val="auto"/>
          <w:sz w:val="21"/>
          <w:szCs w:val="21"/>
        </w:rPr>
        <w:t>。</w:t>
      </w:r>
      <w:r>
        <w:rPr>
          <w:rFonts w:ascii="宋体" w:eastAsia="宋体"/>
          <w:color w:val="auto"/>
          <w:sz w:val="21"/>
          <w:szCs w:val="21"/>
        </w:rPr>
        <w:t>出具的验资报告应由参加验资的2名以上（含2名）中国注册会计师签字方为有效。</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2、基金管理人应将属于本基金财产的全部资金划入在基金托管人处为本基金开立的</w:t>
      </w:r>
      <w:r>
        <w:rPr>
          <w:rFonts w:ascii="宋体" w:eastAsia="宋体" w:hint="eastAsia"/>
          <w:sz w:val="21"/>
          <w:szCs w:val="21"/>
        </w:rPr>
        <w:t>基金</w:t>
      </w:r>
      <w:r>
        <w:rPr>
          <w:rFonts w:ascii="宋体" w:eastAsia="宋体"/>
          <w:color w:val="auto"/>
          <w:sz w:val="21"/>
          <w:szCs w:val="21"/>
        </w:rPr>
        <w:t>银行账户中，并确保划入的资金与验资确认金额相一致。</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（三）基金的银行账户的开设和管理</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1、基金托管人应负责本基金的银行账户的开设和管理。</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2、基金托管人以本基金的名义开设本基金的银行账户。本基金的银行预留印鉴由基金托管人保管和使用。本基金的一切货币收支活动，包括但不限于投资、支付赎回金额、支付基金收益、收取申购款，均需通过本基金的银行账户进行。</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3、本基金银行账户的开立和使用，限于满足开展本基金业务的需要。基金托管人和</w:t>
      </w:r>
      <w:r>
        <w:rPr>
          <w:rFonts w:ascii="宋体" w:eastAsia="宋体" w:hint="eastAsia"/>
          <w:sz w:val="21"/>
          <w:szCs w:val="21"/>
        </w:rPr>
        <w:t>基</w:t>
      </w:r>
      <w:r>
        <w:rPr>
          <w:rFonts w:ascii="宋体" w:eastAsia="宋体" w:hint="eastAsia"/>
          <w:sz w:val="21"/>
          <w:szCs w:val="21"/>
        </w:rPr>
        <w:lastRenderedPageBreak/>
        <w:t>金</w:t>
      </w:r>
      <w:r>
        <w:rPr>
          <w:rFonts w:ascii="宋体" w:eastAsia="宋体"/>
          <w:color w:val="auto"/>
          <w:sz w:val="21"/>
          <w:szCs w:val="21"/>
        </w:rPr>
        <w:t>管理人不得假借本基金的名义开立其他任何银行账户；亦不得使用本基金的银行账户进行本基金业务以外的活动。</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4、基金银行账户的管理应符合法律法规的有关规定。</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（四）基金进行定期存款投资的账户开设和管理</w:t>
      </w:r>
    </w:p>
    <w:p w:rsidR="005A0C12" w:rsidRDefault="00404031">
      <w:pPr>
        <w:pStyle w:val="a6"/>
        <w:ind w:firstLine="403"/>
        <w:rPr>
          <w:rFonts w:ascii="宋体" w:eastAsia="宋体"/>
          <w:color w:val="auto"/>
          <w:sz w:val="21"/>
          <w:szCs w:val="21"/>
        </w:rPr>
      </w:pPr>
      <w:r>
        <w:rPr>
          <w:rFonts w:ascii="宋体" w:eastAsia="宋体"/>
          <w:color w:val="auto"/>
          <w:sz w:val="21"/>
          <w:szCs w:val="21"/>
        </w:rPr>
        <w:t>基金管理人以基金名义开立存款账户，</w:t>
      </w:r>
      <w:r>
        <w:rPr>
          <w:rFonts w:ascii="宋体" w:eastAsia="宋体" w:hint="eastAsia"/>
          <w:color w:val="auto"/>
          <w:sz w:val="21"/>
          <w:szCs w:val="21"/>
        </w:rPr>
        <w:t>基金托管人</w:t>
      </w:r>
      <w:r>
        <w:rPr>
          <w:rFonts w:ascii="宋体" w:eastAsia="宋体"/>
          <w:color w:val="auto"/>
          <w:sz w:val="21"/>
          <w:szCs w:val="21"/>
        </w:rPr>
        <w:t>负责该账户银行预留印鉴的保管和使用。在上述账户开立和账户相关信息变更过程中，基金管理人应提前向基金托管人提供开户或账户变更所需的相关资料</w:t>
      </w:r>
      <w:r>
        <w:rPr>
          <w:rFonts w:ascii="宋体" w:eastAsia="宋体" w:hint="eastAsia"/>
          <w:color w:val="auto"/>
          <w:sz w:val="21"/>
          <w:szCs w:val="21"/>
        </w:rPr>
        <w:t>。</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（五）基金证券账户</w:t>
      </w:r>
      <w:r>
        <w:rPr>
          <w:rFonts w:ascii="宋体" w:eastAsia="宋体" w:hint="eastAsia"/>
          <w:color w:val="auto"/>
          <w:sz w:val="21"/>
          <w:szCs w:val="21"/>
        </w:rPr>
        <w:t>、结算备付金账户及其他投资</w:t>
      </w:r>
      <w:r>
        <w:rPr>
          <w:rFonts w:ascii="宋体" w:eastAsia="宋体"/>
          <w:color w:val="auto"/>
          <w:sz w:val="21"/>
          <w:szCs w:val="21"/>
        </w:rPr>
        <w:t>账户的开设和管理</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1、基金托管人应当代表本基金，以基金托管人和本基金联名的方式在中国证券登记</w:t>
      </w:r>
      <w:r>
        <w:rPr>
          <w:rFonts w:ascii="宋体" w:eastAsia="宋体" w:hint="eastAsia"/>
          <w:sz w:val="21"/>
          <w:szCs w:val="21"/>
        </w:rPr>
        <w:t>结算</w:t>
      </w:r>
      <w:r>
        <w:rPr>
          <w:rFonts w:ascii="宋体" w:eastAsia="宋体"/>
          <w:color w:val="auto"/>
          <w:sz w:val="21"/>
          <w:szCs w:val="21"/>
        </w:rPr>
        <w:t>有限责任公司开设证券账户。</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2、本基金证券账户的开立和使用，限于满足开展本基金业务的需要。基金托管人和</w:t>
      </w:r>
      <w:r>
        <w:rPr>
          <w:rFonts w:ascii="宋体" w:eastAsia="宋体" w:hint="eastAsia"/>
          <w:sz w:val="21"/>
          <w:szCs w:val="21"/>
        </w:rPr>
        <w:t>基金</w:t>
      </w:r>
      <w:r>
        <w:rPr>
          <w:rFonts w:ascii="宋体" w:eastAsia="宋体"/>
          <w:color w:val="auto"/>
          <w:sz w:val="21"/>
          <w:szCs w:val="21"/>
        </w:rPr>
        <w:t>管理人不得出借或转让本基金的证券账户，亦不得使用本基金的证券账户进行本基金业务以外的活动。</w:t>
      </w:r>
    </w:p>
    <w:p w:rsidR="005A0C12" w:rsidRDefault="00404031">
      <w:pPr>
        <w:pStyle w:val="a6"/>
        <w:spacing w:before="100" w:beforeAutospacing="1" w:after="100" w:afterAutospacing="1"/>
        <w:ind w:firstLine="403"/>
        <w:rPr>
          <w:rFonts w:ascii="宋体" w:eastAsia="宋体"/>
          <w:sz w:val="21"/>
          <w:szCs w:val="21"/>
        </w:rPr>
      </w:pPr>
      <w:r>
        <w:rPr>
          <w:rFonts w:ascii="宋体" w:eastAsia="宋体"/>
          <w:color w:val="auto"/>
          <w:sz w:val="21"/>
          <w:szCs w:val="21"/>
        </w:rPr>
        <w:t>3、基金托管人以自身法人名义在中国证券登记结算有限责任公司开立结算备付金账户，用于办理基金托管人所托管的包括本基金在内的全部基金在证券交易所进行证券投资所</w:t>
      </w:r>
      <w:r>
        <w:rPr>
          <w:rFonts w:ascii="宋体" w:eastAsia="宋体"/>
          <w:sz w:val="21"/>
          <w:szCs w:val="21"/>
        </w:rPr>
        <w:t>涉及的资金结算业务。结算备付金的收取按照中国证券登记结算有限责任公司的规定执行。</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4、</w:t>
      </w:r>
      <w:r>
        <w:rPr>
          <w:rFonts w:ascii="宋体" w:eastAsia="宋体" w:hint="eastAsia"/>
          <w:color w:val="auto"/>
          <w:sz w:val="21"/>
          <w:szCs w:val="21"/>
        </w:rPr>
        <w:t>法律法规等有关规定对相关账户的开立和管理另有规定的，从其规定办理。</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（六）其他账户的开设和管理</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在本托管协议生效日之后，本基金被允许从事其他投资品种的投资业务的，涉及</w:t>
      </w:r>
      <w:r>
        <w:rPr>
          <w:rFonts w:ascii="宋体" w:eastAsia="宋体" w:hint="eastAsia"/>
          <w:color w:val="auto"/>
          <w:sz w:val="21"/>
          <w:szCs w:val="21"/>
        </w:rPr>
        <w:t>相关</w:t>
      </w:r>
      <w:r>
        <w:rPr>
          <w:rFonts w:ascii="宋体" w:eastAsia="宋体"/>
          <w:color w:val="auto"/>
          <w:sz w:val="21"/>
          <w:szCs w:val="21"/>
        </w:rPr>
        <w:t>账户的开设、使用的，按照有关规定办理；若无相关规定，</w:t>
      </w:r>
      <w:proofErr w:type="gramStart"/>
      <w:r>
        <w:rPr>
          <w:rFonts w:ascii="宋体" w:eastAsia="宋体"/>
          <w:color w:val="auto"/>
          <w:sz w:val="21"/>
          <w:szCs w:val="21"/>
        </w:rPr>
        <w:t>则基金</w:t>
      </w:r>
      <w:proofErr w:type="gramEnd"/>
      <w:r>
        <w:rPr>
          <w:rFonts w:ascii="宋体" w:eastAsia="宋体"/>
          <w:color w:val="auto"/>
          <w:sz w:val="21"/>
          <w:szCs w:val="21"/>
        </w:rPr>
        <w:t xml:space="preserve">托管人应当比照上述关于账户开设、使用的规定。 </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w:t>
      </w:r>
      <w:r>
        <w:rPr>
          <w:rFonts w:ascii="宋体" w:eastAsia="宋体" w:hint="eastAsia"/>
          <w:kern w:val="0"/>
          <w:sz w:val="21"/>
          <w:szCs w:val="21"/>
        </w:rPr>
        <w:t>七</w:t>
      </w:r>
      <w:r>
        <w:rPr>
          <w:rFonts w:ascii="宋体" w:eastAsia="宋体"/>
          <w:kern w:val="0"/>
          <w:sz w:val="21"/>
          <w:szCs w:val="21"/>
        </w:rPr>
        <w:t>）债券托管专户的开设和管理</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sz w:val="21"/>
          <w:szCs w:val="21"/>
        </w:rPr>
        <w:t>《基金合同》</w:t>
      </w:r>
      <w:r>
        <w:rPr>
          <w:rFonts w:ascii="宋体" w:eastAsia="宋体"/>
          <w:color w:val="auto"/>
          <w:sz w:val="21"/>
          <w:szCs w:val="21"/>
        </w:rPr>
        <w:t>生效后，基金管理人负责以基金的名义申请并取得进入全国银行间同业</w:t>
      </w:r>
      <w:r>
        <w:rPr>
          <w:rFonts w:ascii="宋体" w:eastAsia="宋体" w:hint="eastAsia"/>
          <w:sz w:val="21"/>
          <w:szCs w:val="21"/>
        </w:rPr>
        <w:t>拆借</w:t>
      </w:r>
      <w:r>
        <w:rPr>
          <w:rFonts w:ascii="宋体" w:eastAsia="宋体"/>
          <w:color w:val="auto"/>
          <w:sz w:val="21"/>
          <w:szCs w:val="21"/>
        </w:rPr>
        <w:t>市场的交易资格，并代表基金进行交易；</w:t>
      </w:r>
      <w:r>
        <w:rPr>
          <w:rFonts w:ascii="宋体" w:eastAsia="宋体" w:hint="eastAsia"/>
          <w:color w:val="auto"/>
          <w:sz w:val="21"/>
          <w:szCs w:val="21"/>
        </w:rPr>
        <w:t>由基金管理人负责向中国人民银行报备，在上述手续办理完毕之后，</w:t>
      </w:r>
      <w:r>
        <w:rPr>
          <w:rFonts w:ascii="宋体" w:eastAsia="宋体"/>
          <w:color w:val="auto"/>
          <w:sz w:val="21"/>
          <w:szCs w:val="21"/>
        </w:rPr>
        <w:t>基金托管人负责以基金的名义在中央国债登记</w:t>
      </w:r>
      <w:r>
        <w:rPr>
          <w:rFonts w:ascii="宋体" w:eastAsia="宋体" w:hint="eastAsia"/>
          <w:sz w:val="21"/>
          <w:szCs w:val="21"/>
        </w:rPr>
        <w:t>结算</w:t>
      </w:r>
      <w:r>
        <w:rPr>
          <w:rFonts w:ascii="宋体" w:eastAsia="宋体"/>
          <w:color w:val="auto"/>
          <w:sz w:val="21"/>
          <w:szCs w:val="21"/>
        </w:rPr>
        <w:t>有限责任公司</w:t>
      </w:r>
      <w:r>
        <w:rPr>
          <w:rFonts w:ascii="宋体" w:eastAsia="宋体" w:hint="eastAsia"/>
          <w:color w:val="auto"/>
          <w:sz w:val="21"/>
          <w:szCs w:val="21"/>
        </w:rPr>
        <w:t>和银行间市场清算所股份有限公司</w:t>
      </w:r>
      <w:r>
        <w:rPr>
          <w:rFonts w:ascii="宋体" w:eastAsia="宋体"/>
          <w:color w:val="auto"/>
          <w:sz w:val="21"/>
          <w:szCs w:val="21"/>
        </w:rPr>
        <w:t>开设银行间债券市场债券托管账户，并代表基金进行银</w:t>
      </w:r>
      <w:r>
        <w:rPr>
          <w:rFonts w:ascii="宋体" w:eastAsia="宋体"/>
          <w:color w:val="auto"/>
          <w:sz w:val="21"/>
          <w:szCs w:val="21"/>
        </w:rPr>
        <w:lastRenderedPageBreak/>
        <w:t>行间债券市场债券和资金的清算。</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w:t>
      </w:r>
      <w:r>
        <w:rPr>
          <w:rFonts w:ascii="宋体" w:eastAsia="宋体" w:hint="eastAsia"/>
          <w:kern w:val="0"/>
          <w:sz w:val="21"/>
          <w:szCs w:val="21"/>
        </w:rPr>
        <w:t>八</w:t>
      </w:r>
      <w:r>
        <w:rPr>
          <w:rFonts w:ascii="宋体" w:eastAsia="宋体"/>
          <w:kern w:val="0"/>
          <w:sz w:val="21"/>
          <w:szCs w:val="21"/>
        </w:rPr>
        <w:t>）基金财产投资的有关有价凭证的保管</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 xml:space="preserve">基金财产投资的实物证券、银行定期存款存单等有价凭证由基金托管人负责妥善保管。基金托管人对其以外机构实际有效控制的有价凭证不承担责任。 </w:t>
      </w:r>
    </w:p>
    <w:p w:rsidR="005A0C12" w:rsidRDefault="00404031">
      <w:pPr>
        <w:pStyle w:val="a6"/>
        <w:spacing w:before="100" w:beforeAutospacing="1" w:after="100" w:afterAutospacing="1"/>
        <w:ind w:firstLine="403"/>
        <w:rPr>
          <w:rFonts w:ascii="Times New Roman" w:hAnsi="Times New Roman"/>
          <w:kern w:val="0"/>
          <w:sz w:val="22"/>
        </w:rPr>
      </w:pPr>
      <w:r>
        <w:rPr>
          <w:rFonts w:ascii="宋体" w:eastAsia="宋体"/>
          <w:kern w:val="0"/>
          <w:sz w:val="21"/>
          <w:szCs w:val="21"/>
        </w:rPr>
        <w:t>（</w:t>
      </w:r>
      <w:r>
        <w:rPr>
          <w:rFonts w:ascii="宋体" w:eastAsia="宋体" w:hint="eastAsia"/>
          <w:kern w:val="0"/>
          <w:sz w:val="21"/>
          <w:szCs w:val="21"/>
        </w:rPr>
        <w:t>九</w:t>
      </w:r>
      <w:r>
        <w:rPr>
          <w:rFonts w:ascii="宋体" w:eastAsia="宋体"/>
          <w:kern w:val="0"/>
          <w:sz w:val="21"/>
          <w:szCs w:val="21"/>
        </w:rPr>
        <w:t>）与基金财产有关的重大合同及有关凭证的保管</w:t>
      </w:r>
      <w:r>
        <w:rPr>
          <w:rFonts w:ascii="Times New Roman" w:hAnsi="Times New Roman"/>
          <w:kern w:val="0"/>
          <w:sz w:val="22"/>
        </w:rPr>
        <w:t xml:space="preserve"> </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基金托管人按照法律法规保管由基金管理人代表基金签署的与基金有关的重大合同及有关凭证。基金管理人代表基金签署有关重大合同后应在收到合同正本后30日内将一份</w:t>
      </w:r>
      <w:r>
        <w:rPr>
          <w:rFonts w:ascii="宋体" w:eastAsia="宋体" w:hint="eastAsia"/>
          <w:sz w:val="21"/>
          <w:szCs w:val="21"/>
        </w:rPr>
        <w:t>正本</w:t>
      </w:r>
      <w:r>
        <w:rPr>
          <w:rFonts w:ascii="宋体" w:eastAsia="宋体"/>
          <w:color w:val="auto"/>
          <w:sz w:val="21"/>
          <w:szCs w:val="21"/>
        </w:rPr>
        <w:t>的原件提交给基金托管人。除本协议另有规定外，基金管理人在代表基金签署与基金有关的重大合同时应保证基金一方持有两份以上的正本，以便基金管理人和基金托管人至少各</w:t>
      </w:r>
      <w:r>
        <w:rPr>
          <w:rFonts w:ascii="宋体" w:eastAsia="宋体" w:hint="eastAsia"/>
          <w:sz w:val="21"/>
          <w:szCs w:val="21"/>
        </w:rPr>
        <w:t>持有</w:t>
      </w:r>
      <w:r>
        <w:rPr>
          <w:rFonts w:ascii="宋体" w:eastAsia="宋体"/>
          <w:color w:val="auto"/>
          <w:sz w:val="21"/>
          <w:szCs w:val="21"/>
        </w:rPr>
        <w:t>一份正本的原件。重大合同由基金管理人与基金托管人按规定各自保管</w:t>
      </w:r>
      <w:r>
        <w:rPr>
          <w:rFonts w:ascii="宋体" w:eastAsia="宋体" w:hint="eastAsia"/>
          <w:color w:val="auto"/>
          <w:sz w:val="21"/>
          <w:szCs w:val="21"/>
        </w:rPr>
        <w:t>，</w:t>
      </w:r>
      <w:r>
        <w:rPr>
          <w:rFonts w:ascii="宋体" w:eastAsia="宋体"/>
          <w:color w:val="auto"/>
          <w:sz w:val="21"/>
          <w:szCs w:val="21"/>
        </w:rPr>
        <w:t>保管期限</w:t>
      </w:r>
      <w:r>
        <w:rPr>
          <w:rFonts w:ascii="宋体" w:eastAsia="宋体" w:hint="eastAsia"/>
          <w:color w:val="auto"/>
          <w:sz w:val="21"/>
          <w:szCs w:val="21"/>
        </w:rPr>
        <w:t>不低于法律法规规定的最低年限</w:t>
      </w:r>
      <w:r>
        <w:rPr>
          <w:rFonts w:ascii="宋体" w:eastAsia="宋体"/>
          <w:color w:val="auto"/>
          <w:sz w:val="21"/>
          <w:szCs w:val="21"/>
        </w:rPr>
        <w:t>。</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对于无法取得两份以上的正本的，基金管理人应向基金托管人提供加盖公章的合同复印件，并确保</w:t>
      </w:r>
      <w:r>
        <w:rPr>
          <w:rFonts w:ascii="宋体" w:eastAsia="宋体"/>
          <w:color w:val="auto"/>
          <w:sz w:val="21"/>
          <w:szCs w:val="21"/>
        </w:rPr>
        <w:t>复印件与原件一致。</w:t>
      </w:r>
      <w:r>
        <w:rPr>
          <w:rFonts w:ascii="宋体" w:eastAsia="宋体" w:hint="eastAsia"/>
          <w:color w:val="auto"/>
          <w:sz w:val="21"/>
          <w:szCs w:val="21"/>
        </w:rPr>
        <w:t>未经双方协商或未在合同约定范围内，合同原件不得转移。</w:t>
      </w:r>
    </w:p>
    <w:p w:rsidR="005A0C12" w:rsidRDefault="005A0C12">
      <w:pPr>
        <w:pStyle w:val="a6"/>
        <w:spacing w:before="100" w:beforeAutospacing="1" w:after="100" w:afterAutospacing="1"/>
        <w:ind w:firstLine="403"/>
        <w:rPr>
          <w:rFonts w:ascii="宋体" w:eastAsia="宋体"/>
          <w:kern w:val="0"/>
          <w:sz w:val="21"/>
          <w:szCs w:val="21"/>
        </w:rPr>
      </w:pPr>
    </w:p>
    <w:p w:rsidR="005A0C12" w:rsidRDefault="00404031">
      <w:pPr>
        <w:pStyle w:val="1"/>
        <w:spacing w:before="100" w:beforeAutospacing="1" w:after="100" w:afterAutospacing="1" w:line="400" w:lineRule="exact"/>
        <w:ind w:firstLine="422"/>
        <w:rPr>
          <w:rFonts w:ascii="宋体" w:hAnsi="宋体"/>
          <w:sz w:val="21"/>
        </w:rPr>
      </w:pPr>
      <w:bookmarkStart w:id="14" w:name="_Toc116900100"/>
      <w:bookmarkStart w:id="15" w:name="_Toc71746696"/>
      <w:r>
        <w:rPr>
          <w:rFonts w:ascii="宋体" w:hAnsi="宋体"/>
          <w:sz w:val="21"/>
        </w:rPr>
        <w:t>六、指令的发送、确认及执行</w:t>
      </w:r>
      <w:bookmarkEnd w:id="14"/>
      <w:bookmarkEnd w:id="15"/>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基金管理人发送的指令包括电子指令和纸质指令。</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电子指令包括基金管理人发送的电子指令（采用深</w:t>
      </w:r>
      <w:proofErr w:type="gramStart"/>
      <w:r>
        <w:rPr>
          <w:rFonts w:ascii="宋体" w:eastAsia="宋体" w:hint="eastAsia"/>
          <w:color w:val="auto"/>
          <w:sz w:val="21"/>
          <w:szCs w:val="21"/>
        </w:rPr>
        <w:t>证通金融</w:t>
      </w:r>
      <w:proofErr w:type="gramEnd"/>
      <w:r>
        <w:rPr>
          <w:rFonts w:ascii="宋体" w:eastAsia="宋体" w:hint="eastAsia"/>
          <w:color w:val="auto"/>
          <w:sz w:val="21"/>
          <w:szCs w:val="21"/>
        </w:rPr>
        <w:t>数据交换平台发送的电子指令、采用SWIFT电子报文发送的电子指令、通过中国银行</w:t>
      </w:r>
      <w:proofErr w:type="gramStart"/>
      <w:r>
        <w:rPr>
          <w:rFonts w:ascii="宋体" w:eastAsia="宋体" w:hint="eastAsia"/>
          <w:color w:val="auto"/>
          <w:sz w:val="21"/>
          <w:szCs w:val="21"/>
        </w:rPr>
        <w:t>托管网</w:t>
      </w:r>
      <w:proofErr w:type="gramEnd"/>
      <w:r>
        <w:rPr>
          <w:rFonts w:ascii="宋体" w:eastAsia="宋体" w:hint="eastAsia"/>
          <w:color w:val="auto"/>
          <w:sz w:val="21"/>
          <w:szCs w:val="21"/>
        </w:rPr>
        <w:t>银发送的电子指令）、自动产生的电子指令（基金托管人的全球托管系统根据基金管理人的授权通过预先设定的业务规则自动产生的电子指令）。电子指令一经发出即被视为合法有效指令，传真纸质指令作为应急方式备用。基金管理人通过深</w:t>
      </w:r>
      <w:proofErr w:type="gramStart"/>
      <w:r>
        <w:rPr>
          <w:rFonts w:ascii="宋体" w:eastAsia="宋体" w:hint="eastAsia"/>
          <w:color w:val="auto"/>
          <w:sz w:val="21"/>
          <w:szCs w:val="21"/>
        </w:rPr>
        <w:t>证通金融</w:t>
      </w:r>
      <w:proofErr w:type="gramEnd"/>
      <w:r>
        <w:rPr>
          <w:rFonts w:ascii="宋体" w:eastAsia="宋体" w:hint="eastAsia"/>
          <w:color w:val="auto"/>
          <w:sz w:val="21"/>
          <w:szCs w:val="21"/>
        </w:rPr>
        <w:t>数据交换平台发送的电子指令，基金托管人根据USER ID和APP ID唯一识别基金管理人身份，基金管理人应妥善保管USER ID和APP ID，经基金托管人身份识别的电子指令应视为基金管理人发送的有效指令。</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（一）基金管理人对发送指令人员的书面授权</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1、基金管理人应当事先向基金托管人发出书面通知（以下称“授权通知”），载明基金管理人有权发送指令的人员名单（以下称“指令发送人员”）及各个人员的权限范围。</w:t>
      </w:r>
      <w:r>
        <w:rPr>
          <w:rFonts w:ascii="宋体" w:eastAsia="宋体"/>
          <w:color w:val="auto"/>
          <w:sz w:val="21"/>
          <w:szCs w:val="21"/>
        </w:rPr>
        <w:lastRenderedPageBreak/>
        <w:t>基金管理人应向基金托管人提供指令发送人员的人名印鉴的预留印鉴样本和签字样本。</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2、基金管理人向基金托管人发出的授权通知应加盖公章并由法定代表人或其授权签字人签署，若由授权签字人签署，还应附上法定代表人的授权书。</w:t>
      </w:r>
      <w:r>
        <w:rPr>
          <w:rFonts w:ascii="宋体" w:eastAsia="宋体" w:hint="eastAsia"/>
          <w:color w:val="auto"/>
          <w:sz w:val="21"/>
          <w:szCs w:val="21"/>
        </w:rPr>
        <w:t>基金管理人向基金托管人以传真的形式发送授权通知后同时电话通知基金托管人。授权通知自基金托管人电话确认后于通知载明的生效时间起生效。通知载明的生效时间不得早于电话确认时间。基金管理人在此后3个工作日内将授权通知原件送交基金托管人。</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3、基金管理人和基金托管人对授权通知及其更改负有保密义务，其内容不得向指令</w:t>
      </w:r>
      <w:r>
        <w:rPr>
          <w:rFonts w:ascii="宋体" w:eastAsia="宋体" w:hint="eastAsia"/>
          <w:sz w:val="21"/>
          <w:szCs w:val="21"/>
        </w:rPr>
        <w:t>发送</w:t>
      </w:r>
      <w:r>
        <w:rPr>
          <w:rFonts w:ascii="宋体" w:eastAsia="宋体"/>
          <w:color w:val="auto"/>
          <w:sz w:val="21"/>
          <w:szCs w:val="21"/>
        </w:rPr>
        <w:t>人员及相关操作人员以外的任何人披露、泄露</w:t>
      </w:r>
      <w:r>
        <w:rPr>
          <w:rFonts w:ascii="宋体" w:eastAsia="宋体" w:hint="eastAsia"/>
          <w:color w:val="auto"/>
          <w:sz w:val="21"/>
          <w:szCs w:val="21"/>
        </w:rPr>
        <w:t>，法律法规规定或有权机关、审计机构要求的除外</w:t>
      </w:r>
      <w:r>
        <w:rPr>
          <w:rFonts w:ascii="宋体" w:eastAsia="宋体"/>
          <w:color w:val="auto"/>
          <w:sz w:val="21"/>
          <w:szCs w:val="21"/>
        </w:rPr>
        <w:t>。</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（二）指令的内容</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指令是基金管理人在运作基金财产时，向基金托管人发出的资金划拨及投资指令。相关登记结算公司向基金托管人发送的结算通知视为基金管理人向基金托管人发出的指令。</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（三）指令的发送、确认和执行</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1、指令由“授权通知”确定的指令发送人员代表基金管理人用加密传真的方式或其他双方确认的方式向基金托管人发送。对于指令发送人员</w:t>
      </w:r>
      <w:r>
        <w:rPr>
          <w:rFonts w:ascii="宋体" w:eastAsia="宋体" w:hint="eastAsia"/>
          <w:color w:val="auto"/>
          <w:sz w:val="21"/>
          <w:szCs w:val="21"/>
        </w:rPr>
        <w:t>在授权范围内</w:t>
      </w:r>
      <w:r>
        <w:rPr>
          <w:rFonts w:ascii="宋体" w:eastAsia="宋体"/>
          <w:color w:val="auto"/>
          <w:sz w:val="21"/>
          <w:szCs w:val="21"/>
        </w:rPr>
        <w:t>发出的指令，基金管理人不得否认其效力。但如果基金管理人已经撤销或更改对指令发送人员的授权，并且基金托管人已收到该通知，则对于此后该指令发送人员无权发送的指令，或超权限发送的指令，基金管理人不</w:t>
      </w:r>
      <w:r>
        <w:rPr>
          <w:rFonts w:ascii="宋体" w:eastAsia="宋体" w:hint="eastAsia"/>
          <w:sz w:val="21"/>
          <w:szCs w:val="21"/>
        </w:rPr>
        <w:t>承担</w:t>
      </w:r>
      <w:r>
        <w:rPr>
          <w:rFonts w:ascii="宋体" w:eastAsia="宋体"/>
          <w:color w:val="auto"/>
          <w:sz w:val="21"/>
          <w:szCs w:val="21"/>
        </w:rPr>
        <w:t>责任。</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 xml:space="preserve">2、基金管理人应按照《基金法》、《运作办法》、《基金合同》和有关法律法规的规定，在其合法的经营权限和交易权限内，并依据相关业务规则发送指令。指令发出后，基金管理人应及时电话通知基金托管人。    </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3、基金托管人在接受指令时，应对指令的要素是否齐全、印鉴是否与授权通知</w:t>
      </w:r>
      <w:r>
        <w:rPr>
          <w:rFonts w:ascii="宋体" w:eastAsia="宋体" w:hint="eastAsia"/>
          <w:color w:val="auto"/>
          <w:sz w:val="21"/>
          <w:szCs w:val="21"/>
        </w:rPr>
        <w:t>内容</w:t>
      </w:r>
      <w:r>
        <w:rPr>
          <w:rFonts w:ascii="宋体" w:eastAsia="宋体"/>
          <w:color w:val="auto"/>
          <w:sz w:val="21"/>
          <w:szCs w:val="21"/>
        </w:rPr>
        <w:t>相符等进行表面真实性的检查，对合法合</w:t>
      </w:r>
      <w:proofErr w:type="gramStart"/>
      <w:r>
        <w:rPr>
          <w:rFonts w:ascii="宋体" w:eastAsia="宋体"/>
          <w:color w:val="auto"/>
          <w:sz w:val="21"/>
          <w:szCs w:val="21"/>
        </w:rPr>
        <w:t>规</w:t>
      </w:r>
      <w:proofErr w:type="gramEnd"/>
      <w:r>
        <w:rPr>
          <w:rFonts w:ascii="宋体" w:eastAsia="宋体"/>
          <w:color w:val="auto"/>
          <w:sz w:val="21"/>
          <w:szCs w:val="21"/>
        </w:rPr>
        <w:t>的指令，基金托管人应在规定期限内执行，不得</w:t>
      </w:r>
      <w:r>
        <w:rPr>
          <w:rFonts w:ascii="宋体" w:eastAsia="宋体" w:hint="eastAsia"/>
          <w:color w:val="auto"/>
          <w:sz w:val="21"/>
          <w:szCs w:val="21"/>
        </w:rPr>
        <w:t>不合理</w:t>
      </w:r>
      <w:r>
        <w:rPr>
          <w:rFonts w:ascii="宋体" w:eastAsia="宋体"/>
          <w:color w:val="auto"/>
          <w:sz w:val="21"/>
          <w:szCs w:val="21"/>
        </w:rPr>
        <w:t>延误。</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4、基金管理人应在交易结束后将银行间同业市场债券交易成交单经有权人员签字并</w:t>
      </w:r>
      <w:r>
        <w:rPr>
          <w:rFonts w:ascii="宋体" w:eastAsia="宋体" w:hint="eastAsia"/>
          <w:sz w:val="21"/>
          <w:szCs w:val="21"/>
        </w:rPr>
        <w:t>加盖</w:t>
      </w:r>
      <w:r>
        <w:rPr>
          <w:rFonts w:ascii="宋体" w:eastAsia="宋体" w:hint="eastAsia"/>
          <w:color w:val="auto"/>
          <w:sz w:val="21"/>
          <w:szCs w:val="21"/>
        </w:rPr>
        <w:t>预留印鉴</w:t>
      </w:r>
      <w:r>
        <w:rPr>
          <w:rFonts w:ascii="宋体" w:eastAsia="宋体"/>
          <w:color w:val="auto"/>
          <w:sz w:val="21"/>
          <w:szCs w:val="21"/>
        </w:rPr>
        <w:t>后及时传真给基金托管人。</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5、基金管理人在发送指令时，应为基金托管人执行指令留出执行指令时所必需的时间。</w:t>
      </w:r>
      <w:bookmarkStart w:id="16" w:name="OLE_LINK1"/>
      <w:bookmarkStart w:id="17" w:name="OLE_LINK2"/>
      <w:r>
        <w:rPr>
          <w:rFonts w:ascii="宋体" w:eastAsia="宋体" w:hint="eastAsia"/>
          <w:color w:val="auto"/>
          <w:sz w:val="21"/>
          <w:szCs w:val="21"/>
        </w:rPr>
        <w:lastRenderedPageBreak/>
        <w:t>指令传输不及时未能留出足够的执行时间，基金托管人应尽力执行，但不承担指令未能及时执行所造成的损失</w:t>
      </w:r>
      <w:r>
        <w:rPr>
          <w:rFonts w:ascii="宋体" w:eastAsia="宋体" w:hint="eastAsia"/>
          <w:sz w:val="21"/>
          <w:szCs w:val="21"/>
        </w:rPr>
        <w:t>。</w:t>
      </w:r>
      <w:bookmarkEnd w:id="16"/>
      <w:bookmarkEnd w:id="17"/>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（四）基金管理人发送错误指令的情形和处理程序</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基金管理人发送错误指令的情形主要包括：指令要素错误、无投资行为的指令、预留</w:t>
      </w:r>
      <w:r>
        <w:rPr>
          <w:rFonts w:ascii="宋体" w:eastAsia="宋体" w:hint="eastAsia"/>
          <w:sz w:val="21"/>
          <w:szCs w:val="21"/>
        </w:rPr>
        <w:t>印鉴</w:t>
      </w:r>
      <w:r>
        <w:rPr>
          <w:rFonts w:ascii="宋体" w:eastAsia="宋体"/>
          <w:color w:val="auto"/>
          <w:sz w:val="21"/>
          <w:szCs w:val="21"/>
        </w:rPr>
        <w:t>错误等情形。</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基金托管人发现基金管理人的指令错误时，</w:t>
      </w:r>
      <w:r>
        <w:rPr>
          <w:rFonts w:ascii="宋体" w:eastAsia="宋体" w:hint="eastAsia"/>
          <w:color w:val="auto"/>
          <w:sz w:val="21"/>
          <w:szCs w:val="21"/>
        </w:rPr>
        <w:t>应当</w:t>
      </w:r>
      <w:r>
        <w:rPr>
          <w:rFonts w:ascii="宋体" w:eastAsia="宋体"/>
          <w:color w:val="auto"/>
          <w:sz w:val="21"/>
          <w:szCs w:val="21"/>
        </w:rPr>
        <w:t>拒绝执行，并及时通知基金管理人改正。对基金管理人更正并重新发送后的指令经基金托管人核对确认后方能执行。</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（五）基金托管人依照法律法规暂缓、拒绝执行指令的情形和处理程序</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基金托管人发现基金管理人的指令违反法律法规规定或者《基金合同》约定，应当</w:t>
      </w:r>
      <w:r>
        <w:rPr>
          <w:rFonts w:ascii="宋体" w:eastAsia="宋体" w:hint="eastAsia"/>
          <w:color w:val="auto"/>
          <w:sz w:val="21"/>
          <w:szCs w:val="21"/>
        </w:rPr>
        <w:t>视情况暂缓或</w:t>
      </w:r>
      <w:r>
        <w:rPr>
          <w:rFonts w:ascii="宋体" w:eastAsia="宋体"/>
          <w:color w:val="auto"/>
          <w:sz w:val="21"/>
          <w:szCs w:val="21"/>
        </w:rPr>
        <w:t>不予执行，并</w:t>
      </w:r>
      <w:r>
        <w:rPr>
          <w:rFonts w:ascii="宋体" w:eastAsia="宋体" w:hint="eastAsia"/>
          <w:color w:val="auto"/>
          <w:sz w:val="21"/>
          <w:szCs w:val="21"/>
        </w:rPr>
        <w:t>及时</w:t>
      </w:r>
      <w:r>
        <w:rPr>
          <w:rFonts w:ascii="宋体" w:eastAsia="宋体"/>
          <w:color w:val="auto"/>
          <w:sz w:val="21"/>
          <w:szCs w:val="21"/>
        </w:rPr>
        <w:t>通知基金管理人要求其变更或撤销相关指令，</w:t>
      </w:r>
      <w:proofErr w:type="gramStart"/>
      <w:r>
        <w:rPr>
          <w:rFonts w:ascii="宋体" w:eastAsia="宋体"/>
          <w:color w:val="auto"/>
          <w:sz w:val="21"/>
          <w:szCs w:val="21"/>
        </w:rPr>
        <w:t>若基金</w:t>
      </w:r>
      <w:proofErr w:type="gramEnd"/>
      <w:r>
        <w:rPr>
          <w:rFonts w:ascii="宋体" w:eastAsia="宋体"/>
          <w:color w:val="auto"/>
          <w:sz w:val="21"/>
          <w:szCs w:val="21"/>
        </w:rPr>
        <w:t>管理人在基金托管人发出上述通知后仍未变更或撤销相关指令，基金托管人应当拒绝执行，并向中国证监会报告。</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基金管理人应确保基金托管人在执行指令时</w:t>
      </w:r>
      <w:r>
        <w:rPr>
          <w:rFonts w:ascii="宋体" w:eastAsia="宋体" w:hint="eastAsia"/>
          <w:color w:val="auto"/>
          <w:sz w:val="21"/>
          <w:szCs w:val="21"/>
        </w:rPr>
        <w:t>，</w:t>
      </w:r>
      <w:r>
        <w:rPr>
          <w:rFonts w:ascii="宋体" w:eastAsia="宋体"/>
          <w:color w:val="auto"/>
          <w:sz w:val="21"/>
          <w:szCs w:val="21"/>
        </w:rPr>
        <w:t>基金的银行存款账户有足够的资金余额，确保基金的证券账户有足够的证券余额。对超头寸的指令，以及超过证券账户证券余额的指令，基金托管人可不予执行，但应</w:t>
      </w:r>
      <w:r>
        <w:rPr>
          <w:rFonts w:ascii="宋体" w:eastAsia="宋体" w:hint="eastAsia"/>
          <w:color w:val="auto"/>
          <w:sz w:val="21"/>
          <w:szCs w:val="21"/>
        </w:rPr>
        <w:t>及时</w:t>
      </w:r>
      <w:r>
        <w:rPr>
          <w:rFonts w:ascii="宋体" w:eastAsia="宋体"/>
          <w:color w:val="auto"/>
          <w:sz w:val="21"/>
          <w:szCs w:val="21"/>
        </w:rPr>
        <w:t>通知基金管理人，由此造成的损失，基金</w:t>
      </w:r>
      <w:r>
        <w:rPr>
          <w:rFonts w:ascii="宋体" w:eastAsia="宋体" w:hint="eastAsia"/>
          <w:color w:val="auto"/>
          <w:sz w:val="21"/>
          <w:szCs w:val="21"/>
        </w:rPr>
        <w:t>托管</w:t>
      </w:r>
      <w:r>
        <w:rPr>
          <w:rFonts w:ascii="宋体" w:eastAsia="宋体"/>
          <w:color w:val="auto"/>
          <w:sz w:val="21"/>
          <w:szCs w:val="21"/>
        </w:rPr>
        <w:t>人</w:t>
      </w:r>
      <w:r>
        <w:rPr>
          <w:rFonts w:ascii="宋体" w:eastAsia="宋体" w:hint="eastAsia"/>
          <w:color w:val="auto"/>
          <w:sz w:val="21"/>
          <w:szCs w:val="21"/>
        </w:rPr>
        <w:t>不</w:t>
      </w:r>
      <w:r>
        <w:rPr>
          <w:rFonts w:ascii="宋体" w:eastAsia="宋体"/>
          <w:color w:val="auto"/>
          <w:sz w:val="21"/>
          <w:szCs w:val="21"/>
        </w:rPr>
        <w:t>承担</w:t>
      </w:r>
      <w:r>
        <w:rPr>
          <w:rFonts w:ascii="宋体" w:eastAsia="宋体" w:hint="eastAsia"/>
          <w:color w:val="auto"/>
          <w:sz w:val="21"/>
          <w:szCs w:val="21"/>
        </w:rPr>
        <w:t>责任</w:t>
      </w:r>
      <w:r>
        <w:rPr>
          <w:rFonts w:ascii="宋体" w:eastAsia="宋体"/>
          <w:color w:val="auto"/>
          <w:sz w:val="21"/>
          <w:szCs w:val="21"/>
        </w:rPr>
        <w:t>。</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（六）基金托管人未按照基金管理人指令执行的处理方法</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基金托管人因未正确执行基金管理人合法合</w:t>
      </w:r>
      <w:proofErr w:type="gramStart"/>
      <w:r>
        <w:rPr>
          <w:rFonts w:ascii="宋体" w:eastAsia="宋体"/>
          <w:color w:val="auto"/>
          <w:sz w:val="21"/>
          <w:szCs w:val="21"/>
        </w:rPr>
        <w:t>规</w:t>
      </w:r>
      <w:proofErr w:type="gramEnd"/>
      <w:r>
        <w:rPr>
          <w:rFonts w:ascii="宋体" w:eastAsia="宋体"/>
          <w:color w:val="auto"/>
          <w:sz w:val="21"/>
          <w:szCs w:val="21"/>
        </w:rPr>
        <w:t>的指令，致使本基金的利益受到损害，</w:t>
      </w:r>
      <w:r>
        <w:rPr>
          <w:rFonts w:ascii="宋体" w:eastAsia="宋体" w:hint="eastAsia"/>
          <w:sz w:val="21"/>
          <w:szCs w:val="21"/>
        </w:rPr>
        <w:t>基金</w:t>
      </w:r>
      <w:r>
        <w:rPr>
          <w:rFonts w:ascii="宋体" w:eastAsia="宋体"/>
          <w:color w:val="auto"/>
          <w:sz w:val="21"/>
          <w:szCs w:val="21"/>
        </w:rPr>
        <w:t>托管人应承担相应的责任。除此之外，基金托管人对执行基金管理人的合法合</w:t>
      </w:r>
      <w:proofErr w:type="gramStart"/>
      <w:r>
        <w:rPr>
          <w:rFonts w:ascii="宋体" w:eastAsia="宋体"/>
          <w:color w:val="auto"/>
          <w:sz w:val="21"/>
          <w:szCs w:val="21"/>
        </w:rPr>
        <w:t>规</w:t>
      </w:r>
      <w:proofErr w:type="gramEnd"/>
      <w:r>
        <w:rPr>
          <w:rFonts w:ascii="宋体" w:eastAsia="宋体" w:hint="eastAsia"/>
          <w:color w:val="auto"/>
          <w:sz w:val="21"/>
          <w:szCs w:val="21"/>
        </w:rPr>
        <w:t>符合基金合同及本协议约定的</w:t>
      </w:r>
      <w:r>
        <w:rPr>
          <w:rFonts w:ascii="宋体" w:eastAsia="宋体"/>
          <w:color w:val="auto"/>
          <w:sz w:val="21"/>
          <w:szCs w:val="21"/>
        </w:rPr>
        <w:t>指令对</w:t>
      </w:r>
      <w:r>
        <w:rPr>
          <w:rFonts w:ascii="宋体" w:eastAsia="宋体" w:hint="eastAsia"/>
          <w:sz w:val="21"/>
          <w:szCs w:val="21"/>
        </w:rPr>
        <w:t>基金</w:t>
      </w:r>
      <w:r>
        <w:rPr>
          <w:rFonts w:ascii="宋体" w:eastAsia="宋体"/>
          <w:color w:val="auto"/>
          <w:sz w:val="21"/>
          <w:szCs w:val="21"/>
        </w:rPr>
        <w:t>造成的损失不承担任何责任。</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（七）被授权人员及授权权限的变更</w:t>
      </w:r>
      <w:r>
        <w:rPr>
          <w:rFonts w:ascii="宋体" w:eastAsia="宋体"/>
          <w:sz w:val="21"/>
          <w:szCs w:val="21"/>
        </w:rPr>
        <w:tab/>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基金管理人若对授权通知的内容进行修改（包括但不限于指令发送人员的名单的修改，及/或权限的修改），应当至少提前1个工作日通知基金托管人；修改授权通知的文件应由</w:t>
      </w:r>
      <w:r>
        <w:rPr>
          <w:rFonts w:ascii="宋体" w:eastAsia="宋体" w:hint="eastAsia"/>
          <w:sz w:val="21"/>
          <w:szCs w:val="21"/>
        </w:rPr>
        <w:t>基金</w:t>
      </w:r>
      <w:r>
        <w:rPr>
          <w:rFonts w:ascii="宋体" w:eastAsia="宋体"/>
          <w:color w:val="auto"/>
          <w:sz w:val="21"/>
          <w:szCs w:val="21"/>
        </w:rPr>
        <w:t>管理人加盖公章并由法定代表人或其授权签字人签署，若由授权签字人签署，还应附上</w:t>
      </w:r>
      <w:r>
        <w:rPr>
          <w:rFonts w:ascii="宋体" w:eastAsia="宋体" w:hint="eastAsia"/>
          <w:sz w:val="21"/>
          <w:szCs w:val="21"/>
        </w:rPr>
        <w:t>法定</w:t>
      </w:r>
      <w:r>
        <w:rPr>
          <w:rFonts w:ascii="宋体" w:eastAsia="宋体"/>
          <w:color w:val="auto"/>
          <w:sz w:val="21"/>
          <w:szCs w:val="21"/>
        </w:rPr>
        <w:t>代表人的授权书。基金管理人对授权通知的修改应当以加密传真的形式</w:t>
      </w:r>
      <w:r>
        <w:rPr>
          <w:rFonts w:ascii="宋体" w:eastAsia="宋体" w:hint="eastAsia"/>
          <w:color w:val="auto"/>
          <w:sz w:val="21"/>
          <w:szCs w:val="21"/>
        </w:rPr>
        <w:t>或其他双方确认的方式</w:t>
      </w:r>
      <w:r>
        <w:rPr>
          <w:rFonts w:ascii="宋体" w:eastAsia="宋体"/>
          <w:color w:val="auto"/>
          <w:sz w:val="21"/>
          <w:szCs w:val="21"/>
        </w:rPr>
        <w:t>发送给基金托管人，同时电话通知基金托管人。基金管理人对授权通知的内容的</w:t>
      </w:r>
      <w:proofErr w:type="gramStart"/>
      <w:r>
        <w:rPr>
          <w:rFonts w:ascii="宋体" w:eastAsia="宋体"/>
          <w:color w:val="auto"/>
          <w:sz w:val="21"/>
          <w:szCs w:val="21"/>
        </w:rPr>
        <w:t>修改自</w:t>
      </w:r>
      <w:proofErr w:type="gramEnd"/>
      <w:r>
        <w:rPr>
          <w:rFonts w:ascii="宋体" w:eastAsia="宋体"/>
          <w:color w:val="auto"/>
          <w:sz w:val="21"/>
          <w:szCs w:val="21"/>
        </w:rPr>
        <w:t>基金托管人电话确认后于通知载明的生效时间起生效</w:t>
      </w:r>
      <w:r>
        <w:rPr>
          <w:rFonts w:ascii="宋体" w:eastAsia="宋体" w:hint="eastAsia"/>
          <w:color w:val="auto"/>
          <w:sz w:val="21"/>
          <w:szCs w:val="21"/>
        </w:rPr>
        <w:t>,通知载明的生效时间不得早</w:t>
      </w:r>
      <w:r>
        <w:rPr>
          <w:rFonts w:ascii="宋体" w:eastAsia="宋体" w:hint="eastAsia"/>
          <w:color w:val="auto"/>
          <w:sz w:val="21"/>
          <w:szCs w:val="21"/>
        </w:rPr>
        <w:lastRenderedPageBreak/>
        <w:t>于电话确认时间</w:t>
      </w:r>
      <w:r>
        <w:rPr>
          <w:rFonts w:ascii="宋体" w:eastAsia="宋体"/>
          <w:color w:val="auto"/>
          <w:sz w:val="21"/>
          <w:szCs w:val="21"/>
        </w:rPr>
        <w:t>。</w:t>
      </w:r>
      <w:r>
        <w:rPr>
          <w:rFonts w:ascii="宋体" w:eastAsia="宋体" w:hint="eastAsia"/>
          <w:sz w:val="21"/>
          <w:szCs w:val="21"/>
        </w:rPr>
        <w:t>基金</w:t>
      </w:r>
      <w:r>
        <w:rPr>
          <w:rFonts w:ascii="宋体" w:eastAsia="宋体"/>
          <w:color w:val="auto"/>
          <w:sz w:val="21"/>
          <w:szCs w:val="21"/>
        </w:rPr>
        <w:t>管理人在此后3个工作日内将对授权通知修改的文件原件送交基金托管人。</w:t>
      </w:r>
      <w:r>
        <w:rPr>
          <w:rFonts w:ascii="宋体" w:eastAsia="宋体" w:hint="eastAsia"/>
          <w:color w:val="auto"/>
          <w:sz w:val="21"/>
          <w:szCs w:val="21"/>
        </w:rPr>
        <w:t>基金管理人更换被授权人通知生效后，对于已被撤换的人员无权发送的指令，或被改变授权人员超权限发送的指令，基金管理人不承担责任。</w:t>
      </w:r>
    </w:p>
    <w:p w:rsidR="005A0C12" w:rsidRDefault="005A0C12">
      <w:pPr>
        <w:pStyle w:val="a6"/>
        <w:spacing w:before="100" w:beforeAutospacing="1" w:after="100" w:afterAutospacing="1"/>
        <w:ind w:firstLine="403"/>
        <w:rPr>
          <w:rFonts w:ascii="宋体" w:eastAsia="宋体"/>
          <w:kern w:val="0"/>
          <w:sz w:val="21"/>
          <w:szCs w:val="21"/>
        </w:rPr>
      </w:pPr>
    </w:p>
    <w:p w:rsidR="005A0C12" w:rsidRDefault="00404031">
      <w:pPr>
        <w:pStyle w:val="1"/>
        <w:spacing w:before="100" w:beforeAutospacing="1" w:after="100" w:afterAutospacing="1" w:line="400" w:lineRule="exact"/>
        <w:ind w:firstLine="422"/>
        <w:rPr>
          <w:rFonts w:ascii="宋体" w:hAnsi="宋体"/>
          <w:sz w:val="21"/>
          <w:szCs w:val="21"/>
        </w:rPr>
      </w:pPr>
      <w:bookmarkStart w:id="18" w:name="_Toc116900101"/>
      <w:bookmarkStart w:id="19" w:name="_Toc71746697"/>
      <w:r>
        <w:rPr>
          <w:rFonts w:ascii="宋体" w:hAnsi="宋体"/>
          <w:sz w:val="21"/>
          <w:szCs w:val="21"/>
        </w:rPr>
        <w:t>七、交易及清算交收安排</w:t>
      </w:r>
      <w:bookmarkEnd w:id="18"/>
      <w:bookmarkEnd w:id="19"/>
    </w:p>
    <w:p w:rsidR="005A0C12" w:rsidRDefault="00404031">
      <w:pPr>
        <w:pStyle w:val="30"/>
        <w:spacing w:before="100" w:beforeAutospacing="1" w:after="100" w:afterAutospacing="1" w:line="400" w:lineRule="exact"/>
        <w:ind w:left="0" w:firstLine="403"/>
        <w:rPr>
          <w:rFonts w:ascii="宋体" w:eastAsia="宋体" w:hAnsi="宋体"/>
          <w:b/>
          <w:sz w:val="21"/>
          <w:szCs w:val="21"/>
        </w:rPr>
      </w:pPr>
      <w:r>
        <w:rPr>
          <w:rFonts w:ascii="宋体" w:eastAsia="宋体" w:hAnsi="宋体"/>
          <w:sz w:val="21"/>
          <w:szCs w:val="21"/>
        </w:rPr>
        <w:t>（一）基金管理人负责选择代理本基金证券</w:t>
      </w:r>
      <w:r>
        <w:rPr>
          <w:rFonts w:ascii="宋体" w:eastAsia="宋体" w:hAnsi="宋体" w:hint="eastAsia"/>
          <w:sz w:val="21"/>
          <w:szCs w:val="21"/>
        </w:rPr>
        <w:t>、</w:t>
      </w:r>
      <w:r>
        <w:rPr>
          <w:rFonts w:ascii="宋体" w:eastAsia="宋体" w:hAnsi="宋体"/>
          <w:sz w:val="21"/>
          <w:szCs w:val="21"/>
        </w:rPr>
        <w:t>期货买卖的证券</w:t>
      </w:r>
      <w:r>
        <w:rPr>
          <w:rFonts w:ascii="宋体" w:eastAsia="宋体" w:hAnsi="宋体" w:hint="eastAsia"/>
          <w:sz w:val="21"/>
          <w:szCs w:val="21"/>
        </w:rPr>
        <w:t>、</w:t>
      </w:r>
      <w:r>
        <w:rPr>
          <w:rFonts w:ascii="宋体" w:eastAsia="宋体" w:hAnsi="宋体"/>
          <w:sz w:val="21"/>
          <w:szCs w:val="21"/>
        </w:rPr>
        <w:t>期货经营机构。</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1、选择代理证券买卖的证券经营机构的程序</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基金管理人</w:t>
      </w:r>
      <w:r>
        <w:rPr>
          <w:rFonts w:ascii="宋体" w:eastAsia="宋体" w:hint="eastAsia"/>
          <w:color w:val="auto"/>
          <w:sz w:val="21"/>
          <w:szCs w:val="21"/>
        </w:rPr>
        <w:t>负责</w:t>
      </w:r>
      <w:r>
        <w:rPr>
          <w:rFonts w:ascii="宋体" w:eastAsia="宋体"/>
          <w:color w:val="auto"/>
          <w:sz w:val="21"/>
          <w:szCs w:val="21"/>
        </w:rPr>
        <w:t>证券经营机构的选择。基金管理人与被选择的证券经营机构签订委托协议（或交易单元租用协议），并按照法律法规的规定向中国证监会报告。基金管理人应将</w:t>
      </w:r>
      <w:r>
        <w:rPr>
          <w:rFonts w:ascii="宋体" w:eastAsia="宋体" w:hint="eastAsia"/>
          <w:sz w:val="21"/>
          <w:szCs w:val="21"/>
        </w:rPr>
        <w:t>委托</w:t>
      </w:r>
      <w:r>
        <w:rPr>
          <w:rFonts w:ascii="宋体" w:eastAsia="宋体"/>
          <w:color w:val="auto"/>
          <w:sz w:val="21"/>
          <w:szCs w:val="21"/>
        </w:rPr>
        <w:t xml:space="preserve">协议（或交易单元租用协议）的原件及时送交基金托管人。 </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 xml:space="preserve">2、相关信息的通知 </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基金管理人应及时以书面形式通知基金托管人基金专用交易单元的号码、券商名称、</w:t>
      </w:r>
      <w:r>
        <w:rPr>
          <w:rFonts w:ascii="宋体" w:eastAsia="宋体" w:hint="eastAsia"/>
          <w:kern w:val="0"/>
          <w:sz w:val="21"/>
          <w:szCs w:val="21"/>
        </w:rPr>
        <w:t>佣金</w:t>
      </w:r>
      <w:r>
        <w:rPr>
          <w:rFonts w:ascii="宋体" w:eastAsia="宋体"/>
          <w:kern w:val="0"/>
          <w:sz w:val="21"/>
          <w:szCs w:val="21"/>
        </w:rPr>
        <w:t xml:space="preserve">费率等基金基本信息以及变更情况，其中交易单元租用应至少在首次进行交易的 10 </w:t>
      </w:r>
      <w:proofErr w:type="gramStart"/>
      <w:r>
        <w:rPr>
          <w:rFonts w:ascii="宋体" w:eastAsia="宋体"/>
          <w:kern w:val="0"/>
          <w:sz w:val="21"/>
          <w:szCs w:val="21"/>
        </w:rPr>
        <w:t>个</w:t>
      </w:r>
      <w:proofErr w:type="gramEnd"/>
      <w:r>
        <w:rPr>
          <w:rFonts w:ascii="宋体" w:eastAsia="宋体" w:hint="eastAsia"/>
          <w:kern w:val="0"/>
          <w:sz w:val="21"/>
          <w:szCs w:val="21"/>
        </w:rPr>
        <w:t>工作</w:t>
      </w:r>
      <w:r>
        <w:rPr>
          <w:rFonts w:ascii="宋体" w:eastAsia="宋体"/>
          <w:kern w:val="0"/>
          <w:sz w:val="21"/>
          <w:szCs w:val="21"/>
        </w:rPr>
        <w:t>日前通知基金托管人，交易单元</w:t>
      </w:r>
      <w:proofErr w:type="gramStart"/>
      <w:r>
        <w:rPr>
          <w:rFonts w:ascii="宋体" w:eastAsia="宋体"/>
          <w:kern w:val="0"/>
          <w:sz w:val="21"/>
          <w:szCs w:val="21"/>
        </w:rPr>
        <w:t>退租应在</w:t>
      </w:r>
      <w:proofErr w:type="gramEnd"/>
      <w:r>
        <w:rPr>
          <w:rFonts w:ascii="宋体" w:eastAsia="宋体"/>
          <w:kern w:val="0"/>
          <w:sz w:val="21"/>
          <w:szCs w:val="21"/>
        </w:rPr>
        <w:t>次日内通知到基金托管人。</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3</w:t>
      </w:r>
      <w:r>
        <w:rPr>
          <w:rFonts w:ascii="宋体" w:eastAsia="宋体" w:hint="eastAsia"/>
          <w:kern w:val="0"/>
          <w:sz w:val="21"/>
          <w:szCs w:val="21"/>
        </w:rPr>
        <w:t>、基金管理人负责选择代理本基金期货交易的经纪机构，并与其签订经纪合同，其他事宜根据法律法规、基金合同的相关规定执行，若无明确规定的，可参照有关证券买卖、证券经纪机构选择的规则执行。</w:t>
      </w:r>
      <w:r>
        <w:rPr>
          <w:rFonts w:ascii="宋体" w:eastAsia="宋体"/>
          <w:kern w:val="0"/>
          <w:sz w:val="21"/>
          <w:szCs w:val="21"/>
        </w:rPr>
        <w:t xml:space="preserve"> </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（二）基金清算交收</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1、因本基金投资于证券发生的所有场内、场外交易的清算交收，由基金托管人负责</w:t>
      </w:r>
      <w:r>
        <w:rPr>
          <w:rFonts w:ascii="宋体" w:eastAsia="宋体" w:hint="eastAsia"/>
          <w:sz w:val="21"/>
          <w:szCs w:val="21"/>
        </w:rPr>
        <w:t>根据</w:t>
      </w:r>
      <w:r>
        <w:rPr>
          <w:rFonts w:ascii="宋体" w:eastAsia="宋体"/>
          <w:color w:val="auto"/>
          <w:sz w:val="21"/>
          <w:szCs w:val="21"/>
        </w:rPr>
        <w:t>相关登记结算公司的结算规则办理。</w:t>
      </w:r>
    </w:p>
    <w:p w:rsidR="005A0C12" w:rsidRDefault="00404031">
      <w:pPr>
        <w:pStyle w:val="a6"/>
        <w:spacing w:before="100" w:beforeAutospacing="1" w:after="100" w:afterAutospacing="1"/>
        <w:ind w:firstLine="403"/>
        <w:rPr>
          <w:rFonts w:ascii="宋体" w:eastAsia="宋体"/>
          <w:sz w:val="21"/>
          <w:szCs w:val="21"/>
        </w:rPr>
      </w:pPr>
      <w:r>
        <w:rPr>
          <w:rFonts w:ascii="宋体" w:eastAsia="宋体"/>
          <w:color w:val="auto"/>
          <w:sz w:val="21"/>
          <w:szCs w:val="21"/>
        </w:rPr>
        <w:t>2、由于基金管理人或基金托管</w:t>
      </w:r>
      <w:proofErr w:type="gramStart"/>
      <w:r>
        <w:rPr>
          <w:rFonts w:ascii="宋体" w:eastAsia="宋体"/>
          <w:color w:val="auto"/>
          <w:sz w:val="21"/>
          <w:szCs w:val="21"/>
        </w:rPr>
        <w:t>人原因</w:t>
      </w:r>
      <w:proofErr w:type="gramEnd"/>
      <w:r>
        <w:rPr>
          <w:rFonts w:ascii="宋体" w:eastAsia="宋体"/>
          <w:color w:val="auto"/>
          <w:sz w:val="21"/>
          <w:szCs w:val="21"/>
        </w:rPr>
        <w:t>导致基金资金透支、超买或超卖等情形的，由</w:t>
      </w:r>
      <w:r>
        <w:rPr>
          <w:rFonts w:ascii="宋体" w:eastAsia="宋体" w:hint="eastAsia"/>
          <w:sz w:val="21"/>
          <w:szCs w:val="21"/>
        </w:rPr>
        <w:t>责任</w:t>
      </w:r>
      <w:r>
        <w:rPr>
          <w:rFonts w:ascii="宋体" w:eastAsia="宋体"/>
          <w:color w:val="auto"/>
          <w:sz w:val="21"/>
          <w:szCs w:val="21"/>
        </w:rPr>
        <w:t>方承担相应的责任。基金管理人同意在发生以上情形时，基金托管人应按照中国证券登记</w:t>
      </w:r>
      <w:r>
        <w:rPr>
          <w:rFonts w:ascii="宋体" w:eastAsia="宋体"/>
          <w:sz w:val="21"/>
          <w:szCs w:val="21"/>
        </w:rPr>
        <w:t>结算有限责任公司的有关规定办理</w:t>
      </w:r>
      <w:r>
        <w:rPr>
          <w:rFonts w:ascii="宋体" w:eastAsia="宋体" w:hint="eastAsia"/>
          <w:sz w:val="21"/>
          <w:szCs w:val="21"/>
        </w:rPr>
        <w:t>，并及时通知基金管理人</w:t>
      </w:r>
      <w:r>
        <w:rPr>
          <w:rFonts w:ascii="宋体" w:eastAsia="宋体"/>
          <w:sz w:val="21"/>
          <w:szCs w:val="21"/>
        </w:rPr>
        <w:t>。</w:t>
      </w:r>
    </w:p>
    <w:p w:rsidR="005A0C12" w:rsidRDefault="00404031">
      <w:pPr>
        <w:pStyle w:val="a6"/>
        <w:spacing w:before="100" w:beforeAutospacing="1" w:after="100" w:afterAutospacing="1"/>
        <w:ind w:firstLine="403"/>
        <w:rPr>
          <w:rFonts w:ascii="宋体" w:eastAsia="宋体"/>
          <w:sz w:val="21"/>
          <w:szCs w:val="21"/>
        </w:rPr>
      </w:pPr>
      <w:r>
        <w:rPr>
          <w:rFonts w:ascii="宋体" w:eastAsia="宋体"/>
          <w:color w:val="auto"/>
          <w:sz w:val="21"/>
          <w:szCs w:val="21"/>
        </w:rPr>
        <w:t>3、由于基金管理人或基金托管</w:t>
      </w:r>
      <w:proofErr w:type="gramStart"/>
      <w:r>
        <w:rPr>
          <w:rFonts w:ascii="宋体" w:eastAsia="宋体"/>
          <w:color w:val="auto"/>
          <w:sz w:val="21"/>
          <w:szCs w:val="21"/>
        </w:rPr>
        <w:t>人原因</w:t>
      </w:r>
      <w:proofErr w:type="gramEnd"/>
      <w:r>
        <w:rPr>
          <w:rFonts w:ascii="宋体" w:eastAsia="宋体"/>
          <w:color w:val="auto"/>
          <w:sz w:val="21"/>
          <w:szCs w:val="21"/>
        </w:rPr>
        <w:t>导致基金无法按时支付</w:t>
      </w:r>
      <w:proofErr w:type="gramStart"/>
      <w:r>
        <w:rPr>
          <w:rFonts w:ascii="宋体" w:eastAsia="宋体"/>
          <w:color w:val="auto"/>
          <w:sz w:val="21"/>
          <w:szCs w:val="21"/>
        </w:rPr>
        <w:t>清算款</w:t>
      </w:r>
      <w:proofErr w:type="gramEnd"/>
      <w:r>
        <w:rPr>
          <w:rFonts w:ascii="宋体" w:eastAsia="宋体"/>
          <w:color w:val="auto"/>
          <w:sz w:val="21"/>
          <w:szCs w:val="21"/>
        </w:rPr>
        <w:t>时，责任方应对</w:t>
      </w:r>
      <w:r>
        <w:rPr>
          <w:rFonts w:ascii="宋体" w:eastAsia="宋体" w:hint="eastAsia"/>
          <w:sz w:val="21"/>
          <w:szCs w:val="21"/>
        </w:rPr>
        <w:t>由此</w:t>
      </w:r>
      <w:r>
        <w:rPr>
          <w:rFonts w:ascii="宋体" w:eastAsia="宋体"/>
          <w:sz w:val="21"/>
          <w:szCs w:val="21"/>
        </w:rPr>
        <w:t>给基金财产造成的损失承担相应的赔偿责任。</w:t>
      </w:r>
    </w:p>
    <w:p w:rsidR="005A0C12" w:rsidRDefault="00404031">
      <w:pPr>
        <w:pStyle w:val="a6"/>
        <w:spacing w:before="100" w:beforeAutospacing="1" w:after="100" w:afterAutospacing="1"/>
        <w:ind w:firstLine="403"/>
        <w:rPr>
          <w:rFonts w:ascii="宋体" w:eastAsia="宋体"/>
          <w:sz w:val="21"/>
          <w:szCs w:val="21"/>
        </w:rPr>
      </w:pPr>
      <w:r>
        <w:rPr>
          <w:rFonts w:ascii="宋体" w:eastAsia="宋体"/>
          <w:color w:val="auto"/>
          <w:sz w:val="21"/>
          <w:szCs w:val="21"/>
        </w:rPr>
        <w:lastRenderedPageBreak/>
        <w:t>4、基金管理人应保证在交收日（T+</w:t>
      </w:r>
      <w:r>
        <w:rPr>
          <w:rFonts w:ascii="宋体" w:eastAsia="宋体"/>
          <w:sz w:val="21"/>
          <w:szCs w:val="21"/>
        </w:rPr>
        <w:t>1</w:t>
      </w:r>
      <w:r>
        <w:rPr>
          <w:rFonts w:ascii="宋体" w:eastAsia="宋体"/>
          <w:color w:val="auto"/>
          <w:sz w:val="21"/>
          <w:szCs w:val="21"/>
        </w:rPr>
        <w:t>日）10：00</w:t>
      </w:r>
      <w:proofErr w:type="gramStart"/>
      <w:r>
        <w:rPr>
          <w:rFonts w:ascii="宋体" w:eastAsia="宋体"/>
          <w:color w:val="auto"/>
          <w:sz w:val="21"/>
          <w:szCs w:val="21"/>
        </w:rPr>
        <w:t>前基金</w:t>
      </w:r>
      <w:proofErr w:type="gramEnd"/>
      <w:r>
        <w:rPr>
          <w:rFonts w:ascii="宋体" w:eastAsia="宋体"/>
          <w:color w:val="auto"/>
          <w:sz w:val="21"/>
          <w:szCs w:val="21"/>
        </w:rPr>
        <w:t>银行账户有足够的资金用于</w:t>
      </w:r>
      <w:r>
        <w:rPr>
          <w:rFonts w:ascii="宋体" w:eastAsia="宋体" w:hint="eastAsia"/>
          <w:sz w:val="21"/>
          <w:szCs w:val="21"/>
        </w:rPr>
        <w:t>交易所</w:t>
      </w:r>
      <w:r>
        <w:rPr>
          <w:rFonts w:ascii="宋体" w:eastAsia="宋体"/>
          <w:sz w:val="21"/>
          <w:szCs w:val="21"/>
        </w:rPr>
        <w:t>的证券交易资金清算，如基金的资金头寸不足</w:t>
      </w:r>
      <w:proofErr w:type="gramStart"/>
      <w:r>
        <w:rPr>
          <w:rFonts w:ascii="宋体" w:eastAsia="宋体"/>
          <w:sz w:val="21"/>
          <w:szCs w:val="21"/>
        </w:rPr>
        <w:t>则基金</w:t>
      </w:r>
      <w:proofErr w:type="gramEnd"/>
      <w:r>
        <w:rPr>
          <w:rFonts w:ascii="宋体" w:eastAsia="宋体"/>
          <w:sz w:val="21"/>
          <w:szCs w:val="21"/>
        </w:rPr>
        <w:t>托管人应按照中国证券登记结算</w:t>
      </w:r>
      <w:r>
        <w:rPr>
          <w:rFonts w:ascii="宋体" w:eastAsia="宋体" w:hint="eastAsia"/>
          <w:sz w:val="21"/>
          <w:szCs w:val="21"/>
        </w:rPr>
        <w:t>有限责任公司的有关规定办理。</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5、基金管理人应保证基金托管人在执行基金管理人发送的划款指令时，基金银行账户或资金交收账户上有充足的资金。基金的资金头寸不足时，基金托管人有权拒绝基金管理人发送的划款指令，</w:t>
      </w:r>
      <w:r>
        <w:rPr>
          <w:rFonts w:ascii="宋体" w:eastAsia="宋体" w:hint="eastAsia"/>
          <w:color w:val="auto"/>
          <w:sz w:val="21"/>
          <w:szCs w:val="21"/>
        </w:rPr>
        <w:t>并及时通知基金管理人，因头寸不足</w:t>
      </w:r>
      <w:r>
        <w:rPr>
          <w:rFonts w:ascii="宋体" w:eastAsia="宋体"/>
          <w:color w:val="auto"/>
          <w:sz w:val="21"/>
          <w:szCs w:val="21"/>
        </w:rPr>
        <w:t>造成的损失，</w:t>
      </w:r>
      <w:r>
        <w:rPr>
          <w:rFonts w:ascii="宋体" w:eastAsia="宋体" w:hint="eastAsia"/>
          <w:color w:val="auto"/>
          <w:sz w:val="21"/>
          <w:szCs w:val="21"/>
        </w:rPr>
        <w:t>基金托管人不承担责任</w:t>
      </w:r>
      <w:r>
        <w:rPr>
          <w:rFonts w:ascii="宋体" w:eastAsia="宋体"/>
          <w:color w:val="auto"/>
          <w:sz w:val="21"/>
          <w:szCs w:val="21"/>
        </w:rPr>
        <w:t>。基金管理人在发送划款指令时应充分考虑基金托管人的划款处理时间。</w:t>
      </w:r>
    </w:p>
    <w:p w:rsidR="005A0C12" w:rsidRDefault="00404031">
      <w:pPr>
        <w:pStyle w:val="a6"/>
        <w:spacing w:before="100" w:beforeAutospacing="1" w:after="100" w:afterAutospacing="1"/>
        <w:ind w:firstLine="403"/>
        <w:rPr>
          <w:rFonts w:ascii="宋体" w:eastAsia="宋体"/>
          <w:sz w:val="21"/>
          <w:szCs w:val="21"/>
        </w:rPr>
      </w:pPr>
      <w:r>
        <w:rPr>
          <w:rFonts w:ascii="宋体" w:eastAsia="宋体"/>
          <w:color w:val="auto"/>
          <w:sz w:val="21"/>
          <w:szCs w:val="21"/>
        </w:rPr>
        <w:t>对于要求当天</w:t>
      </w:r>
      <w:r>
        <w:rPr>
          <w:rFonts w:ascii="宋体" w:eastAsia="宋体" w:hint="eastAsia"/>
          <w:color w:val="auto"/>
          <w:sz w:val="21"/>
          <w:szCs w:val="21"/>
        </w:rPr>
        <w:t>到账</w:t>
      </w:r>
      <w:r>
        <w:rPr>
          <w:rFonts w:ascii="宋体" w:eastAsia="宋体"/>
          <w:color w:val="auto"/>
          <w:sz w:val="21"/>
          <w:szCs w:val="21"/>
        </w:rPr>
        <w:t>的指令，应在当天15:00前发送；对于要求当天某一时点到账，则指令需提前2个工作小时发送，</w:t>
      </w:r>
      <w:r>
        <w:rPr>
          <w:rFonts w:ascii="宋体" w:eastAsia="宋体" w:hint="eastAsia"/>
          <w:color w:val="auto"/>
          <w:sz w:val="21"/>
          <w:szCs w:val="21"/>
        </w:rPr>
        <w:t>且</w:t>
      </w:r>
      <w:r>
        <w:rPr>
          <w:rFonts w:ascii="宋体" w:eastAsia="宋体"/>
          <w:color w:val="auto"/>
          <w:sz w:val="21"/>
          <w:szCs w:val="21"/>
        </w:rPr>
        <w:t>相关付款条件已经具备。对于新股申购网下公开发行业务，基金管理人应在网下申购缴款日(T日)的前一</w:t>
      </w:r>
      <w:r>
        <w:rPr>
          <w:rFonts w:ascii="宋体" w:eastAsia="宋体" w:hint="eastAsia"/>
          <w:color w:val="auto"/>
          <w:sz w:val="21"/>
          <w:szCs w:val="21"/>
        </w:rPr>
        <w:t>工作</w:t>
      </w:r>
      <w:r>
        <w:rPr>
          <w:rFonts w:ascii="宋体" w:eastAsia="宋体"/>
          <w:color w:val="auto"/>
          <w:sz w:val="21"/>
          <w:szCs w:val="21"/>
        </w:rPr>
        <w:t>日下班前将</w:t>
      </w:r>
      <w:r>
        <w:rPr>
          <w:rFonts w:ascii="宋体" w:eastAsia="宋体"/>
          <w:sz w:val="21"/>
          <w:szCs w:val="21"/>
        </w:rPr>
        <w:t>新股申购指令发送给</w:t>
      </w:r>
      <w:r>
        <w:rPr>
          <w:rFonts w:ascii="宋体" w:eastAsia="宋体" w:hint="eastAsia"/>
          <w:sz w:val="21"/>
          <w:szCs w:val="21"/>
        </w:rPr>
        <w:t>基金</w:t>
      </w:r>
      <w:r>
        <w:rPr>
          <w:rFonts w:ascii="宋体" w:eastAsia="宋体"/>
          <w:sz w:val="21"/>
          <w:szCs w:val="21"/>
        </w:rPr>
        <w:t>托管人，指令发送时间最迟不应晚于T日上午10：00时。</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对于中国证券登记结算有限责任公司实行</w:t>
      </w:r>
      <w:r>
        <w:rPr>
          <w:rFonts w:ascii="宋体" w:eastAsia="宋体"/>
          <w:color w:val="auto"/>
          <w:sz w:val="21"/>
          <w:szCs w:val="21"/>
        </w:rPr>
        <w:t>T+0</w:t>
      </w:r>
      <w:r>
        <w:rPr>
          <w:rFonts w:ascii="宋体" w:eastAsia="宋体" w:hint="eastAsia"/>
          <w:color w:val="auto"/>
          <w:sz w:val="21"/>
          <w:szCs w:val="21"/>
        </w:rPr>
        <w:t>非担保交收的业务，基金管理人应在交易日</w:t>
      </w:r>
      <w:r>
        <w:rPr>
          <w:rFonts w:ascii="宋体" w:eastAsia="宋体"/>
          <w:color w:val="auto"/>
          <w:sz w:val="21"/>
          <w:szCs w:val="21"/>
        </w:rPr>
        <w:t>14</w:t>
      </w:r>
      <w:r>
        <w:rPr>
          <w:rFonts w:ascii="宋体" w:eastAsia="宋体" w:hint="eastAsia"/>
          <w:color w:val="auto"/>
          <w:sz w:val="21"/>
          <w:szCs w:val="21"/>
        </w:rPr>
        <w:t>：</w:t>
      </w:r>
      <w:r>
        <w:rPr>
          <w:rFonts w:ascii="宋体" w:eastAsia="宋体"/>
          <w:color w:val="auto"/>
          <w:sz w:val="21"/>
          <w:szCs w:val="21"/>
        </w:rPr>
        <w:t>00</w:t>
      </w:r>
      <w:r>
        <w:rPr>
          <w:rFonts w:ascii="宋体" w:eastAsia="宋体" w:hint="eastAsia"/>
          <w:color w:val="auto"/>
          <w:sz w:val="21"/>
          <w:szCs w:val="21"/>
        </w:rPr>
        <w:t>前将划款指令发送至基金托管人。因基金管理人指令发送不及时，致使资金未能及时划入中国证券登记结算有限责任公司所造成的损失</w:t>
      </w:r>
      <w:r>
        <w:rPr>
          <w:rFonts w:ascii="宋体" w:eastAsia="宋体" w:hint="eastAsia"/>
          <w:sz w:val="21"/>
          <w:szCs w:val="21"/>
        </w:rPr>
        <w:t>由基金管理人承担，包括赔偿在深圳市场引起其他托管客户交易失败、赔偿因占用中国证券登记结算公司深圳公司最低备付金带来的利息损失。</w:t>
      </w:r>
      <w:r>
        <w:rPr>
          <w:rFonts w:ascii="宋体" w:eastAsia="宋体"/>
          <w:color w:val="auto"/>
          <w:sz w:val="21"/>
          <w:szCs w:val="21"/>
        </w:rPr>
        <w:t>在基金资金头寸充足的情况下，基金托管人对基金管理人符合法律法规、《基金合同》、</w:t>
      </w:r>
      <w:r>
        <w:rPr>
          <w:rFonts w:ascii="宋体" w:eastAsia="宋体"/>
          <w:sz w:val="21"/>
          <w:szCs w:val="21"/>
        </w:rPr>
        <w:t>本协议的指令不得</w:t>
      </w:r>
      <w:r>
        <w:rPr>
          <w:rFonts w:ascii="宋体" w:eastAsia="宋体" w:hint="eastAsia"/>
          <w:sz w:val="21"/>
          <w:szCs w:val="21"/>
        </w:rPr>
        <w:t>不合理</w:t>
      </w:r>
      <w:r>
        <w:rPr>
          <w:rFonts w:ascii="宋体" w:eastAsia="宋体"/>
          <w:sz w:val="21"/>
          <w:szCs w:val="21"/>
        </w:rPr>
        <w:t>拖延或拒绝执行。</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（三）资金、证券账目和交易记录核对</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基金管理人和基金托管人应对本基金的资金、证券账目及交易记录进行核对。</w:t>
      </w:r>
    </w:p>
    <w:p w:rsidR="005A0C12" w:rsidRDefault="00404031">
      <w:pPr>
        <w:pStyle w:val="30"/>
        <w:spacing w:before="100" w:beforeAutospacing="1" w:after="100" w:afterAutospacing="1" w:line="400" w:lineRule="exact"/>
        <w:ind w:left="0" w:right="26" w:firstLine="403"/>
        <w:rPr>
          <w:rFonts w:ascii="宋体" w:eastAsia="宋体" w:hAnsi="宋体"/>
          <w:color w:val="000000"/>
          <w:sz w:val="21"/>
          <w:szCs w:val="21"/>
          <w:shd w:val="pct10" w:color="auto" w:fill="FFFFFF"/>
        </w:rPr>
      </w:pPr>
      <w:r>
        <w:rPr>
          <w:rFonts w:ascii="宋体" w:eastAsia="宋体" w:hAnsi="宋体"/>
          <w:sz w:val="21"/>
          <w:szCs w:val="21"/>
        </w:rPr>
        <w:t>（四）申购、赎回和基金转换的资金清算</w:t>
      </w:r>
    </w:p>
    <w:p w:rsidR="005A0C12" w:rsidRDefault="00404031">
      <w:pPr>
        <w:pStyle w:val="30"/>
        <w:spacing w:before="100" w:beforeAutospacing="1" w:after="100" w:afterAutospacing="1" w:line="400" w:lineRule="exact"/>
        <w:ind w:left="0" w:right="26" w:firstLine="403"/>
        <w:rPr>
          <w:rFonts w:ascii="宋体" w:eastAsia="宋体" w:hAnsi="宋体"/>
          <w:color w:val="000000"/>
          <w:sz w:val="21"/>
          <w:szCs w:val="21"/>
        </w:rPr>
      </w:pPr>
      <w:r>
        <w:rPr>
          <w:rFonts w:ascii="宋体" w:eastAsia="宋体" w:hAnsi="宋体"/>
          <w:color w:val="000000"/>
          <w:sz w:val="21"/>
          <w:szCs w:val="21"/>
        </w:rPr>
        <w:t>1、T日，投资者进行基金申购、赎回和转换申请，基金管理人和基金托管人分别计算各类基金份额的基金资产净值，并进行核对；基金管理人将双方确认的或基金管理人决定采用的各类基金份额的基金份额净值以基金份额净值公告的形式</w:t>
      </w:r>
      <w:r>
        <w:rPr>
          <w:rFonts w:ascii="宋体" w:eastAsia="宋体" w:hAnsi="宋体" w:hint="eastAsia"/>
          <w:color w:val="000000"/>
          <w:sz w:val="21"/>
          <w:szCs w:val="21"/>
        </w:rPr>
        <w:t>发送</w:t>
      </w:r>
      <w:r>
        <w:rPr>
          <w:rFonts w:ascii="宋体" w:eastAsia="宋体" w:hAnsi="宋体"/>
          <w:color w:val="000000"/>
          <w:sz w:val="21"/>
          <w:szCs w:val="21"/>
        </w:rPr>
        <w:t>至相关信息披露媒</w:t>
      </w:r>
      <w:r>
        <w:rPr>
          <w:rFonts w:ascii="宋体" w:eastAsia="宋体" w:hAnsi="宋体" w:hint="eastAsia"/>
          <w:color w:val="000000"/>
          <w:sz w:val="21"/>
          <w:szCs w:val="21"/>
        </w:rPr>
        <w:t>介</w:t>
      </w:r>
      <w:r>
        <w:rPr>
          <w:rFonts w:ascii="宋体" w:eastAsia="宋体" w:hAnsi="宋体"/>
          <w:color w:val="000000"/>
          <w:sz w:val="21"/>
          <w:szCs w:val="21"/>
        </w:rPr>
        <w:t>。</w:t>
      </w:r>
    </w:p>
    <w:p w:rsidR="005A0C12" w:rsidRDefault="00404031">
      <w:pPr>
        <w:pStyle w:val="30"/>
        <w:spacing w:before="100" w:beforeAutospacing="1" w:after="100" w:afterAutospacing="1" w:line="400" w:lineRule="exact"/>
        <w:ind w:left="0" w:right="26" w:firstLine="403"/>
        <w:rPr>
          <w:rFonts w:ascii="宋体" w:eastAsia="宋体" w:hAnsi="宋体"/>
          <w:color w:val="000000"/>
          <w:sz w:val="21"/>
          <w:szCs w:val="21"/>
          <w:shd w:val="pct10" w:color="auto" w:fill="FFFFFF"/>
        </w:rPr>
      </w:pPr>
      <w:r>
        <w:rPr>
          <w:rFonts w:ascii="宋体" w:eastAsia="宋体" w:hAnsi="宋体"/>
          <w:color w:val="000000"/>
          <w:sz w:val="21"/>
          <w:szCs w:val="21"/>
        </w:rPr>
        <w:t>2、T+</w:t>
      </w:r>
      <w:r>
        <w:rPr>
          <w:rFonts w:ascii="宋体" w:eastAsia="宋体" w:hAnsi="宋体" w:hint="eastAsia"/>
          <w:color w:val="000000"/>
          <w:sz w:val="21"/>
          <w:szCs w:val="21"/>
        </w:rPr>
        <w:t>1</w:t>
      </w:r>
      <w:r>
        <w:rPr>
          <w:rFonts w:ascii="宋体" w:eastAsia="宋体" w:hAnsi="宋体"/>
          <w:color w:val="000000"/>
          <w:sz w:val="21"/>
          <w:szCs w:val="21"/>
        </w:rPr>
        <w:t>日， 登记机构根据T日各类基金份额的基金份额净值计算申购份额、赎回金额及转换份额，更新基金份额持有人数据库；并将确认的申购、赎回及转换数据向基金托管人、基金管理人传送。基金管理人、基金托管人根据确认数据进行账务处理。</w:t>
      </w:r>
    </w:p>
    <w:p w:rsidR="005A0C12" w:rsidRDefault="00404031">
      <w:pPr>
        <w:pStyle w:val="30"/>
        <w:spacing w:before="100" w:beforeAutospacing="1" w:after="100" w:afterAutospacing="1" w:line="400" w:lineRule="exact"/>
        <w:ind w:left="0" w:right="26" w:firstLine="403"/>
        <w:rPr>
          <w:rFonts w:ascii="宋体" w:eastAsia="宋体" w:hAnsi="宋体"/>
          <w:color w:val="000000"/>
          <w:sz w:val="21"/>
          <w:szCs w:val="21"/>
        </w:rPr>
      </w:pPr>
      <w:r>
        <w:rPr>
          <w:rFonts w:ascii="宋体" w:eastAsia="宋体" w:hAnsi="宋体"/>
          <w:color w:val="000000"/>
          <w:sz w:val="21"/>
          <w:szCs w:val="21"/>
        </w:rPr>
        <w:t>3、</w:t>
      </w:r>
      <w:r>
        <w:rPr>
          <w:rFonts w:ascii="宋体" w:eastAsia="宋体" w:hAnsi="宋体" w:hint="eastAsia"/>
          <w:color w:val="000000"/>
          <w:sz w:val="21"/>
          <w:szCs w:val="21"/>
        </w:rPr>
        <w:t>基金管理人应要求登记机构开立并管理专门用于办理基金申购赎回款项清算的“基金清算账户”。</w:t>
      </w:r>
    </w:p>
    <w:p w:rsidR="005A0C12" w:rsidRDefault="00404031">
      <w:pPr>
        <w:pStyle w:val="30"/>
        <w:spacing w:before="100" w:beforeAutospacing="1" w:after="100" w:afterAutospacing="1" w:line="400" w:lineRule="exact"/>
        <w:ind w:left="0" w:right="26" w:firstLine="403"/>
        <w:rPr>
          <w:rFonts w:ascii="宋体" w:eastAsia="宋体" w:hAnsi="宋体"/>
          <w:color w:val="000000"/>
          <w:sz w:val="21"/>
          <w:szCs w:val="21"/>
        </w:rPr>
      </w:pPr>
      <w:r>
        <w:rPr>
          <w:rFonts w:ascii="宋体" w:eastAsia="宋体" w:hAnsi="宋体"/>
          <w:color w:val="000000"/>
          <w:sz w:val="21"/>
          <w:szCs w:val="21"/>
        </w:rPr>
        <w:lastRenderedPageBreak/>
        <w:t>4、</w:t>
      </w:r>
      <w:r>
        <w:rPr>
          <w:rFonts w:ascii="宋体" w:eastAsia="宋体" w:hAnsi="宋体" w:hint="eastAsia"/>
          <w:color w:val="000000"/>
          <w:sz w:val="21"/>
          <w:szCs w:val="21"/>
        </w:rPr>
        <w:t>基金托管账户与“注册登记清算账户”间的资金清算遵循“全额清算、净额交收”的原则，即按照托管账户当日应收资金（包括申购资金及基金转换转入款）与托管账户应付额（含赎回资金、赎回费、基金转换转出款及转换费）的差额来确定托管账户净应收额或净应付额，以此确定资金交收额。当存在托管账户净应收额时，基金管理人负责将托管账户净应收额在当日15:00前从“注册登记清算账户”划到基金托管账户；当存在托管账户净应付额时，基金托管人按基金管理人的划款指令将托管账户净应付额在</w:t>
      </w:r>
      <w:proofErr w:type="gramStart"/>
      <w:r>
        <w:rPr>
          <w:rFonts w:ascii="宋体" w:eastAsia="宋体" w:hAnsi="宋体" w:hint="eastAsia"/>
          <w:color w:val="000000"/>
          <w:sz w:val="21"/>
          <w:szCs w:val="21"/>
        </w:rPr>
        <w:t>交收日</w:t>
      </w:r>
      <w:proofErr w:type="gramEnd"/>
      <w:r>
        <w:rPr>
          <w:rFonts w:ascii="宋体" w:eastAsia="宋体" w:hAnsi="宋体" w:hint="eastAsia"/>
          <w:color w:val="000000"/>
          <w:sz w:val="21"/>
          <w:szCs w:val="21"/>
        </w:rPr>
        <w:t xml:space="preserve"> 12:00 前划到“注册登记清算账户”。</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5、基金管理人未能按上款约定将托管账户净应收额全额、及时汇至基金托管账户，</w:t>
      </w:r>
      <w:r>
        <w:rPr>
          <w:rFonts w:ascii="宋体" w:eastAsia="宋体" w:hint="eastAsia"/>
          <w:sz w:val="21"/>
          <w:szCs w:val="21"/>
        </w:rPr>
        <w:t>由此</w:t>
      </w:r>
      <w:r>
        <w:rPr>
          <w:rFonts w:ascii="宋体" w:eastAsia="宋体"/>
          <w:color w:val="auto"/>
          <w:sz w:val="21"/>
          <w:szCs w:val="21"/>
        </w:rPr>
        <w:t>产生的责任应由该基金管理人承担</w:t>
      </w:r>
      <w:r>
        <w:rPr>
          <w:rFonts w:ascii="宋体" w:eastAsia="宋体" w:hint="eastAsia"/>
          <w:color w:val="auto"/>
          <w:sz w:val="21"/>
          <w:szCs w:val="21"/>
        </w:rPr>
        <w:t>（不可抗力或基金管理人无过错的情形除外）</w:t>
      </w:r>
      <w:r>
        <w:rPr>
          <w:rFonts w:ascii="宋体" w:eastAsia="宋体"/>
          <w:color w:val="auto"/>
          <w:sz w:val="21"/>
          <w:szCs w:val="21"/>
        </w:rPr>
        <w:t>；基金托管人未能按上款约定将托管账户净应付额</w:t>
      </w:r>
      <w:r>
        <w:rPr>
          <w:rFonts w:ascii="宋体" w:eastAsia="宋体" w:hint="eastAsia"/>
          <w:sz w:val="21"/>
          <w:szCs w:val="21"/>
        </w:rPr>
        <w:t>全额</w:t>
      </w:r>
      <w:r>
        <w:rPr>
          <w:rFonts w:ascii="宋体" w:eastAsia="宋体"/>
          <w:color w:val="auto"/>
          <w:sz w:val="21"/>
          <w:szCs w:val="21"/>
        </w:rPr>
        <w:t>、及时汇至“基金清算账户”，由此产生的责任应由基金托管人承担</w:t>
      </w:r>
      <w:r>
        <w:rPr>
          <w:rFonts w:ascii="宋体" w:eastAsia="宋体" w:hint="eastAsia"/>
          <w:color w:val="auto"/>
          <w:sz w:val="21"/>
          <w:szCs w:val="21"/>
        </w:rPr>
        <w:t>（不可抗力或基金托管人无过错的情形除外）</w:t>
      </w:r>
      <w:r>
        <w:rPr>
          <w:rFonts w:ascii="宋体" w:eastAsia="宋体"/>
          <w:color w:val="auto"/>
          <w:sz w:val="21"/>
          <w:szCs w:val="21"/>
        </w:rPr>
        <w:t>。</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6、基金管理人应将每个开放日的申购、赎回、转换开放式基金的数据传送给基金托管人。基金管理人应对传递的申购、赎回、转换开放式基金的数据真实性负责。基金托管人应及时查收申购资金的到账情况并根据基金管理人指令及时划付赎回款项。</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（五）港股通交易</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本基金的港股</w:t>
      </w:r>
      <w:proofErr w:type="gramStart"/>
      <w:r>
        <w:rPr>
          <w:rFonts w:ascii="宋体" w:eastAsia="宋体" w:hint="eastAsia"/>
          <w:color w:val="auto"/>
          <w:sz w:val="21"/>
          <w:szCs w:val="21"/>
        </w:rPr>
        <w:t>通交易</w:t>
      </w:r>
      <w:proofErr w:type="gramEnd"/>
      <w:r>
        <w:rPr>
          <w:rFonts w:ascii="宋体" w:eastAsia="宋体" w:hint="eastAsia"/>
          <w:color w:val="auto"/>
          <w:sz w:val="21"/>
          <w:szCs w:val="21"/>
        </w:rPr>
        <w:t>应遵守相关法律法规及业务规则，股票投资比例合计应当符合法律法规和基金合同的约定，并充分揭示风险。</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1、 基金管理人声明和承诺</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（1）基金管理人承诺其是依照中国内地法律设立且有效存续的法人机构，具备从事港股通业务的资质；</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（2）基金管理人承诺托管资产具有合法的港股</w:t>
      </w:r>
      <w:proofErr w:type="gramStart"/>
      <w:r>
        <w:rPr>
          <w:rFonts w:ascii="宋体" w:eastAsia="宋体" w:hint="eastAsia"/>
          <w:color w:val="auto"/>
          <w:sz w:val="21"/>
          <w:szCs w:val="21"/>
        </w:rPr>
        <w:t>通交易</w:t>
      </w:r>
      <w:proofErr w:type="gramEnd"/>
      <w:r>
        <w:rPr>
          <w:rFonts w:ascii="宋体" w:eastAsia="宋体" w:hint="eastAsia"/>
          <w:color w:val="auto"/>
          <w:sz w:val="21"/>
          <w:szCs w:val="21"/>
        </w:rPr>
        <w:t>资格，不存在相关法律、行政法规、部门规章、规范性文件以及业务规则等规定的禁止、限制或不适于参与港股</w:t>
      </w:r>
      <w:proofErr w:type="gramStart"/>
      <w:r>
        <w:rPr>
          <w:rFonts w:ascii="宋体" w:eastAsia="宋体" w:hint="eastAsia"/>
          <w:color w:val="auto"/>
          <w:sz w:val="21"/>
          <w:szCs w:val="21"/>
        </w:rPr>
        <w:t>通交易</w:t>
      </w:r>
      <w:proofErr w:type="gramEnd"/>
      <w:r>
        <w:rPr>
          <w:rFonts w:ascii="宋体" w:eastAsia="宋体" w:hint="eastAsia"/>
          <w:color w:val="auto"/>
          <w:sz w:val="21"/>
          <w:szCs w:val="21"/>
        </w:rPr>
        <w:t>的情形；</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（3）基金管理人保证其提供的所有证件、资料均真实、准确、完整、合法、有效，且用于港股</w:t>
      </w:r>
      <w:proofErr w:type="gramStart"/>
      <w:r>
        <w:rPr>
          <w:rFonts w:ascii="宋体" w:eastAsia="宋体" w:hint="eastAsia"/>
          <w:color w:val="auto"/>
          <w:sz w:val="21"/>
          <w:szCs w:val="21"/>
        </w:rPr>
        <w:t>通交易</w:t>
      </w:r>
      <w:proofErr w:type="gramEnd"/>
      <w:r>
        <w:rPr>
          <w:rFonts w:ascii="宋体" w:eastAsia="宋体" w:hint="eastAsia"/>
          <w:color w:val="auto"/>
          <w:sz w:val="21"/>
          <w:szCs w:val="21"/>
        </w:rPr>
        <w:t xml:space="preserve">的资金来源合法，并保证遵守国家反洗钱的相关规定； </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（4）基金管理人承诺遵守港股</w:t>
      </w:r>
      <w:proofErr w:type="gramStart"/>
      <w:r>
        <w:rPr>
          <w:rFonts w:ascii="宋体" w:eastAsia="宋体" w:hint="eastAsia"/>
          <w:color w:val="auto"/>
          <w:sz w:val="21"/>
          <w:szCs w:val="21"/>
        </w:rPr>
        <w:t>通交易</w:t>
      </w:r>
      <w:proofErr w:type="gramEnd"/>
      <w:r>
        <w:rPr>
          <w:rFonts w:ascii="宋体" w:eastAsia="宋体" w:hint="eastAsia"/>
          <w:color w:val="auto"/>
          <w:sz w:val="21"/>
          <w:szCs w:val="21"/>
        </w:rPr>
        <w:t>的中国内地与香港地区法律、行政法规、部门规章、规范性文件、业务规则等相关规定，并承诺按照基金托管人的相关业务流程办理业务；基金管理人应准确理解港股</w:t>
      </w:r>
      <w:proofErr w:type="gramStart"/>
      <w:r>
        <w:rPr>
          <w:rFonts w:ascii="宋体" w:eastAsia="宋体" w:hint="eastAsia"/>
          <w:color w:val="auto"/>
          <w:sz w:val="21"/>
          <w:szCs w:val="21"/>
        </w:rPr>
        <w:t>通交易</w:t>
      </w:r>
      <w:proofErr w:type="gramEnd"/>
      <w:r>
        <w:rPr>
          <w:rFonts w:ascii="宋体" w:eastAsia="宋体" w:hint="eastAsia"/>
          <w:color w:val="auto"/>
          <w:sz w:val="21"/>
          <w:szCs w:val="21"/>
        </w:rPr>
        <w:t>的业务规则，包括不限于交收规则、投资额度、汇兑安</w:t>
      </w:r>
      <w:r>
        <w:rPr>
          <w:rFonts w:ascii="宋体" w:eastAsia="宋体" w:hint="eastAsia"/>
          <w:color w:val="auto"/>
          <w:sz w:val="21"/>
          <w:szCs w:val="21"/>
        </w:rPr>
        <w:lastRenderedPageBreak/>
        <w:t>排、交易日、风险管理要求、延迟交收等，由于基金管理人对港股通业务规则理解错误而导致的交</w:t>
      </w:r>
      <w:proofErr w:type="gramStart"/>
      <w:r>
        <w:rPr>
          <w:rFonts w:ascii="宋体" w:eastAsia="宋体" w:hint="eastAsia"/>
          <w:color w:val="auto"/>
          <w:sz w:val="21"/>
          <w:szCs w:val="21"/>
        </w:rPr>
        <w:t>收失败及其他损害</w:t>
      </w:r>
      <w:proofErr w:type="gramEnd"/>
      <w:r>
        <w:rPr>
          <w:rFonts w:ascii="宋体" w:eastAsia="宋体" w:hint="eastAsia"/>
          <w:color w:val="auto"/>
          <w:sz w:val="21"/>
          <w:szCs w:val="21"/>
        </w:rPr>
        <w:t>基金份额持有人合法权益的行为，基金管理人自行承担全部赔偿责任，基金托管人不承担任何责任；</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（5）基金管理人承诺，同意由中国证券登记结算有限责任公司（以下简称“中国结算”）以自己的名义持有通过港股</w:t>
      </w:r>
      <w:proofErr w:type="gramStart"/>
      <w:r>
        <w:rPr>
          <w:rFonts w:ascii="宋体" w:eastAsia="宋体" w:hint="eastAsia"/>
          <w:color w:val="auto"/>
          <w:sz w:val="21"/>
          <w:szCs w:val="21"/>
        </w:rPr>
        <w:t>通取得</w:t>
      </w:r>
      <w:proofErr w:type="gramEnd"/>
      <w:r>
        <w:rPr>
          <w:rFonts w:ascii="宋体" w:eastAsia="宋体" w:hint="eastAsia"/>
          <w:color w:val="auto"/>
          <w:sz w:val="21"/>
          <w:szCs w:val="21"/>
        </w:rPr>
        <w:t>的证券；基金管理人已清楚认识并愿意承担从事港股</w:t>
      </w:r>
      <w:proofErr w:type="gramStart"/>
      <w:r>
        <w:rPr>
          <w:rFonts w:ascii="宋体" w:eastAsia="宋体" w:hint="eastAsia"/>
          <w:color w:val="auto"/>
          <w:sz w:val="21"/>
          <w:szCs w:val="21"/>
        </w:rPr>
        <w:t>通交易</w:t>
      </w:r>
      <w:proofErr w:type="gramEnd"/>
      <w:r>
        <w:rPr>
          <w:rFonts w:ascii="宋体" w:eastAsia="宋体" w:hint="eastAsia"/>
          <w:color w:val="auto"/>
          <w:sz w:val="21"/>
          <w:szCs w:val="21"/>
        </w:rPr>
        <w:t>的相关风险，特别是其中有关基金托管人的免责条款。</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2、    账户开立</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基金管理人在参与港股</w:t>
      </w:r>
      <w:proofErr w:type="gramStart"/>
      <w:r>
        <w:rPr>
          <w:rFonts w:ascii="宋体" w:eastAsia="宋体" w:hint="eastAsia"/>
          <w:color w:val="auto"/>
          <w:sz w:val="21"/>
          <w:szCs w:val="21"/>
        </w:rPr>
        <w:t>通交易</w:t>
      </w:r>
      <w:proofErr w:type="gramEnd"/>
      <w:r>
        <w:rPr>
          <w:rFonts w:ascii="宋体" w:eastAsia="宋体" w:hint="eastAsia"/>
          <w:color w:val="auto"/>
          <w:sz w:val="21"/>
          <w:szCs w:val="21"/>
        </w:rPr>
        <w:t>前，应先依照法律法规、相关业务规则委托基金托管人代为在中国结算开立人民币普通股票（A股）证券账户及资金账户用于证券交易、清算交收和计付利息等。基金管理人已经开立人民币普通股票（A股）证券账户及资金账户的，可使用上述现有账户进行港股通交易。</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基金管理人通过港股</w:t>
      </w:r>
      <w:proofErr w:type="gramStart"/>
      <w:r>
        <w:rPr>
          <w:rFonts w:ascii="宋体" w:eastAsia="宋体" w:hint="eastAsia"/>
          <w:color w:val="auto"/>
          <w:sz w:val="21"/>
          <w:szCs w:val="21"/>
        </w:rPr>
        <w:t>通购买</w:t>
      </w:r>
      <w:proofErr w:type="gramEnd"/>
      <w:r>
        <w:rPr>
          <w:rFonts w:ascii="宋体" w:eastAsia="宋体" w:hint="eastAsia"/>
          <w:color w:val="auto"/>
          <w:sz w:val="21"/>
          <w:szCs w:val="21"/>
        </w:rPr>
        <w:t>的证券记录在中国结算在香港中央结算有限公司（以下简称“香港结算”）开立的证券账户，并由中国结算存管。基金管理人以中国结算名义持有的证券，以香港中央结算（代理人）有限公司的名义登记于香港联合交易所有限公司（以下简称“联交所”）上市公司的股东名册。基金管理人不能要求存入或提取纸面股票，中国证监会另有规定的除外。</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3、  港股</w:t>
      </w:r>
      <w:proofErr w:type="gramStart"/>
      <w:r>
        <w:rPr>
          <w:rFonts w:ascii="宋体" w:eastAsia="宋体" w:hint="eastAsia"/>
          <w:color w:val="auto"/>
          <w:sz w:val="21"/>
          <w:szCs w:val="21"/>
        </w:rPr>
        <w:t>通交易</w:t>
      </w:r>
      <w:proofErr w:type="gramEnd"/>
      <w:r>
        <w:rPr>
          <w:rFonts w:ascii="宋体" w:eastAsia="宋体" w:hint="eastAsia"/>
          <w:color w:val="auto"/>
          <w:sz w:val="21"/>
          <w:szCs w:val="21"/>
        </w:rPr>
        <w:t>及清算交收安排</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中国结算按照香港结算的业务规则，与香港结算完成港股</w:t>
      </w:r>
      <w:proofErr w:type="gramStart"/>
      <w:r>
        <w:rPr>
          <w:rFonts w:ascii="宋体" w:eastAsia="宋体" w:hint="eastAsia"/>
          <w:color w:val="auto"/>
          <w:sz w:val="21"/>
          <w:szCs w:val="21"/>
        </w:rPr>
        <w:t>通交易</w:t>
      </w:r>
      <w:proofErr w:type="gramEnd"/>
      <w:r>
        <w:rPr>
          <w:rFonts w:ascii="宋体" w:eastAsia="宋体" w:hint="eastAsia"/>
          <w:color w:val="auto"/>
          <w:sz w:val="21"/>
          <w:szCs w:val="21"/>
        </w:rPr>
        <w:t>的证券和资金的交收。港股</w:t>
      </w:r>
      <w:proofErr w:type="gramStart"/>
      <w:r>
        <w:rPr>
          <w:rFonts w:ascii="宋体" w:eastAsia="宋体" w:hint="eastAsia"/>
          <w:color w:val="auto"/>
          <w:sz w:val="21"/>
          <w:szCs w:val="21"/>
        </w:rPr>
        <w:t>通交易</w:t>
      </w:r>
      <w:proofErr w:type="gramEnd"/>
      <w:r>
        <w:rPr>
          <w:rFonts w:ascii="宋体" w:eastAsia="宋体" w:hint="eastAsia"/>
          <w:color w:val="auto"/>
          <w:sz w:val="21"/>
          <w:szCs w:val="21"/>
        </w:rPr>
        <w:t>的境内结算由基金托管人与中国结算根据相关业务规则完成。</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香港</w:t>
      </w:r>
      <w:proofErr w:type="gramStart"/>
      <w:r>
        <w:rPr>
          <w:rFonts w:ascii="宋体" w:eastAsia="宋体" w:hint="eastAsia"/>
          <w:color w:val="auto"/>
          <w:sz w:val="21"/>
          <w:szCs w:val="21"/>
        </w:rPr>
        <w:t>结算因</w:t>
      </w:r>
      <w:proofErr w:type="gramEnd"/>
      <w:r>
        <w:rPr>
          <w:rFonts w:ascii="宋体" w:eastAsia="宋体" w:hint="eastAsia"/>
          <w:color w:val="auto"/>
          <w:sz w:val="21"/>
          <w:szCs w:val="21"/>
        </w:rPr>
        <w:t>无法交付证券对中国结算实施现金结算的，中国结算参照香港结算的处理原则进行相应业务处理。因香港结算出现违约或发生破产等原因，而导致其未全部履行对中国结算的交</w:t>
      </w:r>
      <w:proofErr w:type="gramStart"/>
      <w:r>
        <w:rPr>
          <w:rFonts w:ascii="宋体" w:eastAsia="宋体" w:hint="eastAsia"/>
          <w:color w:val="auto"/>
          <w:sz w:val="21"/>
          <w:szCs w:val="21"/>
        </w:rPr>
        <w:t>收义务</w:t>
      </w:r>
      <w:proofErr w:type="gramEnd"/>
      <w:r>
        <w:rPr>
          <w:rFonts w:ascii="宋体" w:eastAsia="宋体" w:hint="eastAsia"/>
          <w:color w:val="auto"/>
          <w:sz w:val="21"/>
          <w:szCs w:val="21"/>
        </w:rPr>
        <w:t>的，由中国结算协助境内结算参与人向香港结算追索，中国结算和基金托管人不承担由此产生的相关损失。</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港股</w:t>
      </w:r>
      <w:proofErr w:type="gramStart"/>
      <w:r>
        <w:rPr>
          <w:rFonts w:ascii="宋体" w:eastAsia="宋体" w:hint="eastAsia"/>
          <w:color w:val="auto"/>
          <w:sz w:val="21"/>
          <w:szCs w:val="21"/>
        </w:rPr>
        <w:t>通交易</w:t>
      </w:r>
      <w:proofErr w:type="gramEnd"/>
      <w:r>
        <w:rPr>
          <w:rFonts w:ascii="宋体" w:eastAsia="宋体" w:hint="eastAsia"/>
          <w:color w:val="auto"/>
          <w:sz w:val="21"/>
          <w:szCs w:val="21"/>
        </w:rPr>
        <w:t xml:space="preserve">各项业务的收付款时点按如下约定： </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基金管理人应保证资金账户有足够的资金用于证券交易资金清算，如资金头寸不足</w:t>
      </w:r>
      <w:proofErr w:type="gramStart"/>
      <w:r>
        <w:rPr>
          <w:rFonts w:ascii="宋体" w:eastAsia="宋体" w:hint="eastAsia"/>
          <w:color w:val="auto"/>
          <w:sz w:val="21"/>
          <w:szCs w:val="21"/>
        </w:rPr>
        <w:t>则基金</w:t>
      </w:r>
      <w:proofErr w:type="gramEnd"/>
      <w:r>
        <w:rPr>
          <w:rFonts w:ascii="宋体" w:eastAsia="宋体" w:hint="eastAsia"/>
          <w:color w:val="auto"/>
          <w:sz w:val="21"/>
          <w:szCs w:val="21"/>
        </w:rPr>
        <w:t>托管人应按照中国结算的有关规定办理。</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（1）交易类资金</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lastRenderedPageBreak/>
        <w:t>对于T日港股</w:t>
      </w:r>
      <w:proofErr w:type="gramStart"/>
      <w:r>
        <w:rPr>
          <w:rFonts w:ascii="宋体" w:eastAsia="宋体" w:hint="eastAsia"/>
          <w:color w:val="auto"/>
          <w:sz w:val="21"/>
          <w:szCs w:val="21"/>
        </w:rPr>
        <w:t>通交易</w:t>
      </w:r>
      <w:proofErr w:type="gramEnd"/>
      <w:r>
        <w:rPr>
          <w:rFonts w:ascii="宋体" w:eastAsia="宋体" w:hint="eastAsia"/>
          <w:color w:val="auto"/>
          <w:sz w:val="21"/>
          <w:szCs w:val="21"/>
        </w:rPr>
        <w:t>清算结果为托管资产净应付的，管理人应保证在T+1日14:00</w:t>
      </w:r>
      <w:proofErr w:type="gramStart"/>
      <w:r>
        <w:rPr>
          <w:rFonts w:ascii="宋体" w:eastAsia="宋体" w:hint="eastAsia"/>
          <w:color w:val="auto"/>
          <w:sz w:val="21"/>
          <w:szCs w:val="21"/>
        </w:rPr>
        <w:t>前资金</w:t>
      </w:r>
      <w:proofErr w:type="gramEnd"/>
      <w:r>
        <w:rPr>
          <w:rFonts w:ascii="宋体" w:eastAsia="宋体" w:hint="eastAsia"/>
          <w:color w:val="auto"/>
          <w:sz w:val="21"/>
          <w:szCs w:val="21"/>
        </w:rPr>
        <w:t>账户有足够的资金，基金托管人于T+1日14:00自主从资金账户扣收应付资金。对于T日港股</w:t>
      </w:r>
      <w:proofErr w:type="gramStart"/>
      <w:r>
        <w:rPr>
          <w:rFonts w:ascii="宋体" w:eastAsia="宋体" w:hint="eastAsia"/>
          <w:color w:val="auto"/>
          <w:sz w:val="21"/>
          <w:szCs w:val="21"/>
        </w:rPr>
        <w:t>通交易</w:t>
      </w:r>
      <w:proofErr w:type="gramEnd"/>
      <w:r>
        <w:rPr>
          <w:rFonts w:ascii="宋体" w:eastAsia="宋体" w:hint="eastAsia"/>
          <w:color w:val="auto"/>
          <w:sz w:val="21"/>
          <w:szCs w:val="21"/>
        </w:rPr>
        <w:t>的清算结果为托管资产净应收的，基金托管人在收到中国结算支付的资金后于T+3日上午12:00前返还应收资金至资金账户。</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（2）</w:t>
      </w:r>
      <w:proofErr w:type="gramStart"/>
      <w:r>
        <w:rPr>
          <w:rFonts w:ascii="宋体" w:eastAsia="宋体" w:hint="eastAsia"/>
          <w:color w:val="auto"/>
          <w:sz w:val="21"/>
          <w:szCs w:val="21"/>
        </w:rPr>
        <w:t>风控资金</w:t>
      </w:r>
      <w:proofErr w:type="gramEnd"/>
      <w:r>
        <w:rPr>
          <w:rFonts w:ascii="宋体" w:eastAsia="宋体" w:hint="eastAsia"/>
          <w:color w:val="auto"/>
          <w:sz w:val="21"/>
          <w:szCs w:val="21"/>
        </w:rPr>
        <w:t>、现金红利、公司收购款、证券组合费</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对于T</w:t>
      </w:r>
      <w:proofErr w:type="gramStart"/>
      <w:r>
        <w:rPr>
          <w:rFonts w:ascii="宋体" w:eastAsia="宋体" w:hint="eastAsia"/>
          <w:color w:val="auto"/>
          <w:sz w:val="21"/>
          <w:szCs w:val="21"/>
        </w:rPr>
        <w:t>日上述</w:t>
      </w:r>
      <w:proofErr w:type="gramEnd"/>
      <w:r>
        <w:rPr>
          <w:rFonts w:ascii="宋体" w:eastAsia="宋体" w:hint="eastAsia"/>
          <w:color w:val="auto"/>
          <w:sz w:val="21"/>
          <w:szCs w:val="21"/>
        </w:rPr>
        <w:t>资金为托管资产净应付的，基金管理人应保证在T+1日上午9:30</w:t>
      </w:r>
      <w:proofErr w:type="gramStart"/>
      <w:r>
        <w:rPr>
          <w:rFonts w:ascii="宋体" w:eastAsia="宋体" w:hint="eastAsia"/>
          <w:color w:val="auto"/>
          <w:sz w:val="21"/>
          <w:szCs w:val="21"/>
        </w:rPr>
        <w:t>前资金</w:t>
      </w:r>
      <w:proofErr w:type="gramEnd"/>
      <w:r>
        <w:rPr>
          <w:rFonts w:ascii="宋体" w:eastAsia="宋体" w:hint="eastAsia"/>
          <w:color w:val="auto"/>
          <w:sz w:val="21"/>
          <w:szCs w:val="21"/>
        </w:rPr>
        <w:t>账户有足够的资金，基金托管人于T+1日上午9:30自主从资金账户扣收应付资金。对于T</w:t>
      </w:r>
      <w:proofErr w:type="gramStart"/>
      <w:r>
        <w:rPr>
          <w:rFonts w:ascii="宋体" w:eastAsia="宋体" w:hint="eastAsia"/>
          <w:color w:val="auto"/>
          <w:sz w:val="21"/>
          <w:szCs w:val="21"/>
        </w:rPr>
        <w:t>日上述</w:t>
      </w:r>
      <w:proofErr w:type="gramEnd"/>
      <w:r>
        <w:rPr>
          <w:rFonts w:ascii="宋体" w:eastAsia="宋体" w:hint="eastAsia"/>
          <w:color w:val="auto"/>
          <w:sz w:val="21"/>
          <w:szCs w:val="21"/>
        </w:rPr>
        <w:t>资金为托管资产净应收的，基金托管人在收到中国结算支付的资金后，于T+1日17:00前返还应收资金至资金账户。</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基金托管人负责差额缴款、按金等</w:t>
      </w:r>
      <w:proofErr w:type="gramStart"/>
      <w:r>
        <w:rPr>
          <w:rFonts w:ascii="宋体" w:eastAsia="宋体" w:hint="eastAsia"/>
          <w:color w:val="auto"/>
          <w:sz w:val="21"/>
          <w:szCs w:val="21"/>
        </w:rPr>
        <w:t>风控资金</w:t>
      </w:r>
      <w:proofErr w:type="gramEnd"/>
      <w:r>
        <w:rPr>
          <w:rFonts w:ascii="宋体" w:eastAsia="宋体" w:hint="eastAsia"/>
          <w:color w:val="auto"/>
          <w:sz w:val="21"/>
          <w:szCs w:val="21"/>
        </w:rPr>
        <w:t>的计算，基金管理人应按照基金托管人的计算结果按上段约定的时间在资金账户</w:t>
      </w:r>
      <w:proofErr w:type="gramStart"/>
      <w:r>
        <w:rPr>
          <w:rFonts w:ascii="宋体" w:eastAsia="宋体" w:hint="eastAsia"/>
          <w:color w:val="auto"/>
          <w:sz w:val="21"/>
          <w:szCs w:val="21"/>
        </w:rPr>
        <w:t>存入风控资金</w:t>
      </w:r>
      <w:proofErr w:type="gramEnd"/>
      <w:r>
        <w:rPr>
          <w:rFonts w:ascii="宋体" w:eastAsia="宋体" w:hint="eastAsia"/>
          <w:color w:val="auto"/>
          <w:sz w:val="21"/>
          <w:szCs w:val="21"/>
        </w:rPr>
        <w:t>。</w:t>
      </w:r>
      <w:proofErr w:type="gramStart"/>
      <w:r>
        <w:rPr>
          <w:rFonts w:ascii="宋体" w:eastAsia="宋体" w:hint="eastAsia"/>
          <w:color w:val="auto"/>
          <w:sz w:val="21"/>
          <w:szCs w:val="21"/>
        </w:rPr>
        <w:t>若基金</w:t>
      </w:r>
      <w:proofErr w:type="gramEnd"/>
      <w:r>
        <w:rPr>
          <w:rFonts w:ascii="宋体" w:eastAsia="宋体" w:hint="eastAsia"/>
          <w:color w:val="auto"/>
          <w:sz w:val="21"/>
          <w:szCs w:val="21"/>
        </w:rPr>
        <w:t>管理人对基金托管人的计算结果有异议，可在缴款完成后与基金托管人沟通协商解决。</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如因恶劣天气等原因导致香港结算延迟交收时，若托管资产为净应付的，</w:t>
      </w:r>
      <w:proofErr w:type="gramStart"/>
      <w:r>
        <w:rPr>
          <w:rFonts w:ascii="宋体" w:eastAsia="宋体" w:hint="eastAsia"/>
          <w:color w:val="auto"/>
          <w:sz w:val="21"/>
          <w:szCs w:val="21"/>
        </w:rPr>
        <w:t>则基金</w:t>
      </w:r>
      <w:proofErr w:type="gramEnd"/>
      <w:r>
        <w:rPr>
          <w:rFonts w:ascii="宋体" w:eastAsia="宋体" w:hint="eastAsia"/>
          <w:color w:val="auto"/>
          <w:sz w:val="21"/>
          <w:szCs w:val="21"/>
        </w:rPr>
        <w:t>管理人和基金托管人仍按前述约定的时间进行扣收；若托管资产为净应收的，则交收时间视中国结算向基金托管人的支付情况确定。基金管理人应做好资金头寸管理，避免因延迟交收而导致的透支。</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对于由于基金托管人的资金交收时间等原因导致资金已从资金账户划出或尚未划入资金账户，资金滞留在基金托管人备付金账户的情况，基金托管人应将中国结算支付的相应利息支付给托管资产。</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由于基金管理人或基金托管</w:t>
      </w:r>
      <w:proofErr w:type="gramStart"/>
      <w:r>
        <w:rPr>
          <w:rFonts w:ascii="宋体" w:eastAsia="宋体" w:hint="eastAsia"/>
          <w:color w:val="auto"/>
          <w:sz w:val="21"/>
          <w:szCs w:val="21"/>
        </w:rPr>
        <w:t>人原因</w:t>
      </w:r>
      <w:proofErr w:type="gramEnd"/>
      <w:r>
        <w:rPr>
          <w:rFonts w:ascii="宋体" w:eastAsia="宋体" w:hint="eastAsia"/>
          <w:color w:val="auto"/>
          <w:sz w:val="21"/>
          <w:szCs w:val="21"/>
        </w:rPr>
        <w:t>导致托管资产资金透支、超买或超卖等情形的，由责任方承担相应的责任。基金管理人同意在发生以上情形时，基金托管人有权按照中国结算的有关规定办理。</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由于基金管理人出现资金交收违约并造成基金托管人对中国结算违约的，基金托管人有权将相当于违约金额的基金管理人的应收证券指定为暂不交付证券并由中国</w:t>
      </w:r>
      <w:proofErr w:type="gramStart"/>
      <w:r>
        <w:rPr>
          <w:rFonts w:ascii="宋体" w:eastAsia="宋体" w:hint="eastAsia"/>
          <w:color w:val="auto"/>
          <w:sz w:val="21"/>
          <w:szCs w:val="21"/>
        </w:rPr>
        <w:t>结算按</w:t>
      </w:r>
      <w:proofErr w:type="gramEnd"/>
      <w:r>
        <w:rPr>
          <w:rFonts w:ascii="宋体" w:eastAsia="宋体" w:hint="eastAsia"/>
          <w:color w:val="auto"/>
          <w:sz w:val="21"/>
          <w:szCs w:val="21"/>
        </w:rPr>
        <w:t>其业务规则进行处理，由此造成的风险、损失和责任，由基金管理人全部承担。</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基金管理人应保证在港股</w:t>
      </w:r>
      <w:proofErr w:type="gramStart"/>
      <w:r>
        <w:rPr>
          <w:rFonts w:ascii="宋体" w:eastAsia="宋体" w:hint="eastAsia"/>
          <w:color w:val="auto"/>
          <w:sz w:val="21"/>
          <w:szCs w:val="21"/>
        </w:rPr>
        <w:t>通交易</w:t>
      </w:r>
      <w:proofErr w:type="gramEnd"/>
      <w:r>
        <w:rPr>
          <w:rFonts w:ascii="宋体" w:eastAsia="宋体" w:hint="eastAsia"/>
          <w:color w:val="auto"/>
          <w:sz w:val="21"/>
          <w:szCs w:val="21"/>
        </w:rPr>
        <w:t>日（T日）</w:t>
      </w:r>
      <w:proofErr w:type="gramStart"/>
      <w:r>
        <w:rPr>
          <w:rFonts w:ascii="宋体" w:eastAsia="宋体" w:hint="eastAsia"/>
          <w:color w:val="auto"/>
          <w:sz w:val="21"/>
          <w:szCs w:val="21"/>
        </w:rPr>
        <w:t>前证券</w:t>
      </w:r>
      <w:proofErr w:type="gramEnd"/>
      <w:r>
        <w:rPr>
          <w:rFonts w:ascii="宋体" w:eastAsia="宋体" w:hint="eastAsia"/>
          <w:color w:val="auto"/>
          <w:sz w:val="21"/>
          <w:szCs w:val="21"/>
        </w:rPr>
        <w:t xml:space="preserve">账户有足够的证券用于证券交易清算，如基金管理人出现证券交收违约的，基金托管人有权将相当于证券交收违约金额的资金暂不划付给基金管理人。 </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lastRenderedPageBreak/>
        <w:t>基金管理人知晓并认可，出于降低全市场资金成本的原因，中国结算可以依照香港结算相关业务规则，将每日净卖出证券向香港结算提交作为交收担保品。</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4、  公司行动</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（1）服务种类</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基金托管人提供的与公司行动相关的服务种类以中国结算所能提供的服务种类为限，双方一致认可，如中国结算增加或减少相应服务种类，基金托管人的公司行动服务种类与之同步增减，不需要另行修改本补充协议。</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（2）服务范围</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基金托管人提供的与公司行动相关的服务限于以下项目：</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A.根据中国结算上海分公司（以下简称“上海中登”）港股通结算明细（</w:t>
      </w:r>
      <w:proofErr w:type="spellStart"/>
      <w:r>
        <w:rPr>
          <w:rFonts w:ascii="宋体" w:eastAsia="宋体" w:hint="eastAsia"/>
          <w:color w:val="auto"/>
          <w:sz w:val="21"/>
          <w:szCs w:val="21"/>
        </w:rPr>
        <w:t>hk_jsmx</w:t>
      </w:r>
      <w:proofErr w:type="spellEnd"/>
      <w:r>
        <w:rPr>
          <w:rFonts w:ascii="宋体" w:eastAsia="宋体" w:hint="eastAsia"/>
          <w:color w:val="auto"/>
          <w:sz w:val="21"/>
          <w:szCs w:val="21"/>
        </w:rPr>
        <w:t>）库以及上海中</w:t>
      </w:r>
      <w:proofErr w:type="gramStart"/>
      <w:r>
        <w:rPr>
          <w:rFonts w:ascii="宋体" w:eastAsia="宋体" w:hint="eastAsia"/>
          <w:color w:val="auto"/>
          <w:sz w:val="21"/>
          <w:szCs w:val="21"/>
        </w:rPr>
        <w:t>登制定</w:t>
      </w:r>
      <w:proofErr w:type="gramEnd"/>
      <w:r>
        <w:rPr>
          <w:rFonts w:ascii="宋体" w:eastAsia="宋体" w:hint="eastAsia"/>
          <w:color w:val="auto"/>
          <w:sz w:val="21"/>
          <w:szCs w:val="21"/>
        </w:rPr>
        <w:t>的交收规则从上海中登接收或者向上海中登支付公司行动相关的资金，并根据接收和支付结果借记或贷记开立在基金托管人的资金账户。</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B.根据中国结算深圳分公司（以下简称“深圳中登”）港股通结果（</w:t>
      </w:r>
      <w:proofErr w:type="spellStart"/>
      <w:r>
        <w:rPr>
          <w:rFonts w:ascii="宋体" w:eastAsia="宋体" w:hint="eastAsia"/>
          <w:color w:val="auto"/>
          <w:sz w:val="21"/>
          <w:szCs w:val="21"/>
        </w:rPr>
        <w:t>szhk_sjsjg</w:t>
      </w:r>
      <w:proofErr w:type="spellEnd"/>
      <w:r>
        <w:rPr>
          <w:rFonts w:ascii="宋体" w:eastAsia="宋体" w:hint="eastAsia"/>
          <w:color w:val="auto"/>
          <w:sz w:val="21"/>
          <w:szCs w:val="21"/>
        </w:rPr>
        <w:t>）库以及深圳中</w:t>
      </w:r>
      <w:proofErr w:type="gramStart"/>
      <w:r>
        <w:rPr>
          <w:rFonts w:ascii="宋体" w:eastAsia="宋体" w:hint="eastAsia"/>
          <w:color w:val="auto"/>
          <w:sz w:val="21"/>
          <w:szCs w:val="21"/>
        </w:rPr>
        <w:t>登制定</w:t>
      </w:r>
      <w:proofErr w:type="gramEnd"/>
      <w:r>
        <w:rPr>
          <w:rFonts w:ascii="宋体" w:eastAsia="宋体" w:hint="eastAsia"/>
          <w:color w:val="auto"/>
          <w:sz w:val="21"/>
          <w:szCs w:val="21"/>
        </w:rPr>
        <w:t>的交收规则从深圳中登接收或者向深圳中登支付公司行动相关的资金，并根据接收和支付结果借记或贷记开立在基金托管人的资金账户。</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C.根据上海</w:t>
      </w:r>
      <w:proofErr w:type="gramStart"/>
      <w:r>
        <w:rPr>
          <w:rFonts w:ascii="宋体" w:eastAsia="宋体" w:hint="eastAsia"/>
          <w:color w:val="auto"/>
          <w:sz w:val="21"/>
          <w:szCs w:val="21"/>
        </w:rPr>
        <w:t>中登港股通证券</w:t>
      </w:r>
      <w:proofErr w:type="gramEnd"/>
      <w:r>
        <w:rPr>
          <w:rFonts w:ascii="宋体" w:eastAsia="宋体" w:hint="eastAsia"/>
          <w:color w:val="auto"/>
          <w:sz w:val="21"/>
          <w:szCs w:val="21"/>
        </w:rPr>
        <w:t>变动（</w:t>
      </w:r>
      <w:proofErr w:type="spellStart"/>
      <w:r>
        <w:rPr>
          <w:rFonts w:ascii="宋体" w:eastAsia="宋体" w:hint="eastAsia"/>
          <w:color w:val="auto"/>
          <w:sz w:val="21"/>
          <w:szCs w:val="21"/>
        </w:rPr>
        <w:t>hk_zqbd</w:t>
      </w:r>
      <w:proofErr w:type="spellEnd"/>
      <w:r>
        <w:rPr>
          <w:rFonts w:ascii="宋体" w:eastAsia="宋体" w:hint="eastAsia"/>
          <w:color w:val="auto"/>
          <w:sz w:val="21"/>
          <w:szCs w:val="21"/>
        </w:rPr>
        <w:t>）</w:t>
      </w:r>
      <w:proofErr w:type="gramStart"/>
      <w:r>
        <w:rPr>
          <w:rFonts w:ascii="宋体" w:eastAsia="宋体" w:hint="eastAsia"/>
          <w:color w:val="auto"/>
          <w:sz w:val="21"/>
          <w:szCs w:val="21"/>
        </w:rPr>
        <w:t>库记录</w:t>
      </w:r>
      <w:proofErr w:type="gramEnd"/>
      <w:r>
        <w:rPr>
          <w:rFonts w:ascii="宋体" w:eastAsia="宋体" w:hint="eastAsia"/>
          <w:color w:val="auto"/>
          <w:sz w:val="21"/>
          <w:szCs w:val="21"/>
        </w:rPr>
        <w:t>开立在上海中登的证券账户的公司行动相关证券的变动情况。</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D.根据深圳</w:t>
      </w:r>
      <w:proofErr w:type="gramStart"/>
      <w:r>
        <w:rPr>
          <w:rFonts w:ascii="宋体" w:eastAsia="宋体" w:hint="eastAsia"/>
          <w:color w:val="auto"/>
          <w:sz w:val="21"/>
          <w:szCs w:val="21"/>
        </w:rPr>
        <w:t>中登港股通结果</w:t>
      </w:r>
      <w:proofErr w:type="gramEnd"/>
      <w:r>
        <w:rPr>
          <w:rFonts w:ascii="宋体" w:eastAsia="宋体" w:hint="eastAsia"/>
          <w:color w:val="auto"/>
          <w:sz w:val="21"/>
          <w:szCs w:val="21"/>
        </w:rPr>
        <w:t>（</w:t>
      </w:r>
      <w:proofErr w:type="spellStart"/>
      <w:r>
        <w:rPr>
          <w:rFonts w:ascii="宋体" w:eastAsia="宋体" w:hint="eastAsia"/>
          <w:color w:val="auto"/>
          <w:sz w:val="21"/>
          <w:szCs w:val="21"/>
        </w:rPr>
        <w:t>szhk_sjsjg</w:t>
      </w:r>
      <w:proofErr w:type="spellEnd"/>
      <w:r>
        <w:rPr>
          <w:rFonts w:ascii="宋体" w:eastAsia="宋体" w:hint="eastAsia"/>
          <w:color w:val="auto"/>
          <w:sz w:val="21"/>
          <w:szCs w:val="21"/>
        </w:rPr>
        <w:t>）</w:t>
      </w:r>
      <w:proofErr w:type="gramStart"/>
      <w:r>
        <w:rPr>
          <w:rFonts w:ascii="宋体" w:eastAsia="宋体" w:hint="eastAsia"/>
          <w:color w:val="auto"/>
          <w:sz w:val="21"/>
          <w:szCs w:val="21"/>
        </w:rPr>
        <w:t>库记录</w:t>
      </w:r>
      <w:proofErr w:type="gramEnd"/>
      <w:r>
        <w:rPr>
          <w:rFonts w:ascii="宋体" w:eastAsia="宋体" w:hint="eastAsia"/>
          <w:color w:val="auto"/>
          <w:sz w:val="21"/>
          <w:szCs w:val="21"/>
        </w:rPr>
        <w:t>开立在深圳中登的证券账户的公司行动相关证券的变动情况。</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E.对于有选择项的现金红利、投票、公司收购等需要基金管理人在证券发行人提供的选项中进行选择向中登申报的公司行动，基金管理人应向基金托管人发送申报数据，基金托管人负责通过港股通公司行动申报实时接口完成申报。基金托管人提供的公司行动服务不包括以下项目：</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A.向基金管理人提供公司行动公告和公司行动相关的细节信息。</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B.对基金管理人发送的申报数据的内容进行审核。</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lastRenderedPageBreak/>
        <w:t>C.税务处理。</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 xml:space="preserve">5、  汇率 </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港股通投资持有外币证券资产估值涉及到港币、美元、英镑、欧元、日元等主要货币对人民币汇率的，应当以基金合同约定为准。如基金合同中未明确约定的，应以估值当日中国人民银行或其授权机构公布的人民币对外币汇率中间价为准。</w:t>
      </w:r>
    </w:p>
    <w:p w:rsidR="005A0C12" w:rsidRDefault="005A0C12">
      <w:pPr>
        <w:pStyle w:val="a6"/>
        <w:spacing w:before="100" w:beforeAutospacing="1" w:after="100" w:afterAutospacing="1"/>
        <w:ind w:firstLine="403"/>
        <w:rPr>
          <w:rFonts w:ascii="宋体" w:eastAsia="宋体"/>
          <w:color w:val="auto"/>
          <w:sz w:val="21"/>
          <w:szCs w:val="21"/>
        </w:rPr>
      </w:pPr>
    </w:p>
    <w:p w:rsidR="005A0C12" w:rsidRDefault="00404031">
      <w:pPr>
        <w:pStyle w:val="1"/>
        <w:spacing w:before="100" w:beforeAutospacing="1" w:after="100" w:afterAutospacing="1" w:line="400" w:lineRule="exact"/>
        <w:ind w:firstLine="422"/>
        <w:rPr>
          <w:rFonts w:ascii="宋体" w:hAnsi="宋体"/>
          <w:sz w:val="21"/>
        </w:rPr>
      </w:pPr>
      <w:bookmarkStart w:id="20" w:name="_Toc116900103"/>
      <w:bookmarkStart w:id="21" w:name="_Toc71746698"/>
      <w:r>
        <w:rPr>
          <w:rFonts w:ascii="宋体" w:hAnsi="宋体"/>
          <w:sz w:val="21"/>
        </w:rPr>
        <w:t>八、基金资产净值计算和会计核算</w:t>
      </w:r>
      <w:bookmarkEnd w:id="20"/>
      <w:bookmarkEnd w:id="21"/>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（一）基金资产净值的计算和复核</w:t>
      </w:r>
    </w:p>
    <w:p w:rsidR="005A0C12" w:rsidRDefault="00404031">
      <w:pPr>
        <w:spacing w:line="360" w:lineRule="auto"/>
        <w:ind w:firstLineChars="200" w:firstLine="420"/>
        <w:rPr>
          <w:rFonts w:ascii="宋体" w:hAnsi="宋体"/>
          <w:szCs w:val="21"/>
        </w:rPr>
      </w:pPr>
      <w:r>
        <w:rPr>
          <w:rFonts w:ascii="宋体" w:hAnsi="宋体"/>
          <w:szCs w:val="21"/>
        </w:rPr>
        <w:t>1、</w:t>
      </w:r>
      <w:r>
        <w:rPr>
          <w:rFonts w:ascii="宋体" w:hAnsi="宋体" w:hint="eastAsia"/>
          <w:szCs w:val="21"/>
        </w:rPr>
        <w:t>基金资产净值是指基金资产总值减去基金负债后的价值</w:t>
      </w:r>
      <w:r>
        <w:rPr>
          <w:rFonts w:ascii="宋体" w:hAnsi="宋体"/>
          <w:szCs w:val="21"/>
        </w:rPr>
        <w:t>。各类基金份额净值是指</w:t>
      </w:r>
      <w:r>
        <w:rPr>
          <w:rFonts w:ascii="宋体" w:hAnsi="宋体" w:hint="eastAsia"/>
          <w:szCs w:val="21"/>
        </w:rPr>
        <w:t>以计算日该类基金资产净值除以计算日该类基金份额余额所得的单位基金份额的价值</w:t>
      </w:r>
      <w:r>
        <w:rPr>
          <w:rFonts w:ascii="宋体" w:hAnsi="宋体"/>
          <w:szCs w:val="21"/>
        </w:rPr>
        <w:t>。</w:t>
      </w:r>
      <w:r>
        <w:rPr>
          <w:rFonts w:ascii="宋体" w:hAnsi="宋体" w:hint="eastAsia"/>
          <w:szCs w:val="21"/>
        </w:rPr>
        <w:t>本基金</w:t>
      </w:r>
      <w:r>
        <w:rPr>
          <w:rFonts w:ascii="宋体" w:hAnsi="宋体"/>
          <w:szCs w:val="21"/>
        </w:rPr>
        <w:t>A</w:t>
      </w:r>
      <w:r>
        <w:rPr>
          <w:rFonts w:ascii="宋体" w:hAnsi="宋体" w:hint="eastAsia"/>
          <w:szCs w:val="21"/>
        </w:rPr>
        <w:t>类基金份额和</w:t>
      </w:r>
      <w:r>
        <w:rPr>
          <w:rFonts w:ascii="宋体" w:hAnsi="宋体"/>
          <w:szCs w:val="21"/>
        </w:rPr>
        <w:t>C</w:t>
      </w:r>
      <w:r>
        <w:rPr>
          <w:rFonts w:ascii="宋体" w:hAnsi="宋体" w:hint="eastAsia"/>
          <w:szCs w:val="21"/>
        </w:rPr>
        <w:t>类基金份额将分别计算基金份额净值。</w:t>
      </w:r>
    </w:p>
    <w:p w:rsidR="005A0C12" w:rsidRDefault="00404031">
      <w:pPr>
        <w:spacing w:before="100" w:beforeAutospacing="1" w:after="100" w:afterAutospacing="1" w:line="400" w:lineRule="exact"/>
        <w:ind w:firstLine="420"/>
        <w:rPr>
          <w:rFonts w:ascii="宋体" w:hAnsi="宋体"/>
          <w:kern w:val="0"/>
          <w:szCs w:val="21"/>
        </w:rPr>
      </w:pPr>
      <w:r>
        <w:rPr>
          <w:rFonts w:ascii="宋体" w:hAnsi="宋体"/>
          <w:color w:val="000000"/>
          <w:kern w:val="0"/>
          <w:szCs w:val="21"/>
        </w:rPr>
        <w:t>2、基金管理人</w:t>
      </w:r>
      <w:proofErr w:type="gramStart"/>
      <w:r>
        <w:rPr>
          <w:rFonts w:ascii="宋体" w:hAnsi="宋体"/>
          <w:color w:val="000000"/>
          <w:kern w:val="0"/>
          <w:szCs w:val="21"/>
        </w:rPr>
        <w:t>应每个</w:t>
      </w:r>
      <w:proofErr w:type="gramEnd"/>
      <w:r>
        <w:rPr>
          <w:rFonts w:ascii="宋体" w:hAnsi="宋体" w:hint="eastAsia"/>
          <w:color w:val="000000"/>
          <w:kern w:val="0"/>
          <w:szCs w:val="21"/>
        </w:rPr>
        <w:t>估值</w:t>
      </w:r>
      <w:r>
        <w:rPr>
          <w:rFonts w:ascii="宋体" w:hAnsi="宋体"/>
          <w:color w:val="000000"/>
          <w:kern w:val="0"/>
          <w:szCs w:val="21"/>
        </w:rPr>
        <w:t>日对基金资产估值</w:t>
      </w:r>
      <w:r>
        <w:rPr>
          <w:rFonts w:ascii="宋体" w:hAnsi="宋体" w:hint="eastAsia"/>
          <w:color w:val="000000"/>
          <w:kern w:val="0"/>
          <w:szCs w:val="21"/>
        </w:rPr>
        <w:t>，但基金管理人根据法律法规或《基金合同》的规定暂停估值时除外</w:t>
      </w:r>
      <w:r>
        <w:rPr>
          <w:rFonts w:ascii="宋体" w:hAnsi="宋体"/>
          <w:color w:val="000000"/>
          <w:kern w:val="0"/>
          <w:szCs w:val="21"/>
        </w:rPr>
        <w:t>。估值原则应符合《基金合同》、</w:t>
      </w:r>
      <w:r>
        <w:rPr>
          <w:rFonts w:ascii="宋体" w:hAnsi="宋体" w:hint="eastAsia"/>
          <w:szCs w:val="21"/>
        </w:rPr>
        <w:t>《证券投资基金会计核算业务指引》</w:t>
      </w:r>
      <w:r>
        <w:rPr>
          <w:rFonts w:ascii="宋体" w:hAnsi="宋体"/>
          <w:szCs w:val="21"/>
        </w:rPr>
        <w:t>及其他法律法规的规定。基金净值</w:t>
      </w:r>
      <w:r>
        <w:rPr>
          <w:rFonts w:ascii="宋体" w:hAnsi="宋体" w:hint="eastAsia"/>
          <w:szCs w:val="21"/>
        </w:rPr>
        <w:t>信息</w:t>
      </w:r>
      <w:r>
        <w:rPr>
          <w:rFonts w:ascii="宋体" w:hAnsi="宋体"/>
          <w:szCs w:val="21"/>
        </w:rPr>
        <w:t>由基金管理人负责计算，基金托管人复核。</w:t>
      </w:r>
      <w:r>
        <w:rPr>
          <w:rFonts w:ascii="宋体" w:hAnsi="宋体"/>
          <w:color w:val="000000"/>
          <w:kern w:val="0"/>
          <w:szCs w:val="21"/>
        </w:rPr>
        <w:t>基金管理人应于每个</w:t>
      </w:r>
      <w:r>
        <w:rPr>
          <w:rFonts w:ascii="宋体" w:hAnsi="宋体" w:hint="eastAsia"/>
          <w:color w:val="000000"/>
          <w:kern w:val="0"/>
          <w:szCs w:val="21"/>
        </w:rPr>
        <w:t>估值</w:t>
      </w:r>
      <w:r>
        <w:rPr>
          <w:rFonts w:ascii="宋体" w:hAnsi="宋体"/>
          <w:color w:val="000000"/>
          <w:kern w:val="0"/>
          <w:szCs w:val="21"/>
        </w:rPr>
        <w:t>日结束后</w:t>
      </w:r>
      <w:r>
        <w:rPr>
          <w:rFonts w:ascii="宋体" w:hAnsi="宋体" w:hint="eastAsia"/>
          <w:szCs w:val="21"/>
        </w:rPr>
        <w:t>计算</w:t>
      </w:r>
      <w:r>
        <w:rPr>
          <w:rFonts w:ascii="宋体" w:hAnsi="宋体"/>
          <w:color w:val="000000"/>
          <w:kern w:val="0"/>
          <w:szCs w:val="21"/>
        </w:rPr>
        <w:t>得出当日的</w:t>
      </w:r>
      <w:r>
        <w:rPr>
          <w:rFonts w:ascii="宋体" w:hAnsi="宋体" w:hint="eastAsia"/>
          <w:color w:val="000000"/>
          <w:kern w:val="0"/>
          <w:szCs w:val="21"/>
        </w:rPr>
        <w:t>各类</w:t>
      </w:r>
      <w:r>
        <w:rPr>
          <w:rFonts w:ascii="宋体" w:hAnsi="宋体"/>
          <w:color w:val="000000"/>
          <w:kern w:val="0"/>
          <w:szCs w:val="21"/>
        </w:rPr>
        <w:t>基金份额净值，并以</w:t>
      </w:r>
      <w:r>
        <w:rPr>
          <w:rFonts w:ascii="宋体" w:hAnsi="宋体" w:hint="eastAsia"/>
          <w:szCs w:val="21"/>
        </w:rPr>
        <w:t>双方约定的</w:t>
      </w:r>
      <w:r>
        <w:rPr>
          <w:rFonts w:ascii="宋体" w:hAnsi="宋体"/>
          <w:color w:val="000000"/>
          <w:kern w:val="0"/>
          <w:szCs w:val="21"/>
        </w:rPr>
        <w:t>方式发送给基金托管人。基金托管人</w:t>
      </w:r>
      <w:r>
        <w:rPr>
          <w:rFonts w:ascii="宋体" w:hAnsi="宋体" w:hint="eastAsia"/>
          <w:szCs w:val="21"/>
        </w:rPr>
        <w:t>应对</w:t>
      </w:r>
      <w:r>
        <w:rPr>
          <w:rFonts w:ascii="宋体" w:hAnsi="宋体"/>
          <w:color w:val="000000"/>
          <w:kern w:val="0"/>
          <w:szCs w:val="21"/>
        </w:rPr>
        <w:t>净值计算结果进行复核，并以</w:t>
      </w:r>
      <w:r>
        <w:rPr>
          <w:rFonts w:ascii="宋体" w:hAnsi="宋体" w:hint="eastAsia"/>
          <w:szCs w:val="21"/>
        </w:rPr>
        <w:t>双方约定的</w:t>
      </w:r>
      <w:r>
        <w:rPr>
          <w:rFonts w:ascii="宋体" w:hAnsi="宋体"/>
          <w:color w:val="000000"/>
          <w:kern w:val="0"/>
          <w:szCs w:val="21"/>
        </w:rPr>
        <w:t>方式将复核结果传送给基金</w:t>
      </w:r>
      <w:r>
        <w:rPr>
          <w:rFonts w:ascii="宋体" w:hAnsi="宋体" w:hint="eastAsia"/>
          <w:szCs w:val="21"/>
        </w:rPr>
        <w:t>管理</w:t>
      </w:r>
      <w:r>
        <w:rPr>
          <w:rFonts w:ascii="宋体" w:hAnsi="宋体"/>
          <w:szCs w:val="21"/>
        </w:rPr>
        <w:t>人</w:t>
      </w:r>
      <w:r>
        <w:rPr>
          <w:rFonts w:ascii="宋体" w:hAnsi="宋体"/>
          <w:kern w:val="0"/>
          <w:szCs w:val="21"/>
        </w:rPr>
        <w:t>，由基金管理人</w:t>
      </w:r>
      <w:r>
        <w:rPr>
          <w:rFonts w:ascii="宋体" w:hAnsi="宋体" w:hint="eastAsia"/>
          <w:kern w:val="0"/>
          <w:szCs w:val="21"/>
        </w:rPr>
        <w:t>按规定</w:t>
      </w:r>
      <w:r>
        <w:rPr>
          <w:rFonts w:ascii="宋体" w:hAnsi="宋体"/>
          <w:kern w:val="0"/>
          <w:szCs w:val="21"/>
        </w:rPr>
        <w:t>对外公布。月末、年中和年末估值复核与基金会计账目的核对同时进行。</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3、</w:t>
      </w:r>
      <w:proofErr w:type="gramStart"/>
      <w:r>
        <w:rPr>
          <w:rFonts w:ascii="宋体" w:eastAsia="宋体" w:hAnsi="宋体"/>
          <w:sz w:val="21"/>
          <w:szCs w:val="21"/>
        </w:rPr>
        <w:t>当相关</w:t>
      </w:r>
      <w:proofErr w:type="gramEnd"/>
      <w:r>
        <w:rPr>
          <w:rFonts w:ascii="宋体" w:eastAsia="宋体" w:hAnsi="宋体"/>
          <w:sz w:val="21"/>
          <w:szCs w:val="21"/>
        </w:rPr>
        <w:t>法律法规或《基金合同》规定的估值方法不能客观反映基金财产公允价值时，基金管理人可根据具体情况，并与基金托管人商定后，按最能反映公允价值的价格估值。</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4、基金管理人、基金托管人发现基金估值违反《基金合同》订明的估值方法、程序</w:t>
      </w:r>
      <w:r>
        <w:rPr>
          <w:rFonts w:ascii="宋体" w:eastAsia="宋体" w:hAnsi="宋体" w:cs="方正仿宋简体" w:hint="eastAsia"/>
          <w:sz w:val="21"/>
          <w:szCs w:val="21"/>
        </w:rPr>
        <w:t>以及</w:t>
      </w:r>
      <w:r>
        <w:rPr>
          <w:rFonts w:ascii="宋体" w:eastAsia="宋体" w:hAnsi="宋体"/>
          <w:sz w:val="21"/>
          <w:szCs w:val="21"/>
        </w:rPr>
        <w:t>相关法律法规的规定或者未能充分维护基金份额持有人利益时，双方应及时进行协商和纠正。</w:t>
      </w:r>
    </w:p>
    <w:p w:rsidR="005A0C12" w:rsidRDefault="00404031">
      <w:pPr>
        <w:spacing w:before="100" w:beforeAutospacing="1" w:after="100" w:afterAutospacing="1" w:line="400" w:lineRule="exact"/>
        <w:ind w:firstLine="420"/>
        <w:rPr>
          <w:rFonts w:ascii="宋体" w:hAnsi="宋体"/>
          <w:szCs w:val="21"/>
        </w:rPr>
      </w:pPr>
      <w:r>
        <w:rPr>
          <w:rFonts w:ascii="宋体" w:hAnsi="宋体"/>
          <w:color w:val="000000"/>
          <w:kern w:val="0"/>
          <w:szCs w:val="21"/>
        </w:rPr>
        <w:t>5、当基金资产的估值导致</w:t>
      </w:r>
      <w:r>
        <w:rPr>
          <w:rFonts w:ascii="宋体" w:hAnsi="宋体" w:hint="eastAsia"/>
          <w:color w:val="000000"/>
          <w:kern w:val="0"/>
          <w:szCs w:val="21"/>
        </w:rPr>
        <w:t>任一类别</w:t>
      </w:r>
      <w:r>
        <w:rPr>
          <w:rFonts w:ascii="宋体" w:hAnsi="宋体"/>
          <w:color w:val="000000"/>
          <w:kern w:val="0"/>
          <w:szCs w:val="21"/>
        </w:rPr>
        <w:t>的基金份额净值小数点后</w:t>
      </w:r>
      <w:r>
        <w:rPr>
          <w:rFonts w:ascii="宋体" w:hAnsi="宋体" w:hint="eastAsia"/>
          <w:color w:val="000000"/>
          <w:kern w:val="0"/>
          <w:szCs w:val="21"/>
        </w:rPr>
        <w:t>四</w:t>
      </w:r>
      <w:r>
        <w:rPr>
          <w:rFonts w:ascii="宋体" w:hAnsi="宋体"/>
          <w:color w:val="000000"/>
          <w:kern w:val="0"/>
          <w:szCs w:val="21"/>
        </w:rPr>
        <w:t>位（含第</w:t>
      </w:r>
      <w:r>
        <w:rPr>
          <w:rFonts w:ascii="宋体" w:hAnsi="宋体" w:hint="eastAsia"/>
          <w:color w:val="000000"/>
          <w:kern w:val="0"/>
          <w:szCs w:val="21"/>
        </w:rPr>
        <w:t>四</w:t>
      </w:r>
      <w:r>
        <w:rPr>
          <w:rFonts w:ascii="宋体" w:hAnsi="宋体"/>
          <w:color w:val="000000"/>
          <w:kern w:val="0"/>
          <w:szCs w:val="21"/>
        </w:rPr>
        <w:t>位）内发生</w:t>
      </w:r>
      <w:r>
        <w:rPr>
          <w:rFonts w:ascii="宋体" w:hAnsi="宋体" w:hint="eastAsia"/>
          <w:color w:val="000000"/>
          <w:kern w:val="0"/>
          <w:szCs w:val="21"/>
        </w:rPr>
        <w:t>估值错误</w:t>
      </w:r>
      <w:r>
        <w:rPr>
          <w:rFonts w:ascii="宋体" w:hAnsi="宋体"/>
          <w:color w:val="000000"/>
          <w:kern w:val="0"/>
          <w:szCs w:val="21"/>
        </w:rPr>
        <w:t>时，</w:t>
      </w:r>
      <w:r>
        <w:rPr>
          <w:rFonts w:ascii="宋体" w:hAnsi="宋体" w:hint="eastAsia"/>
          <w:szCs w:val="21"/>
        </w:rPr>
        <w:t>视为该类</w:t>
      </w:r>
      <w:r>
        <w:rPr>
          <w:rFonts w:ascii="宋体" w:hAnsi="宋体"/>
          <w:szCs w:val="21"/>
        </w:rPr>
        <w:t>基金份额净值估值错误。当基金份额净值出现错误时，基金管理人应当立即予以纠正，</w:t>
      </w:r>
      <w:r>
        <w:rPr>
          <w:rFonts w:ascii="宋体" w:hAnsi="宋体" w:hint="eastAsia"/>
          <w:szCs w:val="21"/>
        </w:rPr>
        <w:t>通报</w:t>
      </w:r>
      <w:r>
        <w:rPr>
          <w:rFonts w:ascii="宋体" w:hAnsi="宋体"/>
          <w:szCs w:val="21"/>
        </w:rPr>
        <w:t>基金托管人，并采取合理的措施防止损失进一步扩大；当计价错误达到</w:t>
      </w:r>
      <w:r>
        <w:rPr>
          <w:rFonts w:ascii="宋体" w:hAnsi="宋体" w:hint="eastAsia"/>
          <w:szCs w:val="21"/>
        </w:rPr>
        <w:t>该类</w:t>
      </w:r>
      <w:r>
        <w:rPr>
          <w:rFonts w:ascii="宋体" w:hAnsi="宋体"/>
          <w:szCs w:val="21"/>
        </w:rPr>
        <w:t>基金</w:t>
      </w:r>
      <w:r>
        <w:rPr>
          <w:rFonts w:ascii="宋体" w:hAnsi="宋体" w:hint="eastAsia"/>
          <w:szCs w:val="21"/>
        </w:rPr>
        <w:t>份额</w:t>
      </w:r>
      <w:r>
        <w:rPr>
          <w:rFonts w:ascii="宋体" w:hAnsi="宋体"/>
          <w:szCs w:val="21"/>
        </w:rPr>
        <w:t>净值的0.25%时，基金管理人应当</w:t>
      </w:r>
      <w:r>
        <w:rPr>
          <w:rFonts w:ascii="宋体" w:hAnsi="宋体" w:hint="eastAsia"/>
          <w:szCs w:val="21"/>
        </w:rPr>
        <w:t>通知基金托管人并</w:t>
      </w:r>
      <w:r>
        <w:rPr>
          <w:rFonts w:ascii="宋体" w:hAnsi="宋体"/>
          <w:szCs w:val="21"/>
        </w:rPr>
        <w:t>报中国证监会备</w:t>
      </w:r>
      <w:r>
        <w:rPr>
          <w:rFonts w:ascii="宋体" w:hAnsi="宋体"/>
          <w:szCs w:val="21"/>
        </w:rPr>
        <w:lastRenderedPageBreak/>
        <w:t>案；当计价错误达到</w:t>
      </w:r>
      <w:r>
        <w:rPr>
          <w:rFonts w:ascii="宋体" w:hAnsi="宋体" w:hint="eastAsia"/>
          <w:szCs w:val="21"/>
        </w:rPr>
        <w:t>该类</w:t>
      </w:r>
      <w:r>
        <w:rPr>
          <w:rFonts w:ascii="宋体" w:hAnsi="宋体"/>
          <w:szCs w:val="21"/>
        </w:rPr>
        <w:t>基金份额净值的0.5%时，基金管理人应当</w:t>
      </w:r>
      <w:r>
        <w:rPr>
          <w:rFonts w:ascii="宋体" w:hAnsi="宋体" w:hint="eastAsia"/>
          <w:szCs w:val="21"/>
        </w:rPr>
        <w:t>通知基金托管人并</w:t>
      </w:r>
      <w:r>
        <w:rPr>
          <w:rFonts w:ascii="宋体" w:hAnsi="宋体"/>
          <w:szCs w:val="21"/>
        </w:rPr>
        <w:t>报中国证监会备案的同时</w:t>
      </w:r>
      <w:r>
        <w:rPr>
          <w:rFonts w:ascii="宋体" w:hAnsi="宋体" w:hint="eastAsia"/>
          <w:szCs w:val="21"/>
        </w:rPr>
        <w:t>，</w:t>
      </w:r>
      <w:r>
        <w:rPr>
          <w:rFonts w:ascii="宋体" w:hAnsi="宋体"/>
          <w:szCs w:val="21"/>
        </w:rPr>
        <w:t>及时进行公告。如法律法规或监管机</w:t>
      </w:r>
      <w:r>
        <w:rPr>
          <w:rFonts w:ascii="宋体" w:hAnsi="宋体" w:hint="eastAsia"/>
          <w:szCs w:val="21"/>
        </w:rPr>
        <w:t>构</w:t>
      </w:r>
      <w:r>
        <w:rPr>
          <w:rFonts w:ascii="宋体" w:hAnsi="宋体"/>
          <w:szCs w:val="21"/>
        </w:rPr>
        <w:t>对前述内容另有规定的，按其规定处理。</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6、</w:t>
      </w:r>
      <w:r>
        <w:rPr>
          <w:rFonts w:ascii="宋体" w:eastAsia="宋体" w:hAnsi="宋体" w:hint="eastAsia"/>
          <w:sz w:val="21"/>
          <w:szCs w:val="21"/>
        </w:rPr>
        <w:t>除基金合同和本协议另有约定外，</w:t>
      </w:r>
      <w:r>
        <w:rPr>
          <w:rFonts w:ascii="宋体" w:eastAsia="宋体" w:hAnsi="宋体"/>
          <w:sz w:val="21"/>
          <w:szCs w:val="21"/>
        </w:rPr>
        <w:t>由于基金管理人对外公布的任何基金净值数据错误，导致该基金财产或基金份额</w:t>
      </w:r>
      <w:r>
        <w:rPr>
          <w:rFonts w:ascii="宋体" w:eastAsia="宋体" w:hAnsi="宋体" w:hint="eastAsia"/>
          <w:sz w:val="21"/>
          <w:szCs w:val="21"/>
        </w:rPr>
        <w:t>持有</w:t>
      </w:r>
      <w:r>
        <w:rPr>
          <w:rFonts w:ascii="宋体" w:eastAsia="宋体" w:hAnsi="宋体"/>
          <w:sz w:val="21"/>
          <w:szCs w:val="21"/>
        </w:rPr>
        <w:t>人的</w:t>
      </w:r>
      <w:r>
        <w:rPr>
          <w:rFonts w:ascii="宋体" w:eastAsia="宋体" w:hAnsi="宋体" w:hint="eastAsia"/>
          <w:sz w:val="21"/>
          <w:szCs w:val="21"/>
        </w:rPr>
        <w:t>直接</w:t>
      </w:r>
      <w:r>
        <w:rPr>
          <w:rFonts w:ascii="宋体" w:eastAsia="宋体" w:hAnsi="宋体"/>
          <w:sz w:val="21"/>
          <w:szCs w:val="21"/>
        </w:rPr>
        <w:t>损失，基金管理人应</w:t>
      </w:r>
      <w:r>
        <w:rPr>
          <w:rFonts w:ascii="宋体" w:eastAsia="宋体" w:hAnsi="宋体" w:hint="eastAsia"/>
          <w:sz w:val="21"/>
          <w:szCs w:val="21"/>
        </w:rPr>
        <w:t>依据基金合同及本协议的约定</w:t>
      </w:r>
      <w:r>
        <w:rPr>
          <w:rFonts w:ascii="宋体" w:eastAsia="宋体" w:hAnsi="宋体"/>
          <w:sz w:val="21"/>
          <w:szCs w:val="21"/>
        </w:rPr>
        <w:t>承担责任。</w:t>
      </w:r>
      <w:proofErr w:type="gramStart"/>
      <w:r>
        <w:rPr>
          <w:rFonts w:ascii="宋体" w:eastAsia="宋体" w:hAnsi="宋体"/>
          <w:sz w:val="21"/>
          <w:szCs w:val="21"/>
        </w:rPr>
        <w:t>若基金</w:t>
      </w:r>
      <w:proofErr w:type="gramEnd"/>
      <w:r>
        <w:rPr>
          <w:rFonts w:ascii="宋体" w:eastAsia="宋体" w:hAnsi="宋体"/>
          <w:sz w:val="21"/>
          <w:szCs w:val="21"/>
        </w:rPr>
        <w:t>托管人计算的净值数据正确，</w:t>
      </w:r>
      <w:proofErr w:type="gramStart"/>
      <w:r>
        <w:rPr>
          <w:rFonts w:ascii="宋体" w:eastAsia="宋体" w:hAnsi="宋体"/>
          <w:sz w:val="21"/>
          <w:szCs w:val="21"/>
        </w:rPr>
        <w:t>则</w:t>
      </w:r>
      <w:r>
        <w:rPr>
          <w:rFonts w:ascii="宋体" w:eastAsia="宋体" w:hAnsi="宋体" w:hint="eastAsia"/>
          <w:sz w:val="21"/>
          <w:szCs w:val="21"/>
        </w:rPr>
        <w:t>基金</w:t>
      </w:r>
      <w:proofErr w:type="gramEnd"/>
      <w:r>
        <w:rPr>
          <w:rFonts w:ascii="宋体" w:eastAsia="宋体" w:hAnsi="宋体"/>
          <w:sz w:val="21"/>
          <w:szCs w:val="21"/>
        </w:rPr>
        <w:t>托管人对该损失不承担责任；</w:t>
      </w:r>
      <w:proofErr w:type="gramStart"/>
      <w:r>
        <w:rPr>
          <w:rFonts w:ascii="宋体" w:eastAsia="宋体" w:hAnsi="宋体"/>
          <w:sz w:val="21"/>
          <w:szCs w:val="21"/>
        </w:rPr>
        <w:t>若基金</w:t>
      </w:r>
      <w:proofErr w:type="gramEnd"/>
      <w:r>
        <w:rPr>
          <w:rFonts w:ascii="宋体" w:eastAsia="宋体" w:hAnsi="宋体"/>
          <w:sz w:val="21"/>
          <w:szCs w:val="21"/>
        </w:rPr>
        <w:t>托管人计算的净值数据也不正确，</w:t>
      </w:r>
      <w:proofErr w:type="gramStart"/>
      <w:r>
        <w:rPr>
          <w:rFonts w:ascii="宋体" w:eastAsia="宋体" w:hAnsi="宋体"/>
          <w:sz w:val="21"/>
          <w:szCs w:val="21"/>
        </w:rPr>
        <w:t>则基金</w:t>
      </w:r>
      <w:proofErr w:type="gramEnd"/>
      <w:r>
        <w:rPr>
          <w:rFonts w:ascii="宋体" w:eastAsia="宋体" w:hAnsi="宋体"/>
          <w:sz w:val="21"/>
          <w:szCs w:val="21"/>
        </w:rPr>
        <w:t>托管人也应承担未正确履行复核义务的责任。如果上述错误造成了基金财产或基金份额持有人的不当得利，</w:t>
      </w:r>
      <w:proofErr w:type="gramStart"/>
      <w:r>
        <w:rPr>
          <w:rFonts w:ascii="宋体" w:eastAsia="宋体" w:hAnsi="宋体"/>
          <w:sz w:val="21"/>
          <w:szCs w:val="21"/>
        </w:rPr>
        <w:t>且基金</w:t>
      </w:r>
      <w:proofErr w:type="gramEnd"/>
      <w:r>
        <w:rPr>
          <w:rFonts w:ascii="宋体" w:eastAsia="宋体" w:hAnsi="宋体"/>
          <w:sz w:val="21"/>
          <w:szCs w:val="21"/>
        </w:rPr>
        <w:t>管理人及基金托管人已各自承担了赔偿责任，</w:t>
      </w:r>
      <w:proofErr w:type="gramStart"/>
      <w:r>
        <w:rPr>
          <w:rFonts w:ascii="宋体" w:eastAsia="宋体" w:hAnsi="宋体"/>
          <w:sz w:val="21"/>
          <w:szCs w:val="21"/>
        </w:rPr>
        <w:t>则基金</w:t>
      </w:r>
      <w:proofErr w:type="gramEnd"/>
      <w:r>
        <w:rPr>
          <w:rFonts w:ascii="宋体" w:eastAsia="宋体" w:hAnsi="宋体"/>
          <w:sz w:val="21"/>
          <w:szCs w:val="21"/>
        </w:rPr>
        <w:t>管理人应负责向不当得利之主体主张返还不当得利</w:t>
      </w:r>
      <w:r>
        <w:rPr>
          <w:rFonts w:ascii="宋体" w:eastAsia="宋体" w:hAnsi="宋体" w:hint="eastAsia"/>
          <w:sz w:val="21"/>
          <w:szCs w:val="21"/>
        </w:rPr>
        <w:t>，基金托管人应提供必要的协助</w:t>
      </w:r>
      <w:r>
        <w:rPr>
          <w:rFonts w:ascii="宋体" w:eastAsia="宋体" w:hAnsi="宋体"/>
          <w:sz w:val="21"/>
          <w:szCs w:val="21"/>
        </w:rPr>
        <w:t>。如果返还金额不足以弥补基金管理人和基金托管人已承担的赔偿金额，则双方按照各自赔偿金额的比例对返还金额进行分配。</w:t>
      </w:r>
    </w:p>
    <w:p w:rsidR="005A0C12" w:rsidRDefault="00404031">
      <w:pPr>
        <w:pStyle w:val="30"/>
        <w:spacing w:before="100" w:beforeAutospacing="1" w:after="100" w:afterAutospacing="1" w:line="400" w:lineRule="exact"/>
        <w:ind w:left="0" w:right="26" w:firstLine="403"/>
        <w:rPr>
          <w:rFonts w:ascii="宋体" w:eastAsia="宋体" w:hAnsi="宋体"/>
          <w:kern w:val="0"/>
          <w:sz w:val="21"/>
          <w:szCs w:val="21"/>
        </w:rPr>
      </w:pPr>
      <w:r>
        <w:rPr>
          <w:rFonts w:ascii="宋体" w:eastAsia="宋体" w:hAnsi="宋体"/>
          <w:sz w:val="21"/>
          <w:szCs w:val="21"/>
        </w:rPr>
        <w:t>7、</w:t>
      </w:r>
      <w:r>
        <w:rPr>
          <w:rFonts w:ascii="宋体" w:eastAsia="宋体" w:hAnsi="宋体" w:hint="eastAsia"/>
          <w:kern w:val="0"/>
          <w:sz w:val="21"/>
          <w:szCs w:val="21"/>
        </w:rPr>
        <w:t>由于不可抗力原因，或由于证券、期货交易所、第三方估值机构及登记结算公司发送的数据错误等，或国家会计政策变更、市场规则变更等</w:t>
      </w:r>
      <w:proofErr w:type="gramStart"/>
      <w:r>
        <w:rPr>
          <w:rFonts w:ascii="宋体" w:eastAsia="宋体" w:hAnsi="宋体" w:hint="eastAsia"/>
          <w:kern w:val="0"/>
          <w:sz w:val="21"/>
          <w:szCs w:val="21"/>
        </w:rPr>
        <w:t>非基金</w:t>
      </w:r>
      <w:proofErr w:type="gramEnd"/>
      <w:r>
        <w:rPr>
          <w:rFonts w:ascii="宋体" w:eastAsia="宋体" w:hAnsi="宋体" w:hint="eastAsia"/>
          <w:kern w:val="0"/>
          <w:sz w:val="21"/>
          <w:szCs w:val="21"/>
        </w:rPr>
        <w:t>管理人和基金托管人原因，基金管理人和基金托管人虽然已经采取必要、适当、合理的措施进行检查，仍未能发现该错误的，由此造成的基金资产估值错误，基金管理人和基金托管人免除赔偿责任。但基金管理人和基金托管人应当积极采取必要的措施消除或减轻由此造成的影响。</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8、如果基金托管人的复核结果与基金管理人的计算结果存在差异，且双方经协商未能达成一致，基金管理人可以按照其对</w:t>
      </w:r>
      <w:r>
        <w:rPr>
          <w:rFonts w:ascii="宋体" w:eastAsia="宋体" w:hAnsi="宋体" w:hint="eastAsia"/>
          <w:sz w:val="21"/>
          <w:szCs w:val="21"/>
        </w:rPr>
        <w:t>各类</w:t>
      </w:r>
      <w:r>
        <w:rPr>
          <w:rFonts w:ascii="宋体" w:eastAsia="宋体" w:hAnsi="宋体"/>
          <w:sz w:val="21"/>
          <w:szCs w:val="21"/>
        </w:rPr>
        <w:t>基金份额净值的计算结果对外予以公布，基金托管人可以将相关情况报中国证监会备案。</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（二）基金会计核算</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1、基金账册的建立</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基金管理人和基金托管人在《基金合同》生效后，应按照双方约定的同一记账方法和</w:t>
      </w:r>
      <w:r>
        <w:rPr>
          <w:rFonts w:ascii="宋体" w:eastAsia="宋体" w:hAnsi="宋体" w:hint="eastAsia"/>
          <w:sz w:val="21"/>
          <w:szCs w:val="21"/>
        </w:rPr>
        <w:t>会计</w:t>
      </w:r>
      <w:r>
        <w:rPr>
          <w:rFonts w:ascii="宋体" w:eastAsia="宋体" w:hAnsi="宋体"/>
          <w:sz w:val="21"/>
          <w:szCs w:val="21"/>
        </w:rPr>
        <w:t>处理原则，分别独立地设置、登记和保管基金的全套账册，对双方各自的账册定期进行核对，互相监督，以保证基金财产的安全。若双方对会计处理方法存在分歧，应以基金</w:t>
      </w:r>
      <w:r>
        <w:rPr>
          <w:rFonts w:ascii="宋体" w:eastAsia="宋体" w:hAnsi="宋体" w:hint="eastAsia"/>
          <w:sz w:val="21"/>
          <w:szCs w:val="21"/>
        </w:rPr>
        <w:t>管理</w:t>
      </w:r>
      <w:r>
        <w:rPr>
          <w:rFonts w:ascii="宋体" w:eastAsia="宋体" w:hAnsi="宋体"/>
          <w:sz w:val="21"/>
          <w:szCs w:val="21"/>
        </w:rPr>
        <w:t>人的处理方法为准。</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2、会计数据和财务指标的核对</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基金管理人和基金托管人应定期就会计数据和财务指标进行核对。如发现存在不符，</w:t>
      </w:r>
      <w:r>
        <w:rPr>
          <w:rFonts w:ascii="宋体" w:eastAsia="宋体" w:hAnsi="宋体" w:hint="eastAsia"/>
          <w:sz w:val="21"/>
          <w:szCs w:val="21"/>
        </w:rPr>
        <w:t>双方</w:t>
      </w:r>
      <w:r>
        <w:rPr>
          <w:rFonts w:ascii="宋体" w:eastAsia="宋体" w:hAnsi="宋体"/>
          <w:sz w:val="21"/>
          <w:szCs w:val="21"/>
        </w:rPr>
        <w:t>应及时查明原因并纠正。</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lastRenderedPageBreak/>
        <w:t>3、基金财务报表和定期报告的编制和复核</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rPr>
        <w:t>基金财务报表由基金管理人和基金托管人每</w:t>
      </w:r>
      <w:proofErr w:type="gramStart"/>
      <w:r>
        <w:rPr>
          <w:rFonts w:ascii="宋体" w:eastAsia="宋体" w:hAnsi="宋体" w:hint="eastAsia"/>
          <w:sz w:val="21"/>
          <w:szCs w:val="21"/>
        </w:rPr>
        <w:t>月分别独立</w:t>
      </w:r>
      <w:proofErr w:type="gramEnd"/>
      <w:r>
        <w:rPr>
          <w:rFonts w:ascii="宋体" w:eastAsia="宋体" w:hAnsi="宋体" w:hint="eastAsia"/>
          <w:sz w:val="21"/>
          <w:szCs w:val="21"/>
        </w:rPr>
        <w:t>编制。月度报表的编制，应于每月终了后5个工作日内完成；</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rPr>
        <w:t>在《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rPr>
        <w:t>基金管理人应当在季度结束之日起15个工作日内，编制完成基金季度报告，将季度报告登载在规定网站上，并将季度报告提示性公告登载在规定报刊上；基金管理人应当在上半年结束之日起两个月内，编制完成基金中期报告，将中期报告登载在规定网站上，并将中期报告提示性公告登载在规定报刊上；基金管理人应当在每年结束之日起三个月内，编制完成基金年度报告，将年度报告登载在规定网站上，并将年度报告提示性公告登载在规定报刊上。</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rPr>
        <w:t>《</w:t>
      </w:r>
      <w:r>
        <w:rPr>
          <w:rFonts w:ascii="宋体" w:eastAsia="宋体" w:hAnsi="宋体"/>
          <w:color w:val="000000"/>
          <w:sz w:val="21"/>
          <w:szCs w:val="21"/>
        </w:rPr>
        <w:t>基金合同</w:t>
      </w:r>
      <w:r>
        <w:rPr>
          <w:rFonts w:ascii="宋体" w:eastAsia="宋体" w:hAnsi="宋体" w:hint="eastAsia"/>
          <w:color w:val="000000"/>
          <w:sz w:val="21"/>
          <w:szCs w:val="21"/>
        </w:rPr>
        <w:t>》</w:t>
      </w:r>
      <w:r>
        <w:rPr>
          <w:rFonts w:ascii="宋体" w:eastAsia="宋体" w:hAnsi="宋体"/>
          <w:color w:val="000000"/>
          <w:sz w:val="21"/>
          <w:szCs w:val="21"/>
        </w:rPr>
        <w:t>生效不足两个月的，基金</w:t>
      </w:r>
      <w:r>
        <w:rPr>
          <w:rFonts w:ascii="宋体" w:eastAsia="宋体" w:hAnsi="宋体" w:hint="eastAsia"/>
          <w:color w:val="000000"/>
          <w:sz w:val="21"/>
          <w:szCs w:val="21"/>
        </w:rPr>
        <w:t>管理</w:t>
      </w:r>
      <w:r>
        <w:rPr>
          <w:rFonts w:ascii="宋体" w:eastAsia="宋体" w:hAnsi="宋体"/>
          <w:color w:val="000000"/>
          <w:sz w:val="21"/>
          <w:szCs w:val="21"/>
        </w:rPr>
        <w:t>人可以不编制当期季度报告、</w:t>
      </w:r>
      <w:r>
        <w:rPr>
          <w:rFonts w:ascii="宋体" w:eastAsia="宋体" w:hAnsi="宋体" w:hint="eastAsia"/>
          <w:color w:val="000000"/>
          <w:sz w:val="21"/>
          <w:szCs w:val="21"/>
        </w:rPr>
        <w:t>中期</w:t>
      </w:r>
      <w:r>
        <w:rPr>
          <w:rFonts w:ascii="宋体" w:eastAsia="宋体" w:hAnsi="宋体"/>
          <w:color w:val="000000"/>
          <w:sz w:val="21"/>
          <w:szCs w:val="21"/>
        </w:rPr>
        <w:t>报告或者年度报告。</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基金管理人应及时完成报表编制，将有关报表提供</w:t>
      </w:r>
      <w:r>
        <w:rPr>
          <w:rFonts w:ascii="宋体" w:eastAsia="宋体" w:hAnsi="宋体" w:hint="eastAsia"/>
          <w:sz w:val="21"/>
          <w:szCs w:val="21"/>
        </w:rPr>
        <w:t>给</w:t>
      </w:r>
      <w:r>
        <w:rPr>
          <w:rFonts w:ascii="宋体" w:eastAsia="宋体" w:hAnsi="宋体"/>
          <w:sz w:val="21"/>
          <w:szCs w:val="21"/>
        </w:rPr>
        <w:t>基金托管人复核</w:t>
      </w:r>
      <w:r>
        <w:rPr>
          <w:rFonts w:ascii="宋体" w:eastAsia="宋体" w:hAnsi="宋体" w:hint="eastAsia"/>
          <w:sz w:val="21"/>
          <w:szCs w:val="21"/>
        </w:rPr>
        <w:t>，基金托管人在收到后应及时进行复核，并将复核结果书面通知基金管理人</w:t>
      </w:r>
      <w:r>
        <w:rPr>
          <w:rFonts w:ascii="宋体" w:eastAsia="宋体" w:hAnsi="宋体"/>
          <w:sz w:val="21"/>
          <w:szCs w:val="21"/>
        </w:rPr>
        <w:t>；基金管理人应留足充分的时间，便于基金托管人复核相关报表及报告。</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基金托管人在复核过程中，发现双方的报表存在不符时，基金管理人和基金托管人应</w:t>
      </w:r>
      <w:r>
        <w:rPr>
          <w:rFonts w:ascii="宋体" w:eastAsia="宋体" w:hAnsi="宋体" w:hint="eastAsia"/>
          <w:sz w:val="21"/>
          <w:szCs w:val="21"/>
        </w:rPr>
        <w:t>共同</w:t>
      </w:r>
      <w:r>
        <w:rPr>
          <w:rFonts w:ascii="宋体" w:eastAsia="宋体" w:hAnsi="宋体"/>
          <w:sz w:val="21"/>
          <w:szCs w:val="21"/>
        </w:rPr>
        <w:t>查明原因，进行调整，调整以双方认可的账务处理方式为准；若双方无法达成一致以</w:t>
      </w:r>
      <w:r>
        <w:rPr>
          <w:rFonts w:ascii="宋体" w:eastAsia="宋体" w:hAnsi="宋体" w:hint="eastAsia"/>
          <w:sz w:val="21"/>
          <w:szCs w:val="21"/>
        </w:rPr>
        <w:t>基金</w:t>
      </w:r>
      <w:r>
        <w:rPr>
          <w:rFonts w:ascii="宋体" w:eastAsia="宋体" w:hAnsi="宋体"/>
          <w:sz w:val="21"/>
          <w:szCs w:val="21"/>
        </w:rPr>
        <w:t>管理人的账务处理为准。核对无误后，基金托管人在基金管理人提供的报告上加盖托管业务部门公章或者出具加盖托管业务部门公章的复核意见书，双方各自留存一份。如果</w:t>
      </w:r>
      <w:r>
        <w:rPr>
          <w:rFonts w:ascii="宋体" w:eastAsia="宋体" w:hAnsi="宋体" w:hint="eastAsia"/>
          <w:sz w:val="21"/>
          <w:szCs w:val="21"/>
        </w:rPr>
        <w:t>基金</w:t>
      </w:r>
      <w:r>
        <w:rPr>
          <w:rFonts w:ascii="宋体" w:eastAsia="宋体" w:hAnsi="宋体"/>
          <w:sz w:val="21"/>
          <w:szCs w:val="21"/>
        </w:rPr>
        <w:t>管理人与基金托管人不能</w:t>
      </w:r>
      <w:proofErr w:type="gramStart"/>
      <w:r>
        <w:rPr>
          <w:rFonts w:ascii="宋体" w:eastAsia="宋体" w:hAnsi="宋体"/>
          <w:sz w:val="21"/>
          <w:szCs w:val="21"/>
        </w:rPr>
        <w:t>于应当</w:t>
      </w:r>
      <w:proofErr w:type="gramEnd"/>
      <w:r>
        <w:rPr>
          <w:rFonts w:ascii="宋体" w:eastAsia="宋体" w:hAnsi="宋体"/>
          <w:sz w:val="21"/>
          <w:szCs w:val="21"/>
        </w:rPr>
        <w:t>发布公告之日之前就相关报表达成一致，基金管理人有权按照其编制的报表对外发布公告，基金托管人有权就相关情况报证监会备案。</w:t>
      </w:r>
    </w:p>
    <w:p w:rsidR="005A0C12" w:rsidRDefault="005A0C12">
      <w:pPr>
        <w:pStyle w:val="30"/>
        <w:spacing w:before="100" w:beforeAutospacing="1" w:after="100" w:afterAutospacing="1" w:line="400" w:lineRule="exact"/>
        <w:ind w:left="0" w:right="26" w:firstLine="403"/>
        <w:rPr>
          <w:rFonts w:ascii="宋体" w:eastAsia="宋体" w:hAnsi="宋体"/>
          <w:sz w:val="21"/>
          <w:szCs w:val="21"/>
        </w:rPr>
      </w:pPr>
    </w:p>
    <w:p w:rsidR="005A0C12" w:rsidRDefault="00404031">
      <w:pPr>
        <w:pStyle w:val="1"/>
        <w:spacing w:before="100" w:beforeAutospacing="1" w:after="100" w:afterAutospacing="1" w:line="400" w:lineRule="exact"/>
        <w:ind w:firstLine="422"/>
        <w:rPr>
          <w:rFonts w:ascii="宋体" w:hAnsi="宋体"/>
          <w:sz w:val="21"/>
          <w:szCs w:val="21"/>
        </w:rPr>
      </w:pPr>
      <w:bookmarkStart w:id="22" w:name="_Toc116900104"/>
      <w:bookmarkStart w:id="23" w:name="_Toc71746699"/>
      <w:r>
        <w:rPr>
          <w:rFonts w:ascii="宋体" w:hAnsi="宋体"/>
          <w:kern w:val="2"/>
          <w:sz w:val="21"/>
          <w:szCs w:val="21"/>
        </w:rPr>
        <w:t>九、基金收益分配</w:t>
      </w:r>
      <w:bookmarkEnd w:id="22"/>
      <w:bookmarkEnd w:id="23"/>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（一）基金收益分配的依据</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lastRenderedPageBreak/>
        <w:t>1、基金收益分配是指将该基金可供分配利润</w:t>
      </w:r>
      <w:proofErr w:type="gramStart"/>
      <w:r>
        <w:rPr>
          <w:rFonts w:ascii="宋体" w:eastAsia="宋体" w:hAnsi="宋体"/>
          <w:sz w:val="21"/>
          <w:szCs w:val="21"/>
        </w:rPr>
        <w:t>按收益</w:t>
      </w:r>
      <w:proofErr w:type="gramEnd"/>
      <w:r>
        <w:rPr>
          <w:rFonts w:ascii="宋体" w:eastAsia="宋体" w:hAnsi="宋体"/>
          <w:sz w:val="21"/>
          <w:szCs w:val="21"/>
        </w:rPr>
        <w:t>分配方案确定的分配金额和比例根据持有该基金份额的数量按比例向该基金份额持有人进行分配。</w:t>
      </w:r>
      <w:r>
        <w:rPr>
          <w:rFonts w:ascii="宋体" w:eastAsia="宋体" w:hAnsi="宋体" w:hint="eastAsia"/>
          <w:sz w:val="21"/>
          <w:szCs w:val="21"/>
        </w:rPr>
        <w:t>基金可供分配利润指截至收益分配基准日基金未分配利润与未分配利润中已实现收益的孰低数。</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 xml:space="preserve">2、收益分配应该符合《基金合同》关于收益分配原则的规定。 </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（二）基金收益分配的时间和程序</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1、基金收益分配方案由基金管理人根据《基金合同》的相关规定制定。</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2、基金管理人应于收益</w:t>
      </w:r>
      <w:proofErr w:type="gramStart"/>
      <w:r>
        <w:rPr>
          <w:rFonts w:ascii="宋体" w:eastAsia="宋体" w:hAnsi="宋体"/>
          <w:sz w:val="21"/>
          <w:szCs w:val="21"/>
        </w:rPr>
        <w:t>分配日</w:t>
      </w:r>
      <w:proofErr w:type="gramEnd"/>
      <w:r>
        <w:rPr>
          <w:rFonts w:ascii="宋体" w:eastAsia="宋体" w:hAnsi="宋体"/>
          <w:sz w:val="21"/>
          <w:szCs w:val="21"/>
        </w:rPr>
        <w:t>之前将其制定的收益分配方案提交基金托管人复核，</w:t>
      </w:r>
      <w:r>
        <w:rPr>
          <w:rFonts w:ascii="宋体" w:eastAsia="宋体" w:hAnsi="宋体" w:hint="eastAsia"/>
          <w:sz w:val="21"/>
          <w:szCs w:val="21"/>
        </w:rPr>
        <w:t>基金</w:t>
      </w:r>
      <w:r>
        <w:rPr>
          <w:rFonts w:ascii="宋体" w:eastAsia="宋体" w:hAnsi="宋体"/>
          <w:sz w:val="21"/>
          <w:szCs w:val="21"/>
        </w:rPr>
        <w:t>托管人应于收到收益分配方案后完成对收益分配方案的复核，复核通过后基金管理人应当及时公告；如果基金管理人与基金托管人不能于收益</w:t>
      </w:r>
      <w:proofErr w:type="gramStart"/>
      <w:r>
        <w:rPr>
          <w:rFonts w:ascii="宋体" w:eastAsia="宋体" w:hAnsi="宋体"/>
          <w:sz w:val="21"/>
          <w:szCs w:val="21"/>
        </w:rPr>
        <w:t>分配日</w:t>
      </w:r>
      <w:proofErr w:type="gramEnd"/>
      <w:r>
        <w:rPr>
          <w:rFonts w:ascii="宋体" w:eastAsia="宋体" w:hAnsi="宋体"/>
          <w:sz w:val="21"/>
          <w:szCs w:val="21"/>
        </w:rPr>
        <w:t>之前就收益分配方案达成一致，基金托管人有义务将收益分配方案及相关</w:t>
      </w:r>
      <w:r>
        <w:rPr>
          <w:rFonts w:ascii="宋体" w:eastAsia="宋体" w:hAnsi="宋体" w:hint="eastAsia"/>
          <w:sz w:val="21"/>
          <w:szCs w:val="21"/>
        </w:rPr>
        <w:t>情况</w:t>
      </w:r>
      <w:r>
        <w:rPr>
          <w:rFonts w:ascii="宋体" w:eastAsia="宋体" w:hAnsi="宋体"/>
          <w:sz w:val="21"/>
          <w:szCs w:val="21"/>
        </w:rPr>
        <w:t>的说明提交中国证监会备案并书面通知基金管理人，在上述文件提交完毕之日</w:t>
      </w:r>
      <w:proofErr w:type="gramStart"/>
      <w:r>
        <w:rPr>
          <w:rFonts w:ascii="宋体" w:eastAsia="宋体" w:hAnsi="宋体"/>
          <w:sz w:val="21"/>
          <w:szCs w:val="21"/>
        </w:rPr>
        <w:t>起基金</w:t>
      </w:r>
      <w:proofErr w:type="gramEnd"/>
      <w:r>
        <w:rPr>
          <w:rFonts w:ascii="宋体" w:eastAsia="宋体" w:hAnsi="宋体" w:hint="eastAsia"/>
          <w:sz w:val="21"/>
          <w:szCs w:val="21"/>
        </w:rPr>
        <w:t>管理</w:t>
      </w:r>
      <w:r>
        <w:rPr>
          <w:rFonts w:ascii="宋体" w:eastAsia="宋体" w:hAnsi="宋体"/>
          <w:sz w:val="21"/>
          <w:szCs w:val="21"/>
        </w:rPr>
        <w:t>人有权利对外公告其拟订的收益分配方案，</w:t>
      </w:r>
      <w:proofErr w:type="gramStart"/>
      <w:r>
        <w:rPr>
          <w:rFonts w:ascii="宋体" w:eastAsia="宋体" w:hAnsi="宋体"/>
          <w:sz w:val="21"/>
          <w:szCs w:val="21"/>
        </w:rPr>
        <w:t>且基金</w:t>
      </w:r>
      <w:proofErr w:type="gramEnd"/>
      <w:r>
        <w:rPr>
          <w:rFonts w:ascii="宋体" w:eastAsia="宋体" w:hAnsi="宋体"/>
          <w:sz w:val="21"/>
          <w:szCs w:val="21"/>
        </w:rPr>
        <w:t>托管人有义务协助基金管理人实施该收益分配方案，但有证据证明该方案违反法律法规及《基金合同》的除外。</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3、</w:t>
      </w:r>
      <w:r>
        <w:rPr>
          <w:rFonts w:ascii="宋体" w:eastAsia="宋体" w:hAnsi="宋体" w:hint="eastAsia"/>
          <w:sz w:val="21"/>
          <w:szCs w:val="21"/>
        </w:rPr>
        <w:t>本基金收益分配方式分两种：现金分红与红利再投资，投资者可选择现金红利或将现金红利自动转为相应类别的基金份额进行再投资；若投资者不选择，本基金默认的收益分配方式是现金分红。</w:t>
      </w:r>
    </w:p>
    <w:p w:rsidR="005A0C12" w:rsidRDefault="00404031">
      <w:pPr>
        <w:pStyle w:val="30"/>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rPr>
        <w:t>4、基金托管人根据基金管理人的收益分配方案和提供的现金红利金额的数据，在红利发放日将分红资金划入基金管理人指定账户。</w:t>
      </w:r>
    </w:p>
    <w:p w:rsidR="005A0C12" w:rsidRDefault="005A0C12">
      <w:pPr>
        <w:pStyle w:val="30"/>
        <w:spacing w:before="100" w:beforeAutospacing="1" w:after="100" w:afterAutospacing="1" w:line="400" w:lineRule="exact"/>
        <w:ind w:left="0" w:right="26" w:firstLine="403"/>
        <w:rPr>
          <w:rFonts w:ascii="宋体" w:eastAsia="宋体" w:hAnsi="宋体"/>
          <w:sz w:val="21"/>
          <w:szCs w:val="21"/>
        </w:rPr>
      </w:pPr>
    </w:p>
    <w:p w:rsidR="005A0C12" w:rsidRDefault="00404031">
      <w:pPr>
        <w:pStyle w:val="1"/>
        <w:spacing w:before="100" w:beforeAutospacing="1" w:after="100" w:afterAutospacing="1" w:line="400" w:lineRule="exact"/>
        <w:ind w:firstLine="422"/>
        <w:rPr>
          <w:rFonts w:ascii="宋体" w:hAnsi="宋体"/>
          <w:sz w:val="21"/>
          <w:szCs w:val="21"/>
        </w:rPr>
      </w:pPr>
      <w:bookmarkStart w:id="24" w:name="_Hlt82414846"/>
      <w:bookmarkStart w:id="25" w:name="_Toc116900105"/>
      <w:bookmarkStart w:id="26" w:name="_Toc71746700"/>
      <w:bookmarkEnd w:id="24"/>
      <w:r>
        <w:rPr>
          <w:rFonts w:ascii="宋体" w:hAnsi="宋体"/>
          <w:kern w:val="2"/>
          <w:sz w:val="21"/>
          <w:szCs w:val="21"/>
        </w:rPr>
        <w:t>十、基金信息披露</w:t>
      </w:r>
      <w:bookmarkEnd w:id="25"/>
      <w:bookmarkEnd w:id="26"/>
    </w:p>
    <w:p w:rsidR="005A0C12" w:rsidRDefault="00404031">
      <w:pPr>
        <w:pStyle w:val="a6"/>
        <w:spacing w:before="100" w:beforeAutospacing="1" w:after="100" w:afterAutospacing="1"/>
        <w:ind w:firstLine="403"/>
        <w:rPr>
          <w:rFonts w:ascii="Times New Roman" w:hAnsi="Times New Roman"/>
          <w:kern w:val="0"/>
          <w:sz w:val="21"/>
          <w:szCs w:val="21"/>
        </w:rPr>
      </w:pPr>
      <w:r>
        <w:rPr>
          <w:rFonts w:ascii="宋体" w:eastAsia="宋体"/>
          <w:color w:val="auto"/>
          <w:sz w:val="21"/>
          <w:szCs w:val="21"/>
        </w:rPr>
        <w:t>（一）保密义务</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除按照法律法规中关于基金信息披露的有关规定进行披露以外，基金管理人和基金托管人对基金运作中产生的信息以及从对方获得的业务信息应恪守保密的义务。</w:t>
      </w:r>
      <w:r>
        <w:rPr>
          <w:rFonts w:ascii="宋体" w:eastAsia="宋体"/>
          <w:color w:val="auto"/>
          <w:sz w:val="21"/>
          <w:szCs w:val="21"/>
        </w:rPr>
        <w:t>但是，如下情况不应视为基金管理人或</w:t>
      </w:r>
      <w:r>
        <w:rPr>
          <w:rFonts w:ascii="宋体" w:eastAsia="宋体" w:hint="eastAsia"/>
          <w:sz w:val="21"/>
          <w:szCs w:val="21"/>
        </w:rPr>
        <w:t>基金</w:t>
      </w:r>
      <w:r>
        <w:rPr>
          <w:rFonts w:ascii="宋体" w:eastAsia="宋体"/>
          <w:color w:val="auto"/>
          <w:sz w:val="21"/>
          <w:szCs w:val="21"/>
        </w:rPr>
        <w:t>托管人违反保密义务：</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1、非因基金管理</w:t>
      </w:r>
      <w:r>
        <w:rPr>
          <w:rFonts w:ascii="宋体" w:eastAsia="宋体" w:hint="eastAsia"/>
          <w:sz w:val="21"/>
          <w:szCs w:val="21"/>
        </w:rPr>
        <w:t>人和</w:t>
      </w:r>
      <w:r>
        <w:rPr>
          <w:rFonts w:ascii="宋体" w:eastAsia="宋体"/>
          <w:color w:val="auto"/>
          <w:sz w:val="21"/>
          <w:szCs w:val="21"/>
        </w:rPr>
        <w:t>基金托管人的原因导致保密信息被披露、泄露或公开；</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2、基金管理人和基金托管人为遵守和服从法院判决、仲裁裁决或中国证监会等监管</w:t>
      </w:r>
      <w:r>
        <w:rPr>
          <w:rFonts w:ascii="宋体" w:eastAsia="宋体" w:hint="eastAsia"/>
          <w:sz w:val="21"/>
          <w:szCs w:val="21"/>
        </w:rPr>
        <w:t>机</w:t>
      </w:r>
      <w:r>
        <w:rPr>
          <w:rFonts w:ascii="宋体" w:eastAsia="宋体" w:hint="eastAsia"/>
          <w:sz w:val="21"/>
          <w:szCs w:val="21"/>
        </w:rPr>
        <w:lastRenderedPageBreak/>
        <w:t>构</w:t>
      </w:r>
      <w:r>
        <w:rPr>
          <w:rFonts w:ascii="宋体" w:eastAsia="宋体"/>
          <w:color w:val="auto"/>
          <w:sz w:val="21"/>
          <w:szCs w:val="21"/>
        </w:rPr>
        <w:t>的命令、决定所做出的信息披露或公开；</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3、因审计、法律等专业服务向外部专业顾问提供信息，并要求专业顾问遵守保密义务。</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（二）基金管理人和基金托管人在信息披露中的职责和信息披露程序</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1、基金管理人和基金托管人应根据相关法律法规、《基金合同》的规定各自承担相应的信息披露职责。基金管理人和基金托管人负有积极配合、互相督促、彼此监督，保证其履行按照法定方式和时限披露的义务。</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2、本基金信息披露的所有文件，包括《基金合同》和本协议规定的</w:t>
      </w:r>
      <w:r>
        <w:rPr>
          <w:rFonts w:ascii="宋体" w:eastAsia="宋体" w:hint="eastAsia"/>
          <w:color w:val="auto"/>
          <w:sz w:val="21"/>
          <w:szCs w:val="21"/>
        </w:rPr>
        <w:t>基金招募说明书、基金合同、托管协议、基金份额发售公告、基金合同生效公告、基金产品资料概要、</w:t>
      </w:r>
      <w:r>
        <w:rPr>
          <w:rFonts w:ascii="宋体" w:eastAsia="宋体"/>
          <w:color w:val="auto"/>
          <w:sz w:val="21"/>
          <w:szCs w:val="21"/>
        </w:rPr>
        <w:t>定期报告、临时</w:t>
      </w:r>
      <w:r>
        <w:rPr>
          <w:rFonts w:ascii="宋体" w:eastAsia="宋体" w:hint="eastAsia"/>
          <w:sz w:val="21"/>
          <w:szCs w:val="21"/>
        </w:rPr>
        <w:t>报告</w:t>
      </w:r>
      <w:r>
        <w:rPr>
          <w:rFonts w:ascii="宋体" w:eastAsia="宋体"/>
          <w:color w:val="auto"/>
          <w:sz w:val="21"/>
          <w:szCs w:val="21"/>
        </w:rPr>
        <w:t>、基金净值</w:t>
      </w:r>
      <w:r>
        <w:rPr>
          <w:rFonts w:ascii="宋体" w:eastAsia="宋体" w:hint="eastAsia"/>
          <w:color w:val="auto"/>
          <w:sz w:val="21"/>
          <w:szCs w:val="21"/>
        </w:rPr>
        <w:t>信息</w:t>
      </w:r>
      <w:r>
        <w:rPr>
          <w:rFonts w:ascii="宋体" w:eastAsia="宋体"/>
          <w:color w:val="auto"/>
          <w:sz w:val="21"/>
          <w:szCs w:val="21"/>
        </w:rPr>
        <w:t>公告</w:t>
      </w:r>
      <w:r>
        <w:rPr>
          <w:rFonts w:ascii="宋体" w:eastAsia="宋体" w:hint="eastAsia"/>
          <w:color w:val="auto"/>
          <w:sz w:val="21"/>
          <w:szCs w:val="21"/>
        </w:rPr>
        <w:t>、基金份额申购、赎回价格、澄清公告、清算报告、基金份额持有人大会决议、清算报告、实施</w:t>
      </w:r>
      <w:proofErr w:type="gramStart"/>
      <w:r>
        <w:rPr>
          <w:rFonts w:ascii="宋体" w:eastAsia="宋体" w:hint="eastAsia"/>
          <w:color w:val="auto"/>
          <w:sz w:val="21"/>
          <w:szCs w:val="21"/>
        </w:rPr>
        <w:t>侧袋机制</w:t>
      </w:r>
      <w:proofErr w:type="gramEnd"/>
      <w:r>
        <w:rPr>
          <w:rFonts w:ascii="宋体" w:eastAsia="宋体" w:hint="eastAsia"/>
          <w:color w:val="auto"/>
          <w:sz w:val="21"/>
          <w:szCs w:val="21"/>
        </w:rPr>
        <w:t>期间的信息披露</w:t>
      </w:r>
      <w:r>
        <w:rPr>
          <w:rFonts w:ascii="宋体" w:eastAsia="宋体"/>
          <w:color w:val="auto"/>
          <w:sz w:val="21"/>
          <w:szCs w:val="21"/>
        </w:rPr>
        <w:t>及其他必要的公告文件，由基金管理人和基金托管人按照有关法律</w:t>
      </w:r>
      <w:r>
        <w:rPr>
          <w:rFonts w:ascii="宋体" w:eastAsia="宋体" w:hint="eastAsia"/>
          <w:sz w:val="21"/>
          <w:szCs w:val="21"/>
        </w:rPr>
        <w:t>法规</w:t>
      </w:r>
      <w:r>
        <w:rPr>
          <w:rFonts w:ascii="宋体" w:eastAsia="宋体"/>
          <w:color w:val="auto"/>
          <w:sz w:val="21"/>
          <w:szCs w:val="21"/>
        </w:rPr>
        <w:t>的规定予以公布。</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3、基金年度报告中的财务会计报告必须经</w:t>
      </w:r>
      <w:r>
        <w:rPr>
          <w:rFonts w:ascii="宋体" w:eastAsia="宋体" w:hint="eastAsia"/>
          <w:color w:val="auto"/>
          <w:sz w:val="21"/>
          <w:szCs w:val="21"/>
        </w:rPr>
        <w:t>过符合《中华人民共和国证券法》规定的</w:t>
      </w:r>
      <w:r>
        <w:rPr>
          <w:rFonts w:ascii="宋体" w:eastAsia="宋体"/>
          <w:color w:val="auto"/>
          <w:sz w:val="21"/>
          <w:szCs w:val="21"/>
        </w:rPr>
        <w:t>会计师事务所</w:t>
      </w:r>
      <w:r>
        <w:rPr>
          <w:rFonts w:ascii="宋体" w:eastAsia="宋体" w:hint="eastAsia"/>
          <w:color w:val="auto"/>
          <w:sz w:val="21"/>
          <w:szCs w:val="21"/>
        </w:rPr>
        <w:t>审计后方可公布。</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kern w:val="0"/>
          <w:sz w:val="21"/>
          <w:szCs w:val="21"/>
        </w:rPr>
        <w:t>4、本</w:t>
      </w:r>
      <w:r>
        <w:rPr>
          <w:rFonts w:ascii="宋体" w:eastAsia="宋体"/>
          <w:sz w:val="21"/>
          <w:szCs w:val="21"/>
        </w:rPr>
        <w:t>基金的信息披露，应</w:t>
      </w:r>
      <w:r>
        <w:rPr>
          <w:rFonts w:ascii="宋体" w:eastAsia="宋体" w:hint="eastAsia"/>
          <w:sz w:val="21"/>
          <w:szCs w:val="21"/>
        </w:rPr>
        <w:t>根据基金合同的约定</w:t>
      </w:r>
      <w:r>
        <w:rPr>
          <w:rFonts w:ascii="宋体" w:eastAsia="宋体"/>
          <w:sz w:val="21"/>
          <w:szCs w:val="21"/>
        </w:rPr>
        <w:t>通过中国证监会</w:t>
      </w:r>
      <w:r>
        <w:rPr>
          <w:rFonts w:ascii="宋体" w:eastAsia="宋体" w:hint="eastAsia"/>
          <w:sz w:val="21"/>
          <w:szCs w:val="21"/>
        </w:rPr>
        <w:t>规定</w:t>
      </w:r>
      <w:r>
        <w:rPr>
          <w:rFonts w:ascii="宋体" w:eastAsia="宋体"/>
          <w:sz w:val="21"/>
          <w:szCs w:val="21"/>
        </w:rPr>
        <w:t>媒介进行；</w:t>
      </w:r>
      <w:r>
        <w:rPr>
          <w:rFonts w:ascii="宋体" w:eastAsia="宋体" w:hint="eastAsia"/>
          <w:sz w:val="21"/>
          <w:szCs w:val="21"/>
        </w:rPr>
        <w:t>基金管理人、基金托管人应当向中国证监会基金电子披露网站报送拟披露的基金信息，并保证相关报送信息的真实、准确、完整、及时</w:t>
      </w:r>
      <w:r>
        <w:rPr>
          <w:rFonts w:ascii="宋体" w:eastAsia="宋体"/>
          <w:sz w:val="21"/>
          <w:szCs w:val="21"/>
        </w:rPr>
        <w:t>。</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5、信息文本的存放与备查</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依法必须披露的信息发布后，基金管理人、基金托管人应当按照相关法律法规规定将信息置备于公司住所，供社会公众查阅、复制</w:t>
      </w:r>
      <w:r>
        <w:rPr>
          <w:rFonts w:ascii="宋体" w:eastAsia="宋体"/>
          <w:color w:val="auto"/>
          <w:sz w:val="21"/>
          <w:szCs w:val="21"/>
        </w:rPr>
        <w:t>。基金管理人和基金托管人应保证文本的内容与所公告的内容完全一致。</w:t>
      </w:r>
    </w:p>
    <w:p w:rsidR="005A0C12" w:rsidRDefault="00404031">
      <w:pPr>
        <w:adjustRightInd w:val="0"/>
        <w:snapToGrid w:val="0"/>
        <w:spacing w:before="100" w:beforeAutospacing="1" w:after="100" w:afterAutospacing="1" w:line="400" w:lineRule="exact"/>
        <w:ind w:firstLineChars="200" w:firstLine="420"/>
        <w:rPr>
          <w:rFonts w:ascii="宋体" w:hAnsi="宋体"/>
          <w:szCs w:val="21"/>
        </w:rPr>
      </w:pPr>
      <w:r>
        <w:rPr>
          <w:rFonts w:ascii="宋体" w:hAnsi="宋体"/>
          <w:szCs w:val="21"/>
        </w:rPr>
        <w:t>6、对于因不可抗力等原因导致基金信息的暂停或延迟披露的（如暂停披露基金净值</w:t>
      </w:r>
      <w:r>
        <w:rPr>
          <w:rFonts w:ascii="宋体" w:hAnsi="宋体" w:hint="eastAsia"/>
          <w:szCs w:val="21"/>
        </w:rPr>
        <w:t>信息</w:t>
      </w:r>
      <w:r>
        <w:rPr>
          <w:rFonts w:ascii="宋体" w:hAnsi="宋体"/>
          <w:szCs w:val="21"/>
        </w:rPr>
        <w:t>），基金管理人应及时向中国证监会报告，并与基金托管人协商采取补救措施。不可抗力等情形消失后，基金管理人和基金托管人应及时恢复办理信息披露。</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（三）基金托管人报告</w:t>
      </w:r>
    </w:p>
    <w:p w:rsidR="005A0C12" w:rsidRDefault="00404031">
      <w:pPr>
        <w:autoSpaceDE w:val="0"/>
        <w:autoSpaceDN w:val="0"/>
        <w:adjustRightInd w:val="0"/>
        <w:spacing w:line="400" w:lineRule="exact"/>
        <w:ind w:firstLine="560"/>
        <w:jc w:val="left"/>
        <w:rPr>
          <w:color w:val="000000"/>
          <w:kern w:val="0"/>
          <w:szCs w:val="21"/>
        </w:rPr>
      </w:pPr>
      <w:r>
        <w:rPr>
          <w:color w:val="000000"/>
          <w:kern w:val="0"/>
          <w:szCs w:val="21"/>
        </w:rPr>
        <w:t>基金托管人应按《基金法》、《运作办法》、《信息披露办法》和其他有关法律法规的规定</w:t>
      </w:r>
      <w:r>
        <w:rPr>
          <w:rFonts w:ascii="宋体" w:cs="方正仿宋简体" w:hint="eastAsia"/>
          <w:szCs w:val="21"/>
        </w:rPr>
        <w:t>于每个上半年度结束后两个月内、每个会计年度结束后三个月</w:t>
      </w:r>
      <w:proofErr w:type="gramStart"/>
      <w:r>
        <w:rPr>
          <w:rFonts w:ascii="宋体" w:cs="方正仿宋简体" w:hint="eastAsia"/>
          <w:szCs w:val="21"/>
        </w:rPr>
        <w:t>内在基金</w:t>
      </w:r>
      <w:proofErr w:type="gramEnd"/>
      <w:r>
        <w:rPr>
          <w:rFonts w:ascii="宋体" w:cs="方正仿宋简体" w:hint="eastAsia"/>
          <w:szCs w:val="21"/>
        </w:rPr>
        <w:t>中期报告及年度报告中分别</w:t>
      </w:r>
      <w:r>
        <w:rPr>
          <w:color w:val="000000"/>
          <w:kern w:val="0"/>
          <w:szCs w:val="21"/>
        </w:rPr>
        <w:t>出具托管人报告。</w:t>
      </w:r>
    </w:p>
    <w:p w:rsidR="005A0C12" w:rsidRDefault="005A0C12">
      <w:pPr>
        <w:autoSpaceDE w:val="0"/>
        <w:autoSpaceDN w:val="0"/>
        <w:adjustRightInd w:val="0"/>
        <w:spacing w:line="400" w:lineRule="exact"/>
        <w:ind w:firstLine="560"/>
        <w:jc w:val="left"/>
        <w:rPr>
          <w:color w:val="000000"/>
          <w:kern w:val="0"/>
        </w:rPr>
      </w:pPr>
    </w:p>
    <w:p w:rsidR="005A0C12" w:rsidRDefault="00404031">
      <w:pPr>
        <w:pStyle w:val="1"/>
        <w:spacing w:before="100" w:beforeAutospacing="1" w:after="100" w:afterAutospacing="1" w:line="400" w:lineRule="exact"/>
        <w:ind w:firstLine="422"/>
        <w:rPr>
          <w:rFonts w:ascii="宋体" w:hAnsi="宋体"/>
          <w:kern w:val="2"/>
          <w:sz w:val="21"/>
        </w:rPr>
      </w:pPr>
      <w:bookmarkStart w:id="27" w:name="_Toc116900106"/>
      <w:bookmarkStart w:id="28" w:name="_Toc71746701"/>
      <w:r>
        <w:rPr>
          <w:rFonts w:ascii="宋体" w:hAnsi="宋体"/>
          <w:kern w:val="2"/>
          <w:sz w:val="21"/>
        </w:rPr>
        <w:t>十一、基金费用</w:t>
      </w:r>
      <w:bookmarkEnd w:id="28"/>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（一）</w:t>
      </w:r>
      <w:r>
        <w:rPr>
          <w:rFonts w:asciiTheme="minorEastAsia" w:eastAsiaTheme="minorEastAsia" w:hAnsiTheme="minorEastAsia"/>
          <w:bCs/>
          <w:szCs w:val="21"/>
        </w:rPr>
        <w:t>基金管理人的管理费</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本基金的管理费按前一日基金资产净值的</w:t>
      </w:r>
      <w:r>
        <w:rPr>
          <w:rFonts w:asciiTheme="minorEastAsia" w:eastAsiaTheme="minorEastAsia" w:hAnsiTheme="minorEastAsia"/>
          <w:bCs/>
          <w:szCs w:val="21"/>
        </w:rPr>
        <w:t>1.50</w:t>
      </w:r>
      <w:r>
        <w:rPr>
          <w:rFonts w:asciiTheme="minorEastAsia" w:eastAsiaTheme="minorEastAsia" w:hAnsiTheme="minorEastAsia" w:hint="eastAsia"/>
          <w:bCs/>
          <w:szCs w:val="21"/>
        </w:rPr>
        <w:t>%年费率计提。管理费的计算方法如下：</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H＝E×</w:t>
      </w:r>
      <w:r>
        <w:rPr>
          <w:rFonts w:asciiTheme="minorEastAsia" w:eastAsiaTheme="minorEastAsia" w:hAnsiTheme="minorEastAsia"/>
          <w:bCs/>
          <w:szCs w:val="21"/>
        </w:rPr>
        <w:t>1.50</w:t>
      </w:r>
      <w:r>
        <w:rPr>
          <w:rFonts w:asciiTheme="minorEastAsia" w:eastAsiaTheme="minorEastAsia" w:hAnsiTheme="minorEastAsia" w:hint="eastAsia"/>
          <w:bCs/>
          <w:szCs w:val="21"/>
        </w:rPr>
        <w:t>%÷当年天数</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H为每日应计提的基金管理费</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E为前一日的基金资产净值</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基金管理费每日计算，逐日累计至每月月末，按月支付，经基金管理人与基金托管人双方核对无误后，由基金托管人按照与基金管理人协商一致的方式，自动于月初</w:t>
      </w:r>
      <w:r>
        <w:rPr>
          <w:rFonts w:asciiTheme="minorEastAsia" w:eastAsiaTheme="minorEastAsia" w:hAnsiTheme="minorEastAsia"/>
          <w:bCs/>
          <w:szCs w:val="21"/>
        </w:rPr>
        <w:t>5</w:t>
      </w:r>
      <w:proofErr w:type="gramStart"/>
      <w:r>
        <w:rPr>
          <w:rFonts w:asciiTheme="minorEastAsia" w:eastAsiaTheme="minorEastAsia" w:hAnsiTheme="minorEastAsia"/>
          <w:bCs/>
          <w:szCs w:val="21"/>
        </w:rPr>
        <w:t>个</w:t>
      </w:r>
      <w:proofErr w:type="gramEnd"/>
      <w:r>
        <w:rPr>
          <w:rFonts w:asciiTheme="minorEastAsia" w:eastAsiaTheme="minorEastAsia" w:hAnsiTheme="minorEastAsia"/>
          <w:bCs/>
          <w:szCs w:val="21"/>
        </w:rPr>
        <w:t>工作日内按照指定的账户路径进行资金支付，基金管理人无需再出具资金划拨指令。若遇法定节假日、休息日或不可抗力等，支付日期顺延至最近可支付日支付。</w:t>
      </w:r>
      <w:r>
        <w:rPr>
          <w:rFonts w:asciiTheme="minorEastAsia" w:eastAsiaTheme="minorEastAsia" w:hAnsiTheme="minorEastAsia" w:hint="eastAsia"/>
          <w:bCs/>
          <w:szCs w:val="21"/>
        </w:rPr>
        <w:t>费用自动扣划后，基金管理人应进行核对，如发现数据不符，及时联系基金托管人协商解决。</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（二）</w:t>
      </w:r>
      <w:r>
        <w:rPr>
          <w:rFonts w:asciiTheme="minorEastAsia" w:eastAsiaTheme="minorEastAsia" w:hAnsiTheme="minorEastAsia"/>
          <w:bCs/>
          <w:szCs w:val="21"/>
        </w:rPr>
        <w:t>基金托管人的托管费</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本基金的托管费按前一日基金资产净值的0.2</w:t>
      </w:r>
      <w:r>
        <w:rPr>
          <w:rFonts w:asciiTheme="minorEastAsia" w:eastAsiaTheme="minorEastAsia" w:hAnsiTheme="minorEastAsia"/>
          <w:bCs/>
          <w:szCs w:val="21"/>
        </w:rPr>
        <w:t>5</w:t>
      </w:r>
      <w:r>
        <w:rPr>
          <w:rFonts w:asciiTheme="minorEastAsia" w:eastAsiaTheme="minorEastAsia" w:hAnsiTheme="minorEastAsia" w:hint="eastAsia"/>
          <w:bCs/>
          <w:szCs w:val="21"/>
        </w:rPr>
        <w:t>%年费率计提。托管费的计算方法如下：</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H＝E×0.2</w:t>
      </w:r>
      <w:r>
        <w:rPr>
          <w:rFonts w:asciiTheme="minorEastAsia" w:eastAsiaTheme="minorEastAsia" w:hAnsiTheme="minorEastAsia"/>
          <w:bCs/>
          <w:szCs w:val="21"/>
        </w:rPr>
        <w:t>5</w:t>
      </w:r>
      <w:r>
        <w:rPr>
          <w:rFonts w:asciiTheme="minorEastAsia" w:eastAsiaTheme="minorEastAsia" w:hAnsiTheme="minorEastAsia" w:hint="eastAsia"/>
          <w:bCs/>
          <w:szCs w:val="21"/>
        </w:rPr>
        <w:t>%÷当年天数</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H为每日应计提的基金托管费</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E为前一日的基金资产净值</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基金托管费每日计算，逐日累计至每月月末，按月支付，由基金托管人根据与基金管理人核对一致的财务数据，自动在月初</w:t>
      </w:r>
      <w:r>
        <w:rPr>
          <w:rFonts w:asciiTheme="minorEastAsia" w:eastAsiaTheme="minorEastAsia" w:hAnsiTheme="minorEastAsia"/>
          <w:bCs/>
          <w:szCs w:val="21"/>
        </w:rPr>
        <w:t>5</w:t>
      </w:r>
      <w:proofErr w:type="gramStart"/>
      <w:r>
        <w:rPr>
          <w:rFonts w:asciiTheme="minorEastAsia" w:eastAsiaTheme="minorEastAsia" w:hAnsiTheme="minorEastAsia"/>
          <w:bCs/>
          <w:szCs w:val="21"/>
        </w:rPr>
        <w:t>个</w:t>
      </w:r>
      <w:proofErr w:type="gramEnd"/>
      <w:r>
        <w:rPr>
          <w:rFonts w:asciiTheme="minorEastAsia" w:eastAsiaTheme="minorEastAsia" w:hAnsiTheme="minorEastAsia"/>
          <w:bCs/>
          <w:szCs w:val="21"/>
        </w:rPr>
        <w:t>工作日内、按照指定的账户路径进行资金支付，基金管理人无需再出具资金划拨指令。若遇法定节假日、休息日或不可抗力等，支付日期顺延。</w:t>
      </w:r>
      <w:r>
        <w:rPr>
          <w:rFonts w:asciiTheme="minorEastAsia" w:eastAsiaTheme="minorEastAsia" w:hAnsiTheme="minorEastAsia" w:hint="eastAsia"/>
          <w:bCs/>
          <w:szCs w:val="21"/>
        </w:rPr>
        <w:t>费用自动扣划后，基金管理人应进行核对，如发现数据不符，及时联系基金托管人协商解决。</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szCs w:val="21"/>
        </w:rPr>
        <w:t>（三）</w:t>
      </w:r>
      <w:r>
        <w:rPr>
          <w:rFonts w:asciiTheme="minorEastAsia" w:eastAsiaTheme="minorEastAsia" w:hAnsiTheme="minorEastAsia" w:hint="eastAsia"/>
          <w:bCs/>
          <w:szCs w:val="21"/>
        </w:rPr>
        <w:t>基金的销售服务费</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本基金A类基金份额不收取销售服务费，C类基金份额的销售服务费年费率为0.50%，按前一日C类基金份额的基金资产净值的0.50%年费率计提。</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销售服务费的计算方法如下：</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H＝E×0.50%÷当年天数</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H 为C类基金份额每日应计提的销售服务费</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E 为C类基金份额前一日基金资产净值</w:t>
      </w:r>
    </w:p>
    <w:p w:rsidR="005A0C12" w:rsidRDefault="0040403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lastRenderedPageBreak/>
        <w:t>销售服务费每日计算，逐日累计至每月月末，按月支付，经基金管理人和基金托管人双方核对无误后，基金托管人按照与基金管理人协商一致的方式于次月前</w:t>
      </w:r>
      <w:r>
        <w:rPr>
          <w:rFonts w:asciiTheme="minorEastAsia" w:eastAsiaTheme="minorEastAsia" w:hAnsiTheme="minorEastAsia"/>
          <w:bCs/>
          <w:szCs w:val="21"/>
        </w:rPr>
        <w:t>5个工作日内从基金财产中一次性划出，</w:t>
      </w:r>
      <w:r>
        <w:rPr>
          <w:rFonts w:asciiTheme="minorEastAsia" w:eastAsiaTheme="minorEastAsia" w:hAnsiTheme="minorEastAsia" w:hint="eastAsia"/>
          <w:bCs/>
          <w:szCs w:val="21"/>
        </w:rPr>
        <w:t>经登记机构分别支付给各个基金销售机构。若遇法定节假日、休息日或不可抗力等，支付日期顺延至最近可支付日支付。</w:t>
      </w:r>
    </w:p>
    <w:p w:rsidR="005A0C12" w:rsidRDefault="0040403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（四）从基金财产中列支基金管理人的管理费、基金托管人的托管费、基金的销售服务费之外的其他基金费用，应当依据有关法律法规、《基金合同》的规定执行。</w:t>
      </w:r>
    </w:p>
    <w:p w:rsidR="005A0C12" w:rsidRDefault="00404031">
      <w:pPr>
        <w:pStyle w:val="a6"/>
        <w:spacing w:before="100" w:beforeAutospacing="1" w:after="100" w:afterAutospacing="1"/>
        <w:ind w:firstLine="403"/>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（五）对于</w:t>
      </w:r>
      <w:r>
        <w:rPr>
          <w:rFonts w:asciiTheme="minorEastAsia" w:eastAsiaTheme="minorEastAsia" w:hAnsiTheme="minorEastAsia" w:cs="方正仿宋简体" w:hint="eastAsia"/>
          <w:sz w:val="21"/>
          <w:szCs w:val="21"/>
        </w:rPr>
        <w:t>违反法律法规、</w:t>
      </w:r>
      <w:r>
        <w:rPr>
          <w:rFonts w:asciiTheme="minorEastAsia" w:eastAsiaTheme="minorEastAsia" w:hAnsiTheme="minorEastAsia" w:hint="eastAsia"/>
          <w:color w:val="auto"/>
          <w:sz w:val="21"/>
          <w:szCs w:val="21"/>
        </w:rPr>
        <w:t>《基金合同》</w:t>
      </w:r>
      <w:r>
        <w:rPr>
          <w:rFonts w:asciiTheme="minorEastAsia" w:eastAsiaTheme="minorEastAsia" w:hAnsiTheme="minorEastAsia" w:cs="方正仿宋简体" w:hint="eastAsia"/>
          <w:sz w:val="21"/>
          <w:szCs w:val="21"/>
        </w:rPr>
        <w:t>、本协议及其他有关规定</w:t>
      </w:r>
      <w:r>
        <w:rPr>
          <w:rFonts w:asciiTheme="minorEastAsia" w:eastAsiaTheme="minorEastAsia" w:hAnsiTheme="minorEastAsia" w:hint="eastAsia"/>
          <w:color w:val="auto"/>
          <w:sz w:val="21"/>
          <w:szCs w:val="21"/>
        </w:rPr>
        <w:t>（包括基金费用的计提方法、计提标准、支付方式等）的基金费用，不得从任何基金财产中列支。</w:t>
      </w:r>
    </w:p>
    <w:p w:rsidR="005A0C12" w:rsidRDefault="00404031">
      <w:pPr>
        <w:pStyle w:val="a6"/>
        <w:spacing w:before="100" w:beforeAutospacing="1" w:after="100" w:afterAutospacing="1"/>
        <w:ind w:firstLine="403"/>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（六）本基金支付给基金管理人、基金托管人的各项费用均为含税价格，具体税率适用中国税务机关的相关规定。</w:t>
      </w:r>
      <w:bookmarkStart w:id="29" w:name="_Toc116900107"/>
      <w:bookmarkEnd w:id="27"/>
    </w:p>
    <w:p w:rsidR="005A0C12" w:rsidRDefault="005A0C12">
      <w:pPr>
        <w:rPr>
          <w:rFonts w:ascii="宋体" w:hAnsi="宋体" w:cs="方正仿宋简体"/>
          <w:b/>
          <w:color w:val="000000"/>
          <w:szCs w:val="21"/>
        </w:rPr>
      </w:pPr>
    </w:p>
    <w:p w:rsidR="005A0C12" w:rsidRDefault="00404031">
      <w:pPr>
        <w:pStyle w:val="1"/>
        <w:spacing w:before="100" w:beforeAutospacing="1" w:after="100" w:afterAutospacing="1" w:line="400" w:lineRule="exact"/>
        <w:ind w:firstLine="422"/>
        <w:rPr>
          <w:rFonts w:ascii="宋体" w:hAnsi="宋体" w:cs="方正仿宋简体"/>
          <w:color w:val="000000"/>
          <w:kern w:val="2"/>
          <w:sz w:val="21"/>
          <w:szCs w:val="21"/>
        </w:rPr>
      </w:pPr>
      <w:bookmarkStart w:id="30" w:name="_Toc71746702"/>
      <w:r>
        <w:rPr>
          <w:rFonts w:ascii="宋体" w:hAnsi="宋体" w:cs="方正仿宋简体"/>
          <w:color w:val="000000"/>
          <w:kern w:val="2"/>
          <w:sz w:val="21"/>
          <w:szCs w:val="21"/>
        </w:rPr>
        <w:t>十二、基金份额持有人名册的保管</w:t>
      </w:r>
      <w:bookmarkEnd w:id="30"/>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根据《基金法》及其他有关法律法规，基金份额持有人名册的编制及持续保管义务由登记结算机构承担。基金份额持有人名册的内容至少应包括基金份额持有人的名称和持有的基金份额。基金份额持有人名册由基金登记结算机构提供，基金管理人和基金托管人应分别保管基金份额持有人名册，保存期限不低于法律法规规定的最低年限。如不能妥善保管，则按相关法律法规规定承担责任。</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rPr>
        <w:t>在基金托管人要求或编制中期报告和年度报告前，基金管理人应将有关资料送交基金托管人，不得无故拒绝或延误提供，并保证其的真实性、准确性和完整性。基金托管人不得将所保管的基金份额持有人名册用于基金托管业务以外的其他用途，并应遵守保密义务。</w:t>
      </w:r>
    </w:p>
    <w:p w:rsidR="005A0C12" w:rsidRDefault="005A0C12">
      <w:pPr>
        <w:spacing w:before="100" w:beforeAutospacing="1" w:after="100" w:afterAutospacing="1" w:line="400" w:lineRule="exact"/>
        <w:rPr>
          <w:rFonts w:ascii="宋体" w:hAnsi="宋体"/>
          <w:color w:val="FF0000"/>
          <w:szCs w:val="21"/>
        </w:rPr>
      </w:pPr>
    </w:p>
    <w:p w:rsidR="005A0C12" w:rsidRDefault="00404031">
      <w:pPr>
        <w:pStyle w:val="1"/>
        <w:spacing w:before="100" w:beforeAutospacing="1" w:after="100" w:afterAutospacing="1" w:line="400" w:lineRule="exact"/>
        <w:ind w:firstLine="422"/>
        <w:rPr>
          <w:rFonts w:ascii="宋体" w:hAnsi="宋体"/>
          <w:sz w:val="21"/>
          <w:szCs w:val="21"/>
        </w:rPr>
      </w:pPr>
      <w:bookmarkStart w:id="31" w:name="_Toc71746703"/>
      <w:r>
        <w:rPr>
          <w:rFonts w:ascii="宋体" w:hAnsi="宋体"/>
          <w:sz w:val="21"/>
          <w:szCs w:val="21"/>
        </w:rPr>
        <w:t>十三、基金有关文件档案的保存</w:t>
      </w:r>
      <w:bookmarkEnd w:id="31"/>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（一）基金管理人应保存基金财产管理业务活动的记录、账册、报表和其他相关资料，基金托管人应保存基金托管业务活动的记录、账册、报表和其他相关资料，保存期限</w:t>
      </w:r>
      <w:r>
        <w:rPr>
          <w:rFonts w:ascii="宋体" w:eastAsia="宋体" w:hint="eastAsia"/>
          <w:color w:val="auto"/>
          <w:sz w:val="21"/>
          <w:szCs w:val="21"/>
        </w:rPr>
        <w:t>不低于法律法规规定的最低年限</w:t>
      </w:r>
      <w:r>
        <w:rPr>
          <w:rFonts w:ascii="宋体" w:eastAsia="宋体"/>
          <w:color w:val="auto"/>
          <w:sz w:val="21"/>
          <w:szCs w:val="21"/>
        </w:rPr>
        <w:t>。</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（二）基金管理人和基金托管人应按本协议第十条的约定对各自保存的文件和档案履行保密义务。</w:t>
      </w:r>
    </w:p>
    <w:p w:rsidR="005A0C12" w:rsidRDefault="005A0C12">
      <w:pPr>
        <w:spacing w:before="100" w:beforeAutospacing="1" w:after="100" w:afterAutospacing="1" w:line="400" w:lineRule="exact"/>
        <w:rPr>
          <w:rFonts w:ascii="宋体" w:hAnsi="宋体"/>
          <w:szCs w:val="21"/>
        </w:rPr>
      </w:pPr>
    </w:p>
    <w:p w:rsidR="005A0C12" w:rsidRDefault="00404031">
      <w:pPr>
        <w:pStyle w:val="1"/>
        <w:spacing w:before="100" w:beforeAutospacing="1" w:after="100" w:afterAutospacing="1" w:line="400" w:lineRule="exact"/>
        <w:ind w:firstLine="422"/>
        <w:rPr>
          <w:rFonts w:ascii="宋体" w:hAnsi="宋体"/>
          <w:sz w:val="21"/>
          <w:szCs w:val="21"/>
        </w:rPr>
      </w:pPr>
      <w:bookmarkStart w:id="32" w:name="_Toc71746704"/>
      <w:r>
        <w:rPr>
          <w:rFonts w:ascii="宋体" w:hAnsi="宋体"/>
          <w:kern w:val="2"/>
          <w:sz w:val="21"/>
          <w:szCs w:val="21"/>
        </w:rPr>
        <w:t>十四、</w:t>
      </w:r>
      <w:bookmarkStart w:id="33" w:name="_Toc116900108"/>
      <w:bookmarkEnd w:id="29"/>
      <w:r>
        <w:rPr>
          <w:rFonts w:ascii="宋体" w:hAnsi="宋体"/>
          <w:kern w:val="2"/>
          <w:sz w:val="21"/>
          <w:szCs w:val="21"/>
        </w:rPr>
        <w:t>基金托管人和基金管理人的更换</w:t>
      </w:r>
      <w:bookmarkEnd w:id="32"/>
      <w:bookmarkEnd w:id="33"/>
      <w:r>
        <w:rPr>
          <w:rFonts w:ascii="宋体" w:hAnsi="宋体" w:hint="eastAsia"/>
          <w:sz w:val="21"/>
          <w:szCs w:val="21"/>
        </w:rPr>
        <w:t xml:space="preserve"> </w:t>
      </w:r>
    </w:p>
    <w:p w:rsidR="005A0C12" w:rsidRDefault="00404031">
      <w:pPr>
        <w:spacing w:before="100" w:beforeAutospacing="1" w:after="100" w:afterAutospacing="1" w:line="400" w:lineRule="exact"/>
        <w:ind w:firstLine="420"/>
        <w:rPr>
          <w:rFonts w:ascii="宋体" w:hAnsi="宋体"/>
          <w:kern w:val="0"/>
          <w:szCs w:val="21"/>
        </w:rPr>
      </w:pPr>
      <w:r>
        <w:rPr>
          <w:rFonts w:ascii="宋体" w:hAnsi="宋体"/>
          <w:szCs w:val="21"/>
        </w:rPr>
        <w:t>（一）</w:t>
      </w:r>
      <w:r>
        <w:rPr>
          <w:rFonts w:ascii="宋体" w:hAnsi="宋体"/>
          <w:kern w:val="0"/>
          <w:szCs w:val="21"/>
        </w:rPr>
        <w:t>基金管理人职责终止后，仍应妥善保管基金管理业务资料，并与</w:t>
      </w:r>
      <w:proofErr w:type="gramStart"/>
      <w:r>
        <w:rPr>
          <w:rFonts w:ascii="宋体" w:hAnsi="宋体"/>
          <w:kern w:val="0"/>
          <w:szCs w:val="21"/>
        </w:rPr>
        <w:t>新任基金</w:t>
      </w:r>
      <w:proofErr w:type="gramEnd"/>
      <w:r>
        <w:rPr>
          <w:rFonts w:ascii="宋体" w:hAnsi="宋体"/>
          <w:kern w:val="0"/>
          <w:szCs w:val="21"/>
        </w:rPr>
        <w:t>管理人或临时基金管理人及时办理基金管理业务的移交手续。基金托管人应给予积极配合，并与</w:t>
      </w:r>
      <w:proofErr w:type="gramStart"/>
      <w:r>
        <w:rPr>
          <w:rFonts w:ascii="宋体" w:hAnsi="宋体" w:hint="eastAsia"/>
          <w:kern w:val="0"/>
          <w:szCs w:val="21"/>
        </w:rPr>
        <w:t>新任</w:t>
      </w:r>
      <w:r>
        <w:rPr>
          <w:rFonts w:ascii="宋体" w:hAnsi="宋体"/>
          <w:kern w:val="0"/>
          <w:szCs w:val="21"/>
        </w:rPr>
        <w:t>基金</w:t>
      </w:r>
      <w:proofErr w:type="gramEnd"/>
      <w:r>
        <w:rPr>
          <w:rFonts w:ascii="宋体" w:hAnsi="宋体"/>
          <w:kern w:val="0"/>
          <w:szCs w:val="21"/>
        </w:rPr>
        <w:t>管理人或临时基金管理人核对基金资产总值和净值。</w:t>
      </w:r>
    </w:p>
    <w:p w:rsidR="005A0C12" w:rsidRDefault="00404031">
      <w:pPr>
        <w:spacing w:before="100" w:beforeAutospacing="1" w:after="100" w:afterAutospacing="1" w:line="400" w:lineRule="exact"/>
        <w:ind w:firstLine="420"/>
        <w:rPr>
          <w:rFonts w:ascii="宋体" w:hAnsi="宋体"/>
          <w:kern w:val="0"/>
          <w:szCs w:val="21"/>
        </w:rPr>
      </w:pPr>
      <w:r>
        <w:rPr>
          <w:rFonts w:ascii="宋体" w:hAnsi="宋体"/>
          <w:szCs w:val="21"/>
        </w:rPr>
        <w:t>（二）</w:t>
      </w:r>
      <w:r>
        <w:rPr>
          <w:rFonts w:ascii="宋体" w:hAnsi="宋体"/>
          <w:kern w:val="0"/>
          <w:szCs w:val="21"/>
        </w:rPr>
        <w:t>基金托管人职责终止后，仍应妥善保管基金财产和基金托管业务资料，并与</w:t>
      </w:r>
      <w:proofErr w:type="gramStart"/>
      <w:r>
        <w:rPr>
          <w:rFonts w:ascii="宋体" w:hAnsi="宋体"/>
          <w:kern w:val="0"/>
          <w:szCs w:val="21"/>
        </w:rPr>
        <w:t>新任基金</w:t>
      </w:r>
      <w:proofErr w:type="gramEnd"/>
      <w:r>
        <w:rPr>
          <w:rFonts w:ascii="宋体" w:hAnsi="宋体"/>
          <w:kern w:val="0"/>
          <w:szCs w:val="21"/>
        </w:rPr>
        <w:t>托管人或临时基金托管人及时办理基金财产和基金托管业务的移交手续。基金管理人应给予积极配合，并与</w:t>
      </w:r>
      <w:proofErr w:type="gramStart"/>
      <w:r>
        <w:rPr>
          <w:rFonts w:ascii="宋体" w:hAnsi="宋体"/>
          <w:kern w:val="0"/>
          <w:szCs w:val="21"/>
        </w:rPr>
        <w:t>新任基金</w:t>
      </w:r>
      <w:proofErr w:type="gramEnd"/>
      <w:r>
        <w:rPr>
          <w:rFonts w:ascii="宋体" w:hAnsi="宋体"/>
          <w:kern w:val="0"/>
          <w:szCs w:val="21"/>
        </w:rPr>
        <w:t>托管人或临时基金托管人核对基金资产总值和净值。</w:t>
      </w:r>
    </w:p>
    <w:p w:rsidR="005A0C12" w:rsidRDefault="00404031">
      <w:pPr>
        <w:spacing w:before="100" w:beforeAutospacing="1" w:after="100" w:afterAutospacing="1" w:line="400" w:lineRule="exact"/>
        <w:ind w:firstLineChars="200" w:firstLine="420"/>
        <w:rPr>
          <w:rFonts w:ascii="宋体" w:hAnsi="宋体"/>
          <w:color w:val="000000"/>
          <w:kern w:val="0"/>
          <w:szCs w:val="21"/>
        </w:rPr>
      </w:pPr>
      <w:r>
        <w:rPr>
          <w:rFonts w:ascii="宋体" w:hAnsi="宋体"/>
          <w:color w:val="000000"/>
          <w:kern w:val="0"/>
          <w:szCs w:val="21"/>
        </w:rPr>
        <w:t>（三）其他事宜见《基金合同》的相关约定。</w:t>
      </w:r>
    </w:p>
    <w:p w:rsidR="005A0C12" w:rsidRDefault="005A0C12">
      <w:pPr>
        <w:spacing w:before="100" w:beforeAutospacing="1" w:after="100" w:afterAutospacing="1" w:line="400" w:lineRule="exact"/>
        <w:ind w:firstLineChars="200" w:firstLine="420"/>
        <w:rPr>
          <w:rFonts w:ascii="宋体" w:hAnsi="宋体"/>
          <w:color w:val="000000"/>
          <w:kern w:val="0"/>
          <w:szCs w:val="21"/>
        </w:rPr>
      </w:pPr>
    </w:p>
    <w:p w:rsidR="005A0C12" w:rsidRDefault="00404031">
      <w:pPr>
        <w:pStyle w:val="1"/>
        <w:spacing w:before="100" w:beforeAutospacing="1" w:after="100" w:afterAutospacing="1" w:line="400" w:lineRule="exact"/>
        <w:ind w:firstLine="422"/>
        <w:rPr>
          <w:rFonts w:ascii="宋体" w:hAnsi="宋体"/>
          <w:sz w:val="21"/>
          <w:szCs w:val="21"/>
        </w:rPr>
      </w:pPr>
      <w:bookmarkStart w:id="34" w:name="_Toc116900110"/>
      <w:bookmarkStart w:id="35" w:name="_Toc71746705"/>
      <w:r>
        <w:rPr>
          <w:rFonts w:ascii="宋体" w:hAnsi="宋体"/>
          <w:kern w:val="2"/>
          <w:sz w:val="21"/>
          <w:szCs w:val="21"/>
        </w:rPr>
        <w:t>十五、禁止行为</w:t>
      </w:r>
      <w:bookmarkEnd w:id="34"/>
      <w:bookmarkEnd w:id="35"/>
    </w:p>
    <w:p w:rsidR="005A0C12" w:rsidRDefault="00404031">
      <w:pPr>
        <w:adjustRightInd w:val="0"/>
        <w:snapToGrid w:val="0"/>
        <w:spacing w:before="100" w:beforeAutospacing="1" w:after="100" w:afterAutospacing="1" w:line="400" w:lineRule="exact"/>
        <w:ind w:firstLineChars="200" w:firstLine="420"/>
        <w:rPr>
          <w:rFonts w:ascii="宋体" w:hAnsi="宋体"/>
          <w:szCs w:val="21"/>
        </w:rPr>
      </w:pPr>
      <w:r>
        <w:rPr>
          <w:rFonts w:ascii="宋体" w:hAnsi="宋体"/>
          <w:szCs w:val="21"/>
        </w:rPr>
        <w:t>（一）《基金法》第二十条、第三十</w:t>
      </w:r>
      <w:r>
        <w:rPr>
          <w:rFonts w:ascii="宋体" w:hAnsi="宋体" w:hint="eastAsia"/>
          <w:szCs w:val="21"/>
        </w:rPr>
        <w:t>八</w:t>
      </w:r>
      <w:r>
        <w:rPr>
          <w:rFonts w:ascii="宋体" w:hAnsi="宋体"/>
          <w:szCs w:val="21"/>
        </w:rPr>
        <w:t>条禁止的行为。</w:t>
      </w:r>
    </w:p>
    <w:p w:rsidR="005A0C12" w:rsidRDefault="00404031">
      <w:pPr>
        <w:adjustRightInd w:val="0"/>
        <w:snapToGrid w:val="0"/>
        <w:spacing w:before="100" w:beforeAutospacing="1" w:after="100" w:afterAutospacing="1" w:line="400" w:lineRule="exact"/>
        <w:ind w:firstLineChars="200" w:firstLine="420"/>
        <w:rPr>
          <w:rFonts w:ascii="宋体" w:hAnsi="宋体"/>
          <w:color w:val="000000"/>
          <w:kern w:val="0"/>
          <w:szCs w:val="21"/>
        </w:rPr>
      </w:pPr>
      <w:r>
        <w:rPr>
          <w:rFonts w:ascii="宋体" w:hAnsi="宋体"/>
          <w:color w:val="000000"/>
          <w:kern w:val="0"/>
          <w:szCs w:val="21"/>
        </w:rPr>
        <w:t>（二）《基金法》第</w:t>
      </w:r>
      <w:r>
        <w:rPr>
          <w:rFonts w:ascii="宋体" w:hAnsi="宋体" w:hint="eastAsia"/>
          <w:color w:val="000000"/>
          <w:kern w:val="0"/>
          <w:szCs w:val="21"/>
        </w:rPr>
        <w:t>七十三</w:t>
      </w:r>
      <w:r>
        <w:rPr>
          <w:rFonts w:ascii="宋体" w:hAnsi="宋体"/>
          <w:color w:val="000000"/>
          <w:kern w:val="0"/>
          <w:szCs w:val="21"/>
        </w:rPr>
        <w:t>条</w:t>
      </w:r>
      <w:r>
        <w:rPr>
          <w:rFonts w:ascii="宋体" w:hAnsi="宋体" w:hint="eastAsia"/>
          <w:color w:val="000000"/>
          <w:kern w:val="0"/>
          <w:szCs w:val="21"/>
        </w:rPr>
        <w:t>第一款（一）、（二）、（三）、（五）、（六）、（七）项</w:t>
      </w:r>
      <w:r>
        <w:rPr>
          <w:rFonts w:ascii="宋体" w:hAnsi="宋体"/>
          <w:color w:val="000000"/>
          <w:kern w:val="0"/>
          <w:szCs w:val="21"/>
        </w:rPr>
        <w:t>禁止的投资或活动。</w:t>
      </w:r>
    </w:p>
    <w:p w:rsidR="005A0C12" w:rsidRDefault="00404031">
      <w:pPr>
        <w:adjustRightInd w:val="0"/>
        <w:snapToGrid w:val="0"/>
        <w:spacing w:before="100" w:beforeAutospacing="1" w:after="100" w:afterAutospacing="1" w:line="400" w:lineRule="exact"/>
        <w:ind w:firstLineChars="200" w:firstLine="420"/>
        <w:rPr>
          <w:rFonts w:ascii="宋体" w:hAnsi="宋体"/>
          <w:szCs w:val="21"/>
        </w:rPr>
      </w:pPr>
      <w:r>
        <w:rPr>
          <w:rFonts w:ascii="宋体" w:hAnsi="宋体"/>
          <w:szCs w:val="21"/>
        </w:rPr>
        <w:t>（三）除根据基金管理人的指令或《基金合同》、本协议另有规定外，基金托管人不得动用或处分基金财产。</w:t>
      </w:r>
    </w:p>
    <w:p w:rsidR="005A0C12" w:rsidRDefault="00404031">
      <w:pPr>
        <w:adjustRightInd w:val="0"/>
        <w:snapToGrid w:val="0"/>
        <w:spacing w:before="100" w:beforeAutospacing="1" w:after="100" w:afterAutospacing="1" w:line="400" w:lineRule="exact"/>
        <w:ind w:firstLineChars="200" w:firstLine="420"/>
        <w:rPr>
          <w:rFonts w:ascii="宋体" w:hAnsi="宋体"/>
          <w:szCs w:val="21"/>
        </w:rPr>
      </w:pPr>
      <w:r>
        <w:rPr>
          <w:rFonts w:ascii="宋体" w:hAnsi="宋体"/>
          <w:szCs w:val="21"/>
        </w:rPr>
        <w:t>（四）基金管理人、基金托管人的高级管理人员和其他从业人员不得相互兼职。</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（五）法律法规、《基金合同》和本协议禁止的其他行为。</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hint="eastAsia"/>
          <w:kern w:val="0"/>
          <w:sz w:val="21"/>
          <w:szCs w:val="21"/>
        </w:rPr>
        <w:t>法律法规或监管部门调整上述限制的，本基金从其规定。</w:t>
      </w:r>
    </w:p>
    <w:p w:rsidR="005A0C12" w:rsidRDefault="005A0C12">
      <w:pPr>
        <w:pStyle w:val="a6"/>
        <w:spacing w:before="100" w:beforeAutospacing="1" w:after="100" w:afterAutospacing="1"/>
        <w:ind w:firstLineChars="0" w:firstLine="0"/>
        <w:rPr>
          <w:rFonts w:ascii="宋体" w:eastAsia="宋体"/>
          <w:kern w:val="0"/>
          <w:sz w:val="21"/>
          <w:szCs w:val="21"/>
        </w:rPr>
      </w:pPr>
    </w:p>
    <w:p w:rsidR="005A0C12" w:rsidRDefault="00404031">
      <w:pPr>
        <w:pStyle w:val="1"/>
        <w:spacing w:before="100" w:beforeAutospacing="1" w:after="100" w:afterAutospacing="1" w:line="400" w:lineRule="exact"/>
        <w:ind w:firstLine="422"/>
        <w:rPr>
          <w:color w:val="000000"/>
          <w:kern w:val="0"/>
          <w:sz w:val="18"/>
        </w:rPr>
      </w:pPr>
      <w:bookmarkStart w:id="36" w:name="_Toc116900111"/>
      <w:bookmarkStart w:id="37" w:name="_Toc71746706"/>
      <w:r>
        <w:rPr>
          <w:rFonts w:ascii="宋体" w:hAnsi="宋体"/>
          <w:kern w:val="2"/>
          <w:sz w:val="21"/>
          <w:szCs w:val="21"/>
        </w:rPr>
        <w:t>十六、托管协议的变更、终止与基金财产的清算</w:t>
      </w:r>
      <w:bookmarkEnd w:id="37"/>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（一）托管协议的变更</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本协议双方当事人经协商一致，可以对协议进行变更。变更后的新协议，其内容不得</w:t>
      </w:r>
      <w:r>
        <w:rPr>
          <w:rFonts w:ascii="宋体" w:eastAsia="宋体"/>
          <w:color w:val="auto"/>
          <w:sz w:val="21"/>
          <w:szCs w:val="21"/>
        </w:rPr>
        <w:lastRenderedPageBreak/>
        <w:t>与《基金合同》的规定有任何冲突。</w:t>
      </w:r>
      <w:r>
        <w:rPr>
          <w:rFonts w:ascii="宋体" w:eastAsia="宋体" w:hint="eastAsia"/>
          <w:color w:val="auto"/>
          <w:sz w:val="21"/>
          <w:szCs w:val="21"/>
        </w:rPr>
        <w:t>变更后的新协议须报中国证监会备案。本协议约定事项如与法律法规、《基金合同》的规定相冲突的，应以法律法规及《基金合同》的规定为准。</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（二）托管协议的终止</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发生以下情况</w:t>
      </w:r>
      <w:r>
        <w:rPr>
          <w:rFonts w:ascii="宋体" w:eastAsia="宋体" w:hint="eastAsia"/>
          <w:color w:val="auto"/>
          <w:sz w:val="21"/>
          <w:szCs w:val="21"/>
        </w:rPr>
        <w:t>，经履行适当程序后</w:t>
      </w:r>
      <w:r>
        <w:rPr>
          <w:rFonts w:ascii="宋体" w:eastAsia="宋体"/>
          <w:color w:val="auto"/>
          <w:sz w:val="21"/>
          <w:szCs w:val="21"/>
        </w:rPr>
        <w:t>本托管协议应当终止：</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1、《基金合同》终止；</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2、本基金更换基金托管人；</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3、本基金更换基金管理人；</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4、发生《基金法》、《运作办法》或其他法律法规规定</w:t>
      </w:r>
      <w:r>
        <w:rPr>
          <w:rFonts w:ascii="宋体" w:eastAsia="宋体" w:hint="eastAsia"/>
          <w:color w:val="auto"/>
          <w:sz w:val="21"/>
          <w:szCs w:val="21"/>
        </w:rPr>
        <w:t>、中国证监会</w:t>
      </w:r>
      <w:r>
        <w:rPr>
          <w:rFonts w:ascii="宋体" w:eastAsia="宋体"/>
          <w:color w:val="auto"/>
          <w:sz w:val="21"/>
          <w:szCs w:val="21"/>
        </w:rPr>
        <w:t>规定</w:t>
      </w:r>
      <w:r>
        <w:rPr>
          <w:rFonts w:ascii="宋体" w:eastAsia="宋体" w:hint="eastAsia"/>
          <w:color w:val="auto"/>
          <w:sz w:val="21"/>
          <w:szCs w:val="21"/>
        </w:rPr>
        <w:t>或《基金合同》约定</w:t>
      </w:r>
      <w:r>
        <w:rPr>
          <w:rFonts w:ascii="宋体" w:eastAsia="宋体"/>
          <w:color w:val="auto"/>
          <w:sz w:val="21"/>
          <w:szCs w:val="21"/>
        </w:rPr>
        <w:t>的终止事项。</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（三）基金财产的清算</w:t>
      </w:r>
    </w:p>
    <w:p w:rsidR="005A0C12" w:rsidRDefault="00404031">
      <w:pPr>
        <w:spacing w:before="100" w:beforeAutospacing="1" w:after="100" w:afterAutospacing="1" w:line="400" w:lineRule="exact"/>
        <w:ind w:firstLine="420"/>
        <w:rPr>
          <w:rFonts w:ascii="宋体" w:hAnsi="宋体"/>
          <w:bCs/>
          <w:color w:val="000000"/>
          <w:kern w:val="0"/>
          <w:szCs w:val="21"/>
        </w:rPr>
      </w:pPr>
      <w:r>
        <w:rPr>
          <w:rFonts w:ascii="宋体" w:hAnsi="宋体"/>
          <w:color w:val="000000"/>
          <w:kern w:val="0"/>
          <w:szCs w:val="21"/>
        </w:rPr>
        <w:t>基金管理人和基金托管人应按照《基金合同》及有关法律法规的规定对本基金的财产</w:t>
      </w:r>
      <w:r>
        <w:rPr>
          <w:rFonts w:ascii="宋体" w:hAnsi="宋体" w:hint="eastAsia"/>
          <w:color w:val="000000"/>
          <w:kern w:val="0"/>
          <w:szCs w:val="21"/>
        </w:rPr>
        <w:t>进行</w:t>
      </w:r>
      <w:r>
        <w:rPr>
          <w:rFonts w:ascii="宋体" w:hAnsi="宋体"/>
          <w:color w:val="000000"/>
          <w:kern w:val="0"/>
          <w:szCs w:val="21"/>
        </w:rPr>
        <w:t>清算。</w:t>
      </w:r>
    </w:p>
    <w:p w:rsidR="005A0C12" w:rsidRDefault="005A0C12">
      <w:pPr>
        <w:spacing w:before="100" w:beforeAutospacing="1" w:after="100" w:afterAutospacing="1" w:line="400" w:lineRule="exact"/>
        <w:ind w:firstLineChars="214" w:firstLine="449"/>
        <w:rPr>
          <w:rFonts w:ascii="宋体" w:hAnsi="宋体"/>
          <w:color w:val="000000"/>
          <w:kern w:val="0"/>
          <w:szCs w:val="21"/>
        </w:rPr>
      </w:pPr>
    </w:p>
    <w:p w:rsidR="005A0C12" w:rsidRDefault="00404031">
      <w:pPr>
        <w:pStyle w:val="1"/>
        <w:spacing w:before="100" w:beforeAutospacing="1" w:after="100" w:afterAutospacing="1" w:line="400" w:lineRule="exact"/>
        <w:ind w:firstLine="422"/>
        <w:rPr>
          <w:rFonts w:ascii="宋体" w:hAnsi="宋体"/>
          <w:sz w:val="21"/>
          <w:szCs w:val="21"/>
        </w:rPr>
      </w:pPr>
      <w:bookmarkStart w:id="38" w:name="_Toc71746707"/>
      <w:r>
        <w:rPr>
          <w:rFonts w:ascii="宋体" w:hAnsi="宋体"/>
          <w:sz w:val="21"/>
          <w:szCs w:val="21"/>
        </w:rPr>
        <w:t>十七、违约责任和责任划分</w:t>
      </w:r>
      <w:bookmarkEnd w:id="36"/>
      <w:bookmarkEnd w:id="38"/>
    </w:p>
    <w:p w:rsidR="005A0C12" w:rsidRDefault="00404031">
      <w:pPr>
        <w:adjustRightInd w:val="0"/>
        <w:snapToGrid w:val="0"/>
        <w:spacing w:before="100" w:beforeAutospacing="1" w:after="100" w:afterAutospacing="1" w:line="400" w:lineRule="exact"/>
        <w:ind w:firstLineChars="200" w:firstLine="420"/>
        <w:rPr>
          <w:rFonts w:ascii="宋体" w:hAnsi="宋体"/>
          <w:szCs w:val="21"/>
        </w:rPr>
      </w:pPr>
      <w:r>
        <w:rPr>
          <w:rFonts w:ascii="宋体" w:hAnsi="宋体"/>
          <w:szCs w:val="21"/>
        </w:rPr>
        <w:t>（一）本协议当事人不履行本协议或履行本协议不符合约定的，应当承担违约责任。</w:t>
      </w:r>
    </w:p>
    <w:p w:rsidR="005A0C12" w:rsidRDefault="00404031">
      <w:pPr>
        <w:adjustRightInd w:val="0"/>
        <w:snapToGrid w:val="0"/>
        <w:spacing w:before="100" w:beforeAutospacing="1" w:after="100" w:afterAutospacing="1" w:line="400" w:lineRule="exact"/>
        <w:ind w:firstLineChars="200" w:firstLine="420"/>
        <w:rPr>
          <w:rFonts w:ascii="宋体" w:hAnsi="宋体"/>
          <w:szCs w:val="21"/>
        </w:rPr>
      </w:pPr>
      <w:r>
        <w:rPr>
          <w:rFonts w:ascii="宋体" w:hAnsi="宋体"/>
          <w:szCs w:val="21"/>
        </w:rPr>
        <w:t>（二）因本协议当事人违约给基金财产或者基金份额持有人造成损害的，应当分别对</w:t>
      </w:r>
      <w:r>
        <w:rPr>
          <w:rFonts w:ascii="宋体" w:hAnsi="宋体" w:cs="方正仿宋简体" w:hint="eastAsia"/>
          <w:szCs w:val="21"/>
        </w:rPr>
        <w:t>各自</w:t>
      </w:r>
      <w:r>
        <w:rPr>
          <w:rFonts w:ascii="宋体" w:hAnsi="宋体"/>
          <w:szCs w:val="21"/>
        </w:rPr>
        <w:t>的行为依法承担赔偿责任，因共同行为给基金财产或者基金份额持有人造成损害的，应当承担连带赔偿责任。</w:t>
      </w:r>
      <w:r>
        <w:rPr>
          <w:rFonts w:ascii="宋体" w:hAnsi="宋体" w:hint="eastAsia"/>
          <w:szCs w:val="21"/>
        </w:rPr>
        <w:t>对损失的赔偿，仅限于直接损失。但是发生下列情况之一的，相应的当事人应当免责：</w:t>
      </w:r>
    </w:p>
    <w:p w:rsidR="005A0C12" w:rsidRDefault="00404031">
      <w:pPr>
        <w:adjustRightInd w:val="0"/>
        <w:snapToGrid w:val="0"/>
        <w:spacing w:before="100" w:beforeAutospacing="1" w:after="100" w:afterAutospacing="1" w:line="400" w:lineRule="exact"/>
        <w:ind w:firstLineChars="200" w:firstLine="420"/>
        <w:rPr>
          <w:rFonts w:ascii="宋体" w:hAnsi="宋体"/>
          <w:szCs w:val="21"/>
        </w:rPr>
      </w:pPr>
      <w:r>
        <w:rPr>
          <w:rFonts w:ascii="宋体" w:hAnsi="宋体" w:hint="eastAsia"/>
          <w:szCs w:val="21"/>
        </w:rPr>
        <w:t>1、不可抗力；</w:t>
      </w:r>
    </w:p>
    <w:p w:rsidR="005A0C12" w:rsidRDefault="00404031">
      <w:pPr>
        <w:adjustRightInd w:val="0"/>
        <w:snapToGrid w:val="0"/>
        <w:spacing w:before="100" w:beforeAutospacing="1" w:after="100" w:afterAutospacing="1" w:line="400" w:lineRule="exact"/>
        <w:ind w:firstLineChars="200" w:firstLine="420"/>
        <w:rPr>
          <w:rFonts w:ascii="宋体" w:hAnsi="宋体"/>
          <w:szCs w:val="21"/>
        </w:rPr>
      </w:pPr>
      <w:r>
        <w:rPr>
          <w:rFonts w:ascii="宋体" w:hAnsi="宋体" w:hint="eastAsia"/>
          <w:szCs w:val="21"/>
        </w:rPr>
        <w:t>2、基金管理人和/或基金托管人按照当时有效的法律法规或中国证监会的规定作为或不作为而造成的损失等；</w:t>
      </w:r>
    </w:p>
    <w:p w:rsidR="005A0C12" w:rsidRDefault="00404031">
      <w:pPr>
        <w:adjustRightInd w:val="0"/>
        <w:snapToGrid w:val="0"/>
        <w:spacing w:before="100" w:beforeAutospacing="1" w:after="100" w:afterAutospacing="1" w:line="400" w:lineRule="exact"/>
        <w:ind w:firstLineChars="200" w:firstLine="420"/>
        <w:rPr>
          <w:rFonts w:ascii="宋体" w:hAnsi="宋体"/>
          <w:szCs w:val="21"/>
        </w:rPr>
      </w:pPr>
      <w:r>
        <w:rPr>
          <w:rFonts w:ascii="宋体" w:hAnsi="宋体" w:hint="eastAsia"/>
          <w:szCs w:val="21"/>
        </w:rPr>
        <w:t>3、基金管理人由于按照《基金合同》规定的投资原则而行使或不行使其投资权而造成的损失等；</w:t>
      </w:r>
    </w:p>
    <w:p w:rsidR="005A0C12" w:rsidRDefault="00404031">
      <w:pPr>
        <w:adjustRightInd w:val="0"/>
        <w:snapToGrid w:val="0"/>
        <w:spacing w:before="100" w:beforeAutospacing="1" w:after="100" w:afterAutospacing="1" w:line="400" w:lineRule="exact"/>
        <w:ind w:firstLineChars="200" w:firstLine="420"/>
        <w:rPr>
          <w:rFonts w:ascii="宋体" w:hAnsi="宋体"/>
          <w:szCs w:val="21"/>
        </w:rPr>
      </w:pPr>
      <w:r>
        <w:rPr>
          <w:rFonts w:ascii="宋体" w:hAnsi="宋体"/>
          <w:szCs w:val="21"/>
        </w:rPr>
        <w:lastRenderedPageBreak/>
        <w:t>4</w:t>
      </w:r>
      <w:r>
        <w:rPr>
          <w:rFonts w:ascii="宋体" w:hAnsi="宋体" w:hint="eastAsia"/>
          <w:szCs w:val="21"/>
        </w:rPr>
        <w:t>、基金托管人对存放或存管在基金托管人以外机构的基金资产，或交由证券公司等其他机构负责清算交收的基金资产及其收益不承担任何责任。</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（三）一方当事人违反本协议，给另一方当事人造成损失的，应承担赔偿责任</w:t>
      </w:r>
      <w:r>
        <w:rPr>
          <w:rFonts w:ascii="宋体" w:eastAsia="宋体" w:hint="eastAsia"/>
          <w:kern w:val="0"/>
          <w:sz w:val="21"/>
          <w:szCs w:val="21"/>
        </w:rPr>
        <w:t>，对损失的赔偿，仅限于直接损失</w:t>
      </w:r>
      <w:r>
        <w:rPr>
          <w:rFonts w:ascii="宋体" w:eastAsia="宋体"/>
          <w:kern w:val="0"/>
          <w:sz w:val="21"/>
          <w:szCs w:val="21"/>
        </w:rPr>
        <w:t>。</w:t>
      </w:r>
    </w:p>
    <w:p w:rsidR="005A0C12" w:rsidRDefault="00404031">
      <w:pPr>
        <w:adjustRightInd w:val="0"/>
        <w:snapToGrid w:val="0"/>
        <w:spacing w:before="100" w:beforeAutospacing="1" w:after="100" w:afterAutospacing="1" w:line="400" w:lineRule="exact"/>
        <w:ind w:firstLineChars="200" w:firstLine="420"/>
        <w:rPr>
          <w:rFonts w:ascii="宋体" w:hAnsi="宋体"/>
          <w:szCs w:val="21"/>
        </w:rPr>
      </w:pPr>
      <w:r>
        <w:rPr>
          <w:rFonts w:ascii="宋体" w:hAnsi="宋体"/>
          <w:szCs w:val="21"/>
        </w:rPr>
        <w:t>（四）因不可抗力不能履行本协议的，根据不可抗力的影响，违约方部分或全部免除</w:t>
      </w:r>
      <w:r>
        <w:rPr>
          <w:rFonts w:ascii="宋体" w:hAnsi="宋体" w:hint="eastAsia"/>
          <w:szCs w:val="21"/>
        </w:rPr>
        <w:t>责任</w:t>
      </w:r>
      <w:r>
        <w:rPr>
          <w:rFonts w:ascii="宋体" w:hAnsi="宋体"/>
          <w:szCs w:val="21"/>
        </w:rPr>
        <w:t>，但法律另有规定的除外。当事人迟延履行后发生不可抗力的，不能免除责任。</w:t>
      </w:r>
    </w:p>
    <w:p w:rsidR="005A0C12" w:rsidRDefault="00404031">
      <w:pPr>
        <w:pStyle w:val="a6"/>
        <w:spacing w:before="100" w:beforeAutospacing="1" w:after="100" w:afterAutospacing="1"/>
        <w:ind w:firstLine="403"/>
        <w:rPr>
          <w:rFonts w:ascii="Times New Roman" w:hAnsi="Times New Roman"/>
          <w:kern w:val="0"/>
          <w:sz w:val="18"/>
        </w:rPr>
      </w:pPr>
      <w:r>
        <w:rPr>
          <w:rFonts w:ascii="宋体" w:eastAsia="宋体"/>
          <w:color w:val="auto"/>
          <w:sz w:val="21"/>
          <w:szCs w:val="21"/>
        </w:rPr>
        <w:t>（五）当事人一方违约，另一方在职责范围内有义务及时采取必要的措施，尽力防止</w:t>
      </w:r>
      <w:r>
        <w:rPr>
          <w:rFonts w:ascii="宋体" w:eastAsia="宋体" w:hint="eastAsia"/>
          <w:sz w:val="21"/>
          <w:szCs w:val="21"/>
        </w:rPr>
        <w:t>损失</w:t>
      </w:r>
      <w:r>
        <w:rPr>
          <w:rFonts w:ascii="宋体" w:eastAsia="宋体"/>
          <w:color w:val="auto"/>
          <w:sz w:val="21"/>
          <w:szCs w:val="21"/>
        </w:rPr>
        <w:t>的扩大。</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（六）违约行为虽已发生，但本协议能够继续履行的，在最大限度地保护基金份额持有人利益的前提下，基金管理人和基金托管人应当继续履行本协议。</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（七）为明确责任，在不影响本协议本条其他规定的普遍适用性的前提下，基金管理</w:t>
      </w:r>
      <w:r>
        <w:rPr>
          <w:rFonts w:ascii="宋体" w:eastAsia="宋体" w:hint="eastAsia"/>
          <w:sz w:val="21"/>
          <w:szCs w:val="21"/>
        </w:rPr>
        <w:t>人和</w:t>
      </w:r>
      <w:r>
        <w:rPr>
          <w:rFonts w:ascii="宋体" w:eastAsia="宋体"/>
          <w:color w:val="auto"/>
          <w:sz w:val="21"/>
          <w:szCs w:val="21"/>
        </w:rPr>
        <w:t>基金托管人对由于如下行为造成的损失的责任承担问题，明确如下：</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1、由于</w:t>
      </w:r>
      <w:r>
        <w:rPr>
          <w:rFonts w:ascii="宋体" w:eastAsia="宋体" w:hint="eastAsia"/>
          <w:color w:val="auto"/>
          <w:sz w:val="21"/>
          <w:szCs w:val="21"/>
        </w:rPr>
        <w:t>基金管理人</w:t>
      </w:r>
      <w:r>
        <w:rPr>
          <w:rFonts w:ascii="宋体" w:eastAsia="宋体"/>
          <w:color w:val="auto"/>
          <w:sz w:val="21"/>
          <w:szCs w:val="21"/>
        </w:rPr>
        <w:t>下达违法、违规的指令</w:t>
      </w:r>
      <w:r>
        <w:rPr>
          <w:rFonts w:ascii="宋体" w:eastAsia="宋体" w:hint="eastAsia"/>
          <w:color w:val="auto"/>
          <w:sz w:val="21"/>
          <w:szCs w:val="21"/>
        </w:rPr>
        <w:t>，</w:t>
      </w:r>
      <w:r>
        <w:rPr>
          <w:rFonts w:ascii="宋体" w:eastAsia="宋体"/>
          <w:color w:val="auto"/>
          <w:sz w:val="21"/>
          <w:szCs w:val="21"/>
        </w:rPr>
        <w:t>所导致的责任，在托管人已履行监督义务的前提下</w:t>
      </w:r>
      <w:r>
        <w:rPr>
          <w:rFonts w:ascii="宋体" w:eastAsia="宋体" w:hint="eastAsia"/>
          <w:color w:val="auto"/>
          <w:sz w:val="21"/>
          <w:szCs w:val="21"/>
        </w:rPr>
        <w:t>，</w:t>
      </w:r>
      <w:r>
        <w:rPr>
          <w:rFonts w:ascii="宋体" w:eastAsia="宋体"/>
          <w:color w:val="auto"/>
          <w:sz w:val="21"/>
          <w:szCs w:val="21"/>
        </w:rPr>
        <w:t>由基金管理人承担</w:t>
      </w:r>
      <w:r>
        <w:rPr>
          <w:rFonts w:ascii="宋体" w:eastAsia="宋体" w:hint="eastAsia"/>
          <w:color w:val="auto"/>
          <w:sz w:val="21"/>
          <w:szCs w:val="21"/>
        </w:rPr>
        <w:t>，</w:t>
      </w:r>
      <w:r>
        <w:rPr>
          <w:rFonts w:ascii="宋体" w:eastAsia="宋体"/>
          <w:color w:val="auto"/>
          <w:sz w:val="21"/>
          <w:szCs w:val="21"/>
        </w:rPr>
        <w:t>否则管理人和托管人应</w:t>
      </w:r>
      <w:r>
        <w:rPr>
          <w:rFonts w:ascii="宋体" w:eastAsia="宋体" w:hint="eastAsia"/>
          <w:color w:val="auto"/>
          <w:sz w:val="21"/>
          <w:szCs w:val="21"/>
        </w:rPr>
        <w:t>根据各自过错程度</w:t>
      </w:r>
      <w:r>
        <w:rPr>
          <w:rFonts w:ascii="宋体" w:eastAsia="宋体"/>
          <w:color w:val="auto"/>
          <w:sz w:val="21"/>
          <w:szCs w:val="21"/>
        </w:rPr>
        <w:t>承担</w:t>
      </w:r>
      <w:r>
        <w:rPr>
          <w:rFonts w:ascii="宋体" w:eastAsia="宋体" w:hint="eastAsia"/>
          <w:color w:val="auto"/>
          <w:sz w:val="21"/>
          <w:szCs w:val="21"/>
        </w:rPr>
        <w:t>责任</w:t>
      </w:r>
      <w:r>
        <w:rPr>
          <w:rFonts w:ascii="宋体" w:eastAsia="宋体"/>
          <w:color w:val="auto"/>
          <w:sz w:val="21"/>
          <w:szCs w:val="21"/>
        </w:rPr>
        <w:t>；</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2、</w:t>
      </w:r>
      <w:r>
        <w:rPr>
          <w:rFonts w:ascii="宋体" w:eastAsia="宋体" w:hint="eastAsia"/>
          <w:color w:val="auto"/>
          <w:sz w:val="21"/>
          <w:szCs w:val="21"/>
        </w:rPr>
        <w:t>基金管理人的</w:t>
      </w:r>
      <w:r>
        <w:rPr>
          <w:rFonts w:ascii="宋体" w:eastAsia="宋体"/>
          <w:color w:val="auto"/>
          <w:sz w:val="21"/>
          <w:szCs w:val="21"/>
        </w:rPr>
        <w:t xml:space="preserve">指令下达人员在授权通知载明的权限范围内下达的指令所导致的责任，由基金管理人承担，即使该人员下达指令并没有获得基金管理人的实际授权（例如基金管理人在撤销或变更授权权限后未能及时通知基金托管人）； </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3、基金托管人未对指令上签名和印鉴与预留签字样本和预留印鉴</w:t>
      </w:r>
      <w:r>
        <w:rPr>
          <w:rFonts w:ascii="宋体" w:eastAsia="宋体" w:hint="eastAsia"/>
          <w:color w:val="auto"/>
          <w:sz w:val="21"/>
        </w:rPr>
        <w:t>（包括授权权限）</w:t>
      </w:r>
      <w:r>
        <w:rPr>
          <w:rFonts w:ascii="宋体" w:eastAsia="宋体"/>
          <w:color w:val="auto"/>
          <w:sz w:val="21"/>
          <w:szCs w:val="21"/>
        </w:rPr>
        <w:t>进行表面真实性审核，导致基金托管人执行了应当无效的指令，</w:t>
      </w:r>
      <w:r>
        <w:rPr>
          <w:rFonts w:ascii="宋体" w:eastAsia="宋体" w:hint="eastAsia"/>
          <w:color w:val="auto"/>
          <w:sz w:val="21"/>
          <w:szCs w:val="21"/>
        </w:rPr>
        <w:t>基金管理人与</w:t>
      </w:r>
      <w:r>
        <w:rPr>
          <w:rFonts w:ascii="宋体" w:eastAsia="宋体"/>
          <w:color w:val="auto"/>
          <w:sz w:val="21"/>
          <w:szCs w:val="21"/>
        </w:rPr>
        <w:t>基金托管人</w:t>
      </w:r>
      <w:r>
        <w:rPr>
          <w:rFonts w:ascii="宋体" w:eastAsia="宋体" w:hint="eastAsia"/>
          <w:color w:val="auto"/>
          <w:sz w:val="21"/>
          <w:szCs w:val="21"/>
        </w:rPr>
        <w:t>应根据各自过错程度</w:t>
      </w:r>
      <w:r>
        <w:rPr>
          <w:rFonts w:ascii="宋体" w:eastAsia="宋体"/>
          <w:color w:val="auto"/>
          <w:sz w:val="21"/>
          <w:szCs w:val="21"/>
        </w:rPr>
        <w:t>承担</w:t>
      </w:r>
      <w:r>
        <w:rPr>
          <w:rFonts w:ascii="宋体" w:eastAsia="宋体" w:hint="eastAsia"/>
          <w:color w:val="auto"/>
          <w:sz w:val="21"/>
          <w:szCs w:val="21"/>
        </w:rPr>
        <w:t>责任</w:t>
      </w:r>
      <w:r>
        <w:rPr>
          <w:rFonts w:ascii="宋体" w:eastAsia="宋体"/>
          <w:color w:val="auto"/>
          <w:sz w:val="21"/>
          <w:szCs w:val="21"/>
        </w:rPr>
        <w:t>；</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4、属于基金托管人实际有效控制下的基金财产（包括实物证券）在基金托管人保管期间的损坏、灭失，由此产生的责任应由该基金托管人承担；</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5、基金管理人应承担对其应收取的管理费数额计算错误的责任。如果基金托管人复核后同意基金管理人的计算结果，</w:t>
      </w:r>
      <w:proofErr w:type="gramStart"/>
      <w:r>
        <w:rPr>
          <w:rFonts w:ascii="宋体" w:eastAsia="宋体"/>
          <w:color w:val="auto"/>
          <w:sz w:val="21"/>
          <w:szCs w:val="21"/>
        </w:rPr>
        <w:t>则基金</w:t>
      </w:r>
      <w:proofErr w:type="gramEnd"/>
      <w:r>
        <w:rPr>
          <w:rFonts w:ascii="宋体" w:eastAsia="宋体"/>
          <w:color w:val="auto"/>
          <w:sz w:val="21"/>
          <w:szCs w:val="21"/>
        </w:rPr>
        <w:t>托管人也应承担未正确履行复核义务的相应责任；</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6、基金管理人应承担对基金托管人应收取的托管费数额计算错误的责任。如果基金</w:t>
      </w:r>
      <w:r>
        <w:rPr>
          <w:rFonts w:ascii="宋体" w:eastAsia="宋体" w:hint="eastAsia"/>
          <w:sz w:val="21"/>
          <w:szCs w:val="21"/>
        </w:rPr>
        <w:t>托管</w:t>
      </w:r>
      <w:r>
        <w:rPr>
          <w:rFonts w:ascii="宋体" w:eastAsia="宋体"/>
          <w:color w:val="auto"/>
          <w:sz w:val="21"/>
          <w:szCs w:val="21"/>
        </w:rPr>
        <w:t>人复核后同意基金管理人的计算结果，</w:t>
      </w:r>
      <w:proofErr w:type="gramStart"/>
      <w:r>
        <w:rPr>
          <w:rFonts w:ascii="宋体" w:eastAsia="宋体"/>
          <w:color w:val="auto"/>
          <w:sz w:val="21"/>
          <w:szCs w:val="21"/>
        </w:rPr>
        <w:t>则基金</w:t>
      </w:r>
      <w:proofErr w:type="gramEnd"/>
      <w:r>
        <w:rPr>
          <w:rFonts w:ascii="宋体" w:eastAsia="宋体"/>
          <w:color w:val="auto"/>
          <w:sz w:val="21"/>
          <w:szCs w:val="21"/>
        </w:rPr>
        <w:t>托管人也应承担未正确履行复核义务的相应责任；</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lastRenderedPageBreak/>
        <w:t>7、由于基金管理人或</w:t>
      </w:r>
      <w:r>
        <w:rPr>
          <w:rFonts w:ascii="宋体" w:eastAsia="宋体" w:hint="eastAsia"/>
          <w:color w:val="auto"/>
          <w:sz w:val="21"/>
          <w:szCs w:val="21"/>
        </w:rPr>
        <w:t>基金</w:t>
      </w:r>
      <w:r>
        <w:rPr>
          <w:rFonts w:ascii="宋体" w:eastAsia="宋体"/>
          <w:color w:val="auto"/>
          <w:sz w:val="21"/>
          <w:szCs w:val="21"/>
        </w:rPr>
        <w:t>托管</w:t>
      </w:r>
      <w:proofErr w:type="gramStart"/>
      <w:r>
        <w:rPr>
          <w:rFonts w:ascii="宋体" w:eastAsia="宋体"/>
          <w:color w:val="auto"/>
          <w:sz w:val="21"/>
          <w:szCs w:val="21"/>
        </w:rPr>
        <w:t>人原因</w:t>
      </w:r>
      <w:proofErr w:type="gramEnd"/>
      <w:r>
        <w:rPr>
          <w:rFonts w:ascii="宋体" w:eastAsia="宋体"/>
          <w:color w:val="auto"/>
          <w:sz w:val="21"/>
          <w:szCs w:val="21"/>
        </w:rPr>
        <w:t>导致本基金不能依据中国证券登记结算有限责任公司的业务规则及时清算的，由责任方承担由此给基金财产、基金份额持有人及受损害方造成的直接损失，若由于双方原因导致本基金不能依据中国证券登记结算有限责任公司的业务规则及时清算的，双方应按照各自的过错程度对造成的直接损失合理分担责任；</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8、在资金交收日，基金资金账户资金首先用于除新股申购以外的其他资金交收义务，交</w:t>
      </w:r>
      <w:proofErr w:type="gramStart"/>
      <w:r>
        <w:rPr>
          <w:rFonts w:ascii="宋体" w:eastAsia="宋体"/>
          <w:color w:val="auto"/>
          <w:sz w:val="21"/>
          <w:szCs w:val="21"/>
        </w:rPr>
        <w:t>收完成</w:t>
      </w:r>
      <w:proofErr w:type="gramEnd"/>
      <w:r>
        <w:rPr>
          <w:rFonts w:ascii="宋体" w:eastAsia="宋体"/>
          <w:color w:val="auto"/>
          <w:sz w:val="21"/>
          <w:szCs w:val="21"/>
        </w:rPr>
        <w:t>后资金余额方可用于新股申购。如果因此资金不足造成新股申购失败或者新股申购不足，基金托管人不承担任何责任。</w:t>
      </w:r>
    </w:p>
    <w:p w:rsidR="005A0C12" w:rsidRDefault="005A0C12">
      <w:pPr>
        <w:pStyle w:val="a6"/>
        <w:spacing w:before="100" w:beforeAutospacing="1" w:after="100" w:afterAutospacing="1"/>
        <w:ind w:firstLine="403"/>
        <w:rPr>
          <w:rFonts w:ascii="宋体"/>
          <w:kern w:val="0"/>
          <w:sz w:val="21"/>
        </w:rPr>
      </w:pPr>
    </w:p>
    <w:p w:rsidR="005A0C12" w:rsidRDefault="00404031">
      <w:pPr>
        <w:pStyle w:val="1"/>
        <w:spacing w:before="100" w:beforeAutospacing="1" w:after="100" w:afterAutospacing="1" w:line="400" w:lineRule="exact"/>
        <w:ind w:firstLine="422"/>
        <w:rPr>
          <w:rFonts w:ascii="宋体" w:hAnsi="宋体"/>
          <w:sz w:val="21"/>
          <w:szCs w:val="21"/>
        </w:rPr>
      </w:pPr>
      <w:bookmarkStart w:id="39" w:name="_Toc116900112"/>
      <w:bookmarkStart w:id="40" w:name="_Toc71746708"/>
      <w:r>
        <w:rPr>
          <w:rFonts w:ascii="宋体" w:hAnsi="宋体"/>
          <w:kern w:val="2"/>
          <w:sz w:val="21"/>
          <w:szCs w:val="21"/>
        </w:rPr>
        <w:t>十八、适用法律与争议解决</w:t>
      </w:r>
      <w:bookmarkEnd w:id="39"/>
      <w:r>
        <w:rPr>
          <w:rFonts w:ascii="宋体" w:hAnsi="宋体"/>
          <w:kern w:val="2"/>
          <w:sz w:val="21"/>
          <w:szCs w:val="21"/>
        </w:rPr>
        <w:t>方式</w:t>
      </w:r>
      <w:bookmarkEnd w:id="40"/>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（一）本协议适用中华人民共和国法律</w:t>
      </w:r>
      <w:r>
        <w:rPr>
          <w:rFonts w:ascii="宋体" w:eastAsia="宋体" w:hint="eastAsia"/>
          <w:color w:val="auto"/>
          <w:sz w:val="21"/>
          <w:szCs w:val="21"/>
        </w:rPr>
        <w:t>（为本协议之目的，不包括香港特别行政区、澳门特别行政区和台湾地区法律）</w:t>
      </w:r>
      <w:r>
        <w:rPr>
          <w:rFonts w:ascii="宋体" w:eastAsia="宋体"/>
          <w:color w:val="auto"/>
          <w:sz w:val="21"/>
          <w:szCs w:val="21"/>
        </w:rPr>
        <w:t>并从其解释。</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（二）基金管理人与基金托管人之间因本协议产生的或与本协议有关的争议可通过友好协商解决。</w:t>
      </w:r>
      <w:r>
        <w:rPr>
          <w:rFonts w:ascii="宋体" w:eastAsia="宋体" w:hint="eastAsia"/>
          <w:color w:val="auto"/>
          <w:sz w:val="21"/>
          <w:szCs w:val="21"/>
        </w:rPr>
        <w:t>协商、调解不能解决的</w:t>
      </w:r>
      <w:r>
        <w:rPr>
          <w:rFonts w:ascii="宋体" w:eastAsia="宋体"/>
          <w:color w:val="auto"/>
          <w:sz w:val="21"/>
          <w:szCs w:val="21"/>
        </w:rPr>
        <w:t>任何一方有权将争议提交位于北京</w:t>
      </w:r>
      <w:r>
        <w:rPr>
          <w:rFonts w:ascii="宋体" w:eastAsia="宋体" w:hint="eastAsia"/>
          <w:color w:val="auto"/>
          <w:sz w:val="21"/>
          <w:szCs w:val="21"/>
        </w:rPr>
        <w:t>市</w:t>
      </w:r>
      <w:r>
        <w:rPr>
          <w:rFonts w:ascii="宋体" w:eastAsia="宋体"/>
          <w:color w:val="auto"/>
          <w:sz w:val="21"/>
          <w:szCs w:val="21"/>
        </w:rPr>
        <w:t>的中国国际经济贸易仲裁委员会，并按其</w:t>
      </w:r>
      <w:r>
        <w:rPr>
          <w:rFonts w:ascii="宋体" w:eastAsia="宋体" w:hint="eastAsia"/>
          <w:color w:val="auto"/>
          <w:sz w:val="21"/>
          <w:szCs w:val="21"/>
        </w:rPr>
        <w:t>届</w:t>
      </w:r>
      <w:r>
        <w:rPr>
          <w:rFonts w:ascii="宋体" w:eastAsia="宋体"/>
          <w:color w:val="auto"/>
          <w:sz w:val="21"/>
          <w:szCs w:val="21"/>
        </w:rPr>
        <w:t>时有效的仲裁规则进行仲裁。仲裁裁决是终局的，对仲裁各方当事人均具有约束力。</w:t>
      </w:r>
      <w:r>
        <w:rPr>
          <w:rFonts w:ascii="宋体" w:eastAsia="宋体" w:hint="eastAsia"/>
          <w:color w:val="auto"/>
          <w:sz w:val="21"/>
          <w:szCs w:val="21"/>
        </w:rPr>
        <w:t>仲裁费用由败诉方承担，除非仲裁裁决另有决定。</w:t>
      </w:r>
    </w:p>
    <w:p w:rsidR="005A0C12" w:rsidRDefault="00404031">
      <w:pPr>
        <w:pStyle w:val="a6"/>
        <w:spacing w:before="100" w:beforeAutospacing="1" w:after="100" w:afterAutospacing="1"/>
        <w:ind w:firstLine="403"/>
        <w:rPr>
          <w:rFonts w:ascii="宋体" w:eastAsia="宋体"/>
          <w:kern w:val="0"/>
          <w:sz w:val="21"/>
          <w:szCs w:val="21"/>
        </w:rPr>
      </w:pPr>
      <w:r>
        <w:rPr>
          <w:rFonts w:ascii="宋体" w:eastAsia="宋体"/>
          <w:kern w:val="0"/>
          <w:sz w:val="21"/>
          <w:szCs w:val="21"/>
        </w:rPr>
        <w:t>（三）除争议所涉的内容之外，本协议的当事人仍应履行本协议的其他规定。</w:t>
      </w:r>
    </w:p>
    <w:p w:rsidR="005A0C12" w:rsidRDefault="005A0C12">
      <w:pPr>
        <w:pStyle w:val="a6"/>
        <w:spacing w:before="100" w:beforeAutospacing="1" w:after="100" w:afterAutospacing="1"/>
        <w:ind w:firstLine="403"/>
        <w:rPr>
          <w:rFonts w:ascii="宋体" w:eastAsia="宋体"/>
          <w:kern w:val="0"/>
          <w:sz w:val="21"/>
          <w:szCs w:val="21"/>
        </w:rPr>
      </w:pPr>
    </w:p>
    <w:p w:rsidR="005A0C12" w:rsidRDefault="00404031">
      <w:pPr>
        <w:pStyle w:val="1"/>
        <w:spacing w:before="100" w:beforeAutospacing="1" w:after="100" w:afterAutospacing="1" w:line="400" w:lineRule="exact"/>
        <w:ind w:firstLine="422"/>
        <w:rPr>
          <w:rFonts w:ascii="宋体" w:hAnsi="宋体"/>
          <w:sz w:val="21"/>
          <w:szCs w:val="21"/>
        </w:rPr>
      </w:pPr>
      <w:bookmarkStart w:id="41" w:name="_Toc116900113"/>
      <w:bookmarkStart w:id="42" w:name="_Toc71746709"/>
      <w:r>
        <w:rPr>
          <w:rFonts w:ascii="宋体" w:hAnsi="宋体"/>
          <w:kern w:val="2"/>
          <w:sz w:val="21"/>
          <w:szCs w:val="21"/>
        </w:rPr>
        <w:t>十九、托管协议的效力</w:t>
      </w:r>
      <w:bookmarkEnd w:id="41"/>
      <w:bookmarkEnd w:id="42"/>
    </w:p>
    <w:p w:rsidR="005A0C12" w:rsidRDefault="00404031">
      <w:pPr>
        <w:adjustRightInd w:val="0"/>
        <w:snapToGrid w:val="0"/>
        <w:spacing w:before="100" w:beforeAutospacing="1" w:after="100" w:afterAutospacing="1" w:line="400" w:lineRule="exact"/>
        <w:ind w:firstLineChars="200" w:firstLine="420"/>
        <w:rPr>
          <w:rFonts w:ascii="宋体" w:hAnsi="宋体"/>
          <w:color w:val="000000"/>
          <w:kern w:val="0"/>
          <w:szCs w:val="21"/>
        </w:rPr>
      </w:pPr>
      <w:r>
        <w:rPr>
          <w:rFonts w:ascii="宋体" w:hAnsi="宋体"/>
          <w:szCs w:val="21"/>
        </w:rPr>
        <w:t>（一）基金管理人在向中国证监会申请发售基金份额时提交的基金托管协议草案，应经托管协议双方当事人的法定代表人或授权签字人签字</w:t>
      </w:r>
      <w:r>
        <w:rPr>
          <w:rFonts w:ascii="宋体" w:hAnsi="宋体" w:hint="eastAsia"/>
          <w:szCs w:val="21"/>
        </w:rPr>
        <w:t>/签章</w:t>
      </w:r>
      <w:r>
        <w:rPr>
          <w:rFonts w:ascii="宋体" w:hAnsi="宋体"/>
          <w:szCs w:val="21"/>
        </w:rPr>
        <w:t>并加盖公章，协议当事人双方根据中国证监会的意见修改托管协议草案。托管协议以中国证监会</w:t>
      </w:r>
      <w:r>
        <w:rPr>
          <w:rFonts w:ascii="宋体" w:hAnsi="宋体" w:hint="eastAsia"/>
          <w:szCs w:val="21"/>
        </w:rPr>
        <w:t>注册或备案</w:t>
      </w:r>
      <w:r>
        <w:rPr>
          <w:rFonts w:ascii="宋体" w:hAnsi="宋体"/>
          <w:szCs w:val="21"/>
        </w:rPr>
        <w:t>的文本为正式文本。</w:t>
      </w:r>
    </w:p>
    <w:p w:rsidR="005A0C12" w:rsidRDefault="00404031">
      <w:pPr>
        <w:adjustRightInd w:val="0"/>
        <w:snapToGrid w:val="0"/>
        <w:spacing w:before="100" w:beforeAutospacing="1" w:after="100" w:afterAutospacing="1" w:line="400" w:lineRule="exact"/>
        <w:ind w:firstLineChars="200" w:firstLine="420"/>
        <w:rPr>
          <w:rFonts w:ascii="宋体" w:hAnsi="宋体"/>
          <w:szCs w:val="21"/>
        </w:rPr>
      </w:pPr>
      <w:r>
        <w:rPr>
          <w:rFonts w:ascii="宋体" w:hAnsi="宋体"/>
          <w:szCs w:val="21"/>
        </w:rPr>
        <w:t>（二）本协议自双方签署之日起成立，自</w:t>
      </w:r>
      <w:r>
        <w:rPr>
          <w:rFonts w:ascii="宋体" w:hAnsi="宋体" w:hint="eastAsia"/>
          <w:szCs w:val="21"/>
        </w:rPr>
        <w:t>《</w:t>
      </w:r>
      <w:r>
        <w:rPr>
          <w:rFonts w:ascii="宋体" w:hAnsi="宋体"/>
          <w:szCs w:val="21"/>
        </w:rPr>
        <w:t>基金合同</w:t>
      </w:r>
      <w:r>
        <w:rPr>
          <w:rFonts w:ascii="宋体" w:hAnsi="宋体" w:hint="eastAsia"/>
          <w:szCs w:val="21"/>
        </w:rPr>
        <w:t>》</w:t>
      </w:r>
      <w:r>
        <w:rPr>
          <w:rFonts w:ascii="宋体" w:hAnsi="宋体"/>
          <w:szCs w:val="21"/>
        </w:rPr>
        <w:t>生效之日起生效。本协议的有效期自其生效之日起至基金财产清算结果报中国证监会备案并公告之日止。</w:t>
      </w:r>
    </w:p>
    <w:p w:rsidR="005A0C12" w:rsidRDefault="00404031">
      <w:pPr>
        <w:adjustRightInd w:val="0"/>
        <w:snapToGrid w:val="0"/>
        <w:spacing w:before="100" w:beforeAutospacing="1" w:after="100" w:afterAutospacing="1" w:line="400" w:lineRule="exact"/>
        <w:ind w:firstLineChars="200" w:firstLine="420"/>
        <w:rPr>
          <w:rFonts w:ascii="宋体" w:hAnsi="宋体"/>
          <w:szCs w:val="21"/>
        </w:rPr>
      </w:pPr>
      <w:r>
        <w:rPr>
          <w:rFonts w:ascii="宋体" w:hAnsi="宋体"/>
          <w:szCs w:val="21"/>
        </w:rPr>
        <w:t>（三）本协议自生效之日起对双方当事人具有同等的法律约束力。</w:t>
      </w:r>
    </w:p>
    <w:p w:rsidR="005A0C12" w:rsidRDefault="00404031">
      <w:pPr>
        <w:pStyle w:val="a6"/>
        <w:spacing w:before="100" w:beforeAutospacing="1" w:after="100" w:afterAutospacing="1"/>
        <w:ind w:firstLine="403"/>
        <w:rPr>
          <w:rFonts w:ascii="宋体" w:eastAsia="宋体"/>
          <w:color w:val="auto"/>
          <w:sz w:val="21"/>
          <w:szCs w:val="21"/>
        </w:rPr>
      </w:pPr>
      <w:r>
        <w:rPr>
          <w:rFonts w:ascii="宋体" w:eastAsia="宋体"/>
          <w:color w:val="auto"/>
          <w:sz w:val="21"/>
          <w:szCs w:val="21"/>
        </w:rPr>
        <w:t>（四）本协议正本一式陆份，协议双方各执贰份，上报中国证监会和</w:t>
      </w:r>
      <w:r>
        <w:rPr>
          <w:rFonts w:ascii="宋体" w:eastAsia="宋体" w:hint="eastAsia"/>
          <w:color w:val="auto"/>
          <w:sz w:val="21"/>
          <w:szCs w:val="21"/>
        </w:rPr>
        <w:t>中国银行保险监</w:t>
      </w:r>
      <w:r>
        <w:rPr>
          <w:rFonts w:ascii="宋体" w:eastAsia="宋体" w:hint="eastAsia"/>
          <w:color w:val="auto"/>
          <w:sz w:val="21"/>
          <w:szCs w:val="21"/>
        </w:rPr>
        <w:lastRenderedPageBreak/>
        <w:t>督管理委员会</w:t>
      </w:r>
      <w:r>
        <w:rPr>
          <w:rFonts w:ascii="宋体" w:eastAsia="宋体"/>
          <w:color w:val="auto"/>
          <w:sz w:val="21"/>
          <w:szCs w:val="21"/>
        </w:rPr>
        <w:t>各壹份，每份具有同等法律效力。</w:t>
      </w:r>
    </w:p>
    <w:p w:rsidR="005A0C12" w:rsidRDefault="005A0C12">
      <w:pPr>
        <w:pStyle w:val="a6"/>
        <w:spacing w:before="100" w:beforeAutospacing="1" w:after="100" w:afterAutospacing="1"/>
      </w:pPr>
      <w:bookmarkStart w:id="43" w:name="_Toc116900116"/>
    </w:p>
    <w:p w:rsidR="005A0C12" w:rsidRDefault="00404031">
      <w:pPr>
        <w:pStyle w:val="1"/>
        <w:spacing w:before="100" w:beforeAutospacing="1" w:after="100" w:afterAutospacing="1" w:line="400" w:lineRule="exact"/>
        <w:ind w:firstLine="422"/>
        <w:rPr>
          <w:rFonts w:ascii="宋体" w:hAnsi="宋体"/>
          <w:sz w:val="21"/>
          <w:szCs w:val="21"/>
        </w:rPr>
      </w:pPr>
      <w:bookmarkStart w:id="44" w:name="_Toc71746710"/>
      <w:r>
        <w:rPr>
          <w:rFonts w:ascii="宋体" w:hAnsi="宋体"/>
          <w:sz w:val="21"/>
          <w:szCs w:val="21"/>
        </w:rPr>
        <w:t>二十、托管协议</w:t>
      </w:r>
      <w:bookmarkEnd w:id="43"/>
      <w:r>
        <w:rPr>
          <w:rFonts w:ascii="宋体" w:hAnsi="宋体"/>
          <w:sz w:val="21"/>
          <w:szCs w:val="21"/>
        </w:rPr>
        <w:t>的签订</w:t>
      </w:r>
      <w:bookmarkEnd w:id="44"/>
    </w:p>
    <w:p w:rsidR="005A0C12" w:rsidRDefault="00404031">
      <w:pPr>
        <w:pStyle w:val="a6"/>
        <w:spacing w:before="100" w:beforeAutospacing="1" w:after="100" w:afterAutospacing="1"/>
        <w:ind w:firstLine="403"/>
        <w:rPr>
          <w:rFonts w:ascii="宋体" w:eastAsia="宋体"/>
          <w:sz w:val="21"/>
          <w:szCs w:val="21"/>
        </w:rPr>
      </w:pPr>
      <w:proofErr w:type="gramStart"/>
      <w:r>
        <w:rPr>
          <w:rFonts w:ascii="宋体" w:eastAsia="宋体"/>
          <w:color w:val="auto"/>
          <w:sz w:val="21"/>
          <w:szCs w:val="21"/>
        </w:rPr>
        <w:t>见签署页</w:t>
      </w:r>
      <w:proofErr w:type="gramEnd"/>
      <w:r>
        <w:rPr>
          <w:rFonts w:ascii="宋体" w:eastAsia="宋体"/>
          <w:color w:val="auto"/>
          <w:sz w:val="21"/>
          <w:szCs w:val="21"/>
        </w:rPr>
        <w:t>。</w:t>
      </w:r>
    </w:p>
    <w:p w:rsidR="005A0C12" w:rsidRPr="00A93B58" w:rsidRDefault="00404031" w:rsidP="00A93B58">
      <w:pPr>
        <w:pStyle w:val="a6"/>
        <w:spacing w:before="100" w:beforeAutospacing="1" w:after="100" w:afterAutospacing="1"/>
        <w:ind w:firstLine="403"/>
        <w:rPr>
          <w:rFonts w:ascii="宋体" w:eastAsia="宋体" w:hint="eastAsia"/>
          <w:kern w:val="0"/>
          <w:sz w:val="21"/>
          <w:szCs w:val="21"/>
        </w:rPr>
      </w:pPr>
      <w:r>
        <w:rPr>
          <w:rFonts w:ascii="宋体" w:eastAsia="宋体"/>
          <w:kern w:val="0"/>
          <w:sz w:val="21"/>
          <w:szCs w:val="21"/>
        </w:rPr>
        <w:t>（以下无正文）</w:t>
      </w:r>
    </w:p>
    <w:sectPr w:rsidR="005A0C12" w:rsidRPr="00A93B58">
      <w:headerReference w:type="default" r:id="rId8"/>
      <w:footerReference w:type="default" r:id="rId9"/>
      <w:type w:val="continuous"/>
      <w:pgSz w:w="11906" w:h="16838"/>
      <w:pgMar w:top="1440" w:right="1800" w:bottom="1440" w:left="1800" w:header="851" w:footer="992" w:gutter="0"/>
      <w:pgNumType w:start="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F41" w:rsidRDefault="00F87F41">
      <w:r>
        <w:separator/>
      </w:r>
    </w:p>
  </w:endnote>
  <w:endnote w:type="continuationSeparator" w:id="0">
    <w:p w:rsidR="00F87F41" w:rsidRDefault="00F87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长城仿宋">
    <w:altName w:val="宋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仿宋简体">
    <w:altName w:val="宋体"/>
    <w:charset w:val="86"/>
    <w:family w:val="auto"/>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C12" w:rsidRDefault="00404031">
    <w:pPr>
      <w:pStyle w:val="a9"/>
      <w:jc w:val="center"/>
    </w:pPr>
    <w:r>
      <w:fldChar w:fldCharType="begin"/>
    </w:r>
    <w:r>
      <w:instrText xml:space="preserve"> PAGE   \* MERGEFORMAT </w:instrText>
    </w:r>
    <w:r>
      <w:fldChar w:fldCharType="separate"/>
    </w:r>
    <w:r w:rsidR="00A93B58" w:rsidRPr="00A93B58">
      <w:rPr>
        <w:noProof/>
        <w:lang w:val="zh-CN"/>
      </w:rPr>
      <w:t>30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F41" w:rsidRDefault="00F87F41">
      <w:r>
        <w:separator/>
      </w:r>
    </w:p>
  </w:footnote>
  <w:footnote w:type="continuationSeparator" w:id="0">
    <w:p w:rsidR="00F87F41" w:rsidRDefault="00F87F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C12" w:rsidRDefault="00404031">
    <w:pPr>
      <w:pStyle w:val="aa"/>
      <w:pBdr>
        <w:bottom w:val="single" w:sz="4" w:space="1" w:color="auto"/>
      </w:pBdr>
      <w:tabs>
        <w:tab w:val="left" w:pos="510"/>
      </w:tabs>
      <w:jc w:val="left"/>
    </w:pPr>
    <w:r>
      <w:rPr>
        <w:rFonts w:hint="eastAsia"/>
      </w:rPr>
      <w:t>嘉实领先优势混合型证券投资基金</w:t>
    </w:r>
    <w:r>
      <w:t xml:space="preserve">   </w:t>
    </w:r>
    <w:r>
      <w:rPr>
        <w:rFonts w:hint="eastAsia"/>
      </w:rPr>
      <w:t xml:space="preserve">            </w:t>
    </w:r>
    <w:r>
      <w:t xml:space="preserve">                         </w:t>
    </w:r>
    <w:r w:rsidR="00A93B58">
      <w:t xml:space="preserve">        </w:t>
    </w:r>
    <w:r>
      <w:t xml:space="preserve">      </w:t>
    </w:r>
    <w:r w:rsidR="00A93B58">
      <w:rPr>
        <w:rFonts w:hint="eastAsia"/>
      </w:rPr>
      <w:t>托管协议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9E5"/>
    <w:rsid w:val="00000EBC"/>
    <w:rsid w:val="0000105A"/>
    <w:rsid w:val="00004D8F"/>
    <w:rsid w:val="00011941"/>
    <w:rsid w:val="00012ABF"/>
    <w:rsid w:val="000154B1"/>
    <w:rsid w:val="00015FDE"/>
    <w:rsid w:val="000173BD"/>
    <w:rsid w:val="00017DFE"/>
    <w:rsid w:val="000223B0"/>
    <w:rsid w:val="000242D0"/>
    <w:rsid w:val="00024632"/>
    <w:rsid w:val="00024F9F"/>
    <w:rsid w:val="00025D06"/>
    <w:rsid w:val="000267CE"/>
    <w:rsid w:val="00026F80"/>
    <w:rsid w:val="000274F8"/>
    <w:rsid w:val="00027A8B"/>
    <w:rsid w:val="00031BE4"/>
    <w:rsid w:val="000344A4"/>
    <w:rsid w:val="000373C8"/>
    <w:rsid w:val="00040A2B"/>
    <w:rsid w:val="00042496"/>
    <w:rsid w:val="00043181"/>
    <w:rsid w:val="00045293"/>
    <w:rsid w:val="00053D35"/>
    <w:rsid w:val="00056250"/>
    <w:rsid w:val="0005692C"/>
    <w:rsid w:val="00057B72"/>
    <w:rsid w:val="00060F15"/>
    <w:rsid w:val="0006256D"/>
    <w:rsid w:val="00062B27"/>
    <w:rsid w:val="0006445C"/>
    <w:rsid w:val="00064F4A"/>
    <w:rsid w:val="000650FF"/>
    <w:rsid w:val="00065A79"/>
    <w:rsid w:val="00066D6F"/>
    <w:rsid w:val="0006781C"/>
    <w:rsid w:val="00070027"/>
    <w:rsid w:val="0007046F"/>
    <w:rsid w:val="00070854"/>
    <w:rsid w:val="00072204"/>
    <w:rsid w:val="000730D5"/>
    <w:rsid w:val="00074A50"/>
    <w:rsid w:val="00074C40"/>
    <w:rsid w:val="00076C21"/>
    <w:rsid w:val="00077BDD"/>
    <w:rsid w:val="00081420"/>
    <w:rsid w:val="00081477"/>
    <w:rsid w:val="00082B5B"/>
    <w:rsid w:val="00083861"/>
    <w:rsid w:val="00085508"/>
    <w:rsid w:val="0009025F"/>
    <w:rsid w:val="00092E46"/>
    <w:rsid w:val="00094828"/>
    <w:rsid w:val="00095BFB"/>
    <w:rsid w:val="00097001"/>
    <w:rsid w:val="00097DC5"/>
    <w:rsid w:val="000A13CA"/>
    <w:rsid w:val="000A1991"/>
    <w:rsid w:val="000A4253"/>
    <w:rsid w:val="000A72EB"/>
    <w:rsid w:val="000A7B81"/>
    <w:rsid w:val="000B0297"/>
    <w:rsid w:val="000B3BE1"/>
    <w:rsid w:val="000B687B"/>
    <w:rsid w:val="000B6AA2"/>
    <w:rsid w:val="000B6EEC"/>
    <w:rsid w:val="000C2D79"/>
    <w:rsid w:val="000C6E37"/>
    <w:rsid w:val="000C7AD1"/>
    <w:rsid w:val="000D10A2"/>
    <w:rsid w:val="000D1156"/>
    <w:rsid w:val="000D1232"/>
    <w:rsid w:val="000D15B1"/>
    <w:rsid w:val="000D5A7C"/>
    <w:rsid w:val="000E05B8"/>
    <w:rsid w:val="000E0D35"/>
    <w:rsid w:val="000E0D85"/>
    <w:rsid w:val="000E1A51"/>
    <w:rsid w:val="000E302B"/>
    <w:rsid w:val="000E34C2"/>
    <w:rsid w:val="000E3B48"/>
    <w:rsid w:val="000E4346"/>
    <w:rsid w:val="000E711C"/>
    <w:rsid w:val="000E748A"/>
    <w:rsid w:val="000F08FF"/>
    <w:rsid w:val="000F5377"/>
    <w:rsid w:val="000F5A9F"/>
    <w:rsid w:val="000F5CD0"/>
    <w:rsid w:val="00102EBC"/>
    <w:rsid w:val="00103B8C"/>
    <w:rsid w:val="00104752"/>
    <w:rsid w:val="0010779A"/>
    <w:rsid w:val="001104D9"/>
    <w:rsid w:val="001159F0"/>
    <w:rsid w:val="0011635E"/>
    <w:rsid w:val="00117C8D"/>
    <w:rsid w:val="00117FC5"/>
    <w:rsid w:val="00121EF0"/>
    <w:rsid w:val="001257AE"/>
    <w:rsid w:val="0013016D"/>
    <w:rsid w:val="00130D5E"/>
    <w:rsid w:val="001320D2"/>
    <w:rsid w:val="00134E02"/>
    <w:rsid w:val="00136A66"/>
    <w:rsid w:val="00136AF2"/>
    <w:rsid w:val="00136D62"/>
    <w:rsid w:val="00137349"/>
    <w:rsid w:val="0013750B"/>
    <w:rsid w:val="001400FE"/>
    <w:rsid w:val="00140367"/>
    <w:rsid w:val="00140CBD"/>
    <w:rsid w:val="00141DCA"/>
    <w:rsid w:val="00143859"/>
    <w:rsid w:val="00143C79"/>
    <w:rsid w:val="00146C96"/>
    <w:rsid w:val="00147E1B"/>
    <w:rsid w:val="00150188"/>
    <w:rsid w:val="00150901"/>
    <w:rsid w:val="00151241"/>
    <w:rsid w:val="00151BB2"/>
    <w:rsid w:val="001526D1"/>
    <w:rsid w:val="00153831"/>
    <w:rsid w:val="001542EE"/>
    <w:rsid w:val="00154B1C"/>
    <w:rsid w:val="00156130"/>
    <w:rsid w:val="0015627E"/>
    <w:rsid w:val="00157A7C"/>
    <w:rsid w:val="00163B46"/>
    <w:rsid w:val="00164BE6"/>
    <w:rsid w:val="001650B5"/>
    <w:rsid w:val="00166933"/>
    <w:rsid w:val="001675CC"/>
    <w:rsid w:val="00170620"/>
    <w:rsid w:val="00171128"/>
    <w:rsid w:val="00173189"/>
    <w:rsid w:val="00173DEE"/>
    <w:rsid w:val="001741D0"/>
    <w:rsid w:val="001745E2"/>
    <w:rsid w:val="00175C26"/>
    <w:rsid w:val="0018359D"/>
    <w:rsid w:val="00183626"/>
    <w:rsid w:val="00184538"/>
    <w:rsid w:val="001846D1"/>
    <w:rsid w:val="0018549D"/>
    <w:rsid w:val="00185518"/>
    <w:rsid w:val="001858F0"/>
    <w:rsid w:val="00185E13"/>
    <w:rsid w:val="001860A1"/>
    <w:rsid w:val="00190BFB"/>
    <w:rsid w:val="001919B0"/>
    <w:rsid w:val="00191B51"/>
    <w:rsid w:val="001946E1"/>
    <w:rsid w:val="001A0EA0"/>
    <w:rsid w:val="001A11AA"/>
    <w:rsid w:val="001A2E28"/>
    <w:rsid w:val="001A473C"/>
    <w:rsid w:val="001A5253"/>
    <w:rsid w:val="001B042C"/>
    <w:rsid w:val="001B1C22"/>
    <w:rsid w:val="001B3E4D"/>
    <w:rsid w:val="001B4C01"/>
    <w:rsid w:val="001B54C5"/>
    <w:rsid w:val="001B6C86"/>
    <w:rsid w:val="001C0313"/>
    <w:rsid w:val="001C0C1E"/>
    <w:rsid w:val="001C24FB"/>
    <w:rsid w:val="001C27A7"/>
    <w:rsid w:val="001C27DE"/>
    <w:rsid w:val="001C55DC"/>
    <w:rsid w:val="001C5C5A"/>
    <w:rsid w:val="001C6150"/>
    <w:rsid w:val="001C677C"/>
    <w:rsid w:val="001C7905"/>
    <w:rsid w:val="001D0901"/>
    <w:rsid w:val="001D0D38"/>
    <w:rsid w:val="001D2CDE"/>
    <w:rsid w:val="001D6057"/>
    <w:rsid w:val="001D7D71"/>
    <w:rsid w:val="001E0A08"/>
    <w:rsid w:val="001E133D"/>
    <w:rsid w:val="001E239D"/>
    <w:rsid w:val="001E3B2C"/>
    <w:rsid w:val="001E592E"/>
    <w:rsid w:val="001E65C1"/>
    <w:rsid w:val="001F17FB"/>
    <w:rsid w:val="001F2740"/>
    <w:rsid w:val="001F4C7C"/>
    <w:rsid w:val="001F4F9F"/>
    <w:rsid w:val="001F5E26"/>
    <w:rsid w:val="001F60D9"/>
    <w:rsid w:val="001F6BA5"/>
    <w:rsid w:val="001F6FF9"/>
    <w:rsid w:val="001F7F00"/>
    <w:rsid w:val="00202069"/>
    <w:rsid w:val="002024CB"/>
    <w:rsid w:val="0020471E"/>
    <w:rsid w:val="00205D65"/>
    <w:rsid w:val="002065B4"/>
    <w:rsid w:val="0020778B"/>
    <w:rsid w:val="00207C68"/>
    <w:rsid w:val="00210D7D"/>
    <w:rsid w:val="0021384D"/>
    <w:rsid w:val="00213C02"/>
    <w:rsid w:val="00213DD0"/>
    <w:rsid w:val="00215845"/>
    <w:rsid w:val="002158CE"/>
    <w:rsid w:val="00216081"/>
    <w:rsid w:val="002169F9"/>
    <w:rsid w:val="002212AE"/>
    <w:rsid w:val="0022137C"/>
    <w:rsid w:val="002213BD"/>
    <w:rsid w:val="00222F93"/>
    <w:rsid w:val="00223047"/>
    <w:rsid w:val="002233CC"/>
    <w:rsid w:val="00224615"/>
    <w:rsid w:val="00225723"/>
    <w:rsid w:val="00226336"/>
    <w:rsid w:val="00230BA1"/>
    <w:rsid w:val="002313EF"/>
    <w:rsid w:val="0023583C"/>
    <w:rsid w:val="00237371"/>
    <w:rsid w:val="00237FC5"/>
    <w:rsid w:val="0024248F"/>
    <w:rsid w:val="002433E5"/>
    <w:rsid w:val="00243C92"/>
    <w:rsid w:val="0024433E"/>
    <w:rsid w:val="002448B9"/>
    <w:rsid w:val="00244E8D"/>
    <w:rsid w:val="002468D5"/>
    <w:rsid w:val="002524E2"/>
    <w:rsid w:val="002539F8"/>
    <w:rsid w:val="002547A2"/>
    <w:rsid w:val="0025577A"/>
    <w:rsid w:val="0026023F"/>
    <w:rsid w:val="00260A65"/>
    <w:rsid w:val="00262182"/>
    <w:rsid w:val="00263992"/>
    <w:rsid w:val="002714D3"/>
    <w:rsid w:val="002725A8"/>
    <w:rsid w:val="0027306A"/>
    <w:rsid w:val="00273992"/>
    <w:rsid w:val="002743AE"/>
    <w:rsid w:val="00274A01"/>
    <w:rsid w:val="0027637A"/>
    <w:rsid w:val="00277593"/>
    <w:rsid w:val="00277AC0"/>
    <w:rsid w:val="0028046F"/>
    <w:rsid w:val="00281354"/>
    <w:rsid w:val="002819F4"/>
    <w:rsid w:val="00282E4C"/>
    <w:rsid w:val="00283042"/>
    <w:rsid w:val="002845F1"/>
    <w:rsid w:val="00286871"/>
    <w:rsid w:val="002877DB"/>
    <w:rsid w:val="00287AE1"/>
    <w:rsid w:val="00294131"/>
    <w:rsid w:val="002947CB"/>
    <w:rsid w:val="00296AAD"/>
    <w:rsid w:val="00297457"/>
    <w:rsid w:val="002A15F9"/>
    <w:rsid w:val="002A1FFD"/>
    <w:rsid w:val="002A392E"/>
    <w:rsid w:val="002A42AB"/>
    <w:rsid w:val="002A7716"/>
    <w:rsid w:val="002B0CCC"/>
    <w:rsid w:val="002B1780"/>
    <w:rsid w:val="002B1871"/>
    <w:rsid w:val="002B2E7A"/>
    <w:rsid w:val="002B423E"/>
    <w:rsid w:val="002B4715"/>
    <w:rsid w:val="002B655F"/>
    <w:rsid w:val="002C24E5"/>
    <w:rsid w:val="002C328E"/>
    <w:rsid w:val="002C468E"/>
    <w:rsid w:val="002C4FBE"/>
    <w:rsid w:val="002C53F8"/>
    <w:rsid w:val="002C5597"/>
    <w:rsid w:val="002C5760"/>
    <w:rsid w:val="002C7781"/>
    <w:rsid w:val="002C7975"/>
    <w:rsid w:val="002C7A50"/>
    <w:rsid w:val="002D1386"/>
    <w:rsid w:val="002D6CAE"/>
    <w:rsid w:val="002E0096"/>
    <w:rsid w:val="002E08AB"/>
    <w:rsid w:val="002E0E8C"/>
    <w:rsid w:val="002E18D2"/>
    <w:rsid w:val="002E3393"/>
    <w:rsid w:val="002E4133"/>
    <w:rsid w:val="002E41B5"/>
    <w:rsid w:val="002E53B9"/>
    <w:rsid w:val="002E53CC"/>
    <w:rsid w:val="002E78C7"/>
    <w:rsid w:val="002F09CD"/>
    <w:rsid w:val="002F0B44"/>
    <w:rsid w:val="002F1EB6"/>
    <w:rsid w:val="002F2C8D"/>
    <w:rsid w:val="002F40E3"/>
    <w:rsid w:val="00300CC7"/>
    <w:rsid w:val="003016DE"/>
    <w:rsid w:val="0030311A"/>
    <w:rsid w:val="00304E2C"/>
    <w:rsid w:val="003055FA"/>
    <w:rsid w:val="00306CE4"/>
    <w:rsid w:val="00306DA8"/>
    <w:rsid w:val="00310E46"/>
    <w:rsid w:val="00312010"/>
    <w:rsid w:val="00312DC1"/>
    <w:rsid w:val="00315F51"/>
    <w:rsid w:val="00316331"/>
    <w:rsid w:val="00317AFA"/>
    <w:rsid w:val="00320454"/>
    <w:rsid w:val="00320624"/>
    <w:rsid w:val="00321A40"/>
    <w:rsid w:val="00321B00"/>
    <w:rsid w:val="00322DE7"/>
    <w:rsid w:val="00323977"/>
    <w:rsid w:val="0032409B"/>
    <w:rsid w:val="00324741"/>
    <w:rsid w:val="003263AE"/>
    <w:rsid w:val="003272B1"/>
    <w:rsid w:val="00327E44"/>
    <w:rsid w:val="0033063E"/>
    <w:rsid w:val="00330997"/>
    <w:rsid w:val="003311D0"/>
    <w:rsid w:val="0033282F"/>
    <w:rsid w:val="0033302B"/>
    <w:rsid w:val="0033484C"/>
    <w:rsid w:val="0033514F"/>
    <w:rsid w:val="00336293"/>
    <w:rsid w:val="00337800"/>
    <w:rsid w:val="0034410E"/>
    <w:rsid w:val="003456A2"/>
    <w:rsid w:val="003478EE"/>
    <w:rsid w:val="00347AD9"/>
    <w:rsid w:val="0035009F"/>
    <w:rsid w:val="00350619"/>
    <w:rsid w:val="00351E29"/>
    <w:rsid w:val="0035240A"/>
    <w:rsid w:val="00352C7C"/>
    <w:rsid w:val="00353273"/>
    <w:rsid w:val="003551F6"/>
    <w:rsid w:val="00355241"/>
    <w:rsid w:val="003564F7"/>
    <w:rsid w:val="00356856"/>
    <w:rsid w:val="0035711B"/>
    <w:rsid w:val="003572B7"/>
    <w:rsid w:val="00360A72"/>
    <w:rsid w:val="003626B9"/>
    <w:rsid w:val="00362C2B"/>
    <w:rsid w:val="00363408"/>
    <w:rsid w:val="00365614"/>
    <w:rsid w:val="00365A78"/>
    <w:rsid w:val="003667AE"/>
    <w:rsid w:val="003674E5"/>
    <w:rsid w:val="00367E1B"/>
    <w:rsid w:val="0037225A"/>
    <w:rsid w:val="00372309"/>
    <w:rsid w:val="003724A4"/>
    <w:rsid w:val="00373DEF"/>
    <w:rsid w:val="00374354"/>
    <w:rsid w:val="0037482B"/>
    <w:rsid w:val="003801E2"/>
    <w:rsid w:val="0038095D"/>
    <w:rsid w:val="00381830"/>
    <w:rsid w:val="003819D6"/>
    <w:rsid w:val="00381A18"/>
    <w:rsid w:val="00382C99"/>
    <w:rsid w:val="0038516B"/>
    <w:rsid w:val="00387F59"/>
    <w:rsid w:val="00392CE7"/>
    <w:rsid w:val="003A2461"/>
    <w:rsid w:val="003A474C"/>
    <w:rsid w:val="003A5440"/>
    <w:rsid w:val="003A717D"/>
    <w:rsid w:val="003B0B8E"/>
    <w:rsid w:val="003B14EF"/>
    <w:rsid w:val="003B3D67"/>
    <w:rsid w:val="003B4287"/>
    <w:rsid w:val="003B72F8"/>
    <w:rsid w:val="003C2482"/>
    <w:rsid w:val="003C2724"/>
    <w:rsid w:val="003C3DCC"/>
    <w:rsid w:val="003C69D9"/>
    <w:rsid w:val="003D033F"/>
    <w:rsid w:val="003D329A"/>
    <w:rsid w:val="003D3B2E"/>
    <w:rsid w:val="003D43E6"/>
    <w:rsid w:val="003D4CA5"/>
    <w:rsid w:val="003D6254"/>
    <w:rsid w:val="003D6A79"/>
    <w:rsid w:val="003D7515"/>
    <w:rsid w:val="003E0B40"/>
    <w:rsid w:val="003E3208"/>
    <w:rsid w:val="003E5136"/>
    <w:rsid w:val="003E5EA5"/>
    <w:rsid w:val="003E7880"/>
    <w:rsid w:val="003E7A82"/>
    <w:rsid w:val="003F1A55"/>
    <w:rsid w:val="003F250A"/>
    <w:rsid w:val="003F2844"/>
    <w:rsid w:val="003F3EE8"/>
    <w:rsid w:val="003F506E"/>
    <w:rsid w:val="003F76BE"/>
    <w:rsid w:val="0040067D"/>
    <w:rsid w:val="0040191F"/>
    <w:rsid w:val="00403F03"/>
    <w:rsid w:val="00404031"/>
    <w:rsid w:val="00404B76"/>
    <w:rsid w:val="00405524"/>
    <w:rsid w:val="00405FED"/>
    <w:rsid w:val="004062FD"/>
    <w:rsid w:val="00407C37"/>
    <w:rsid w:val="00410673"/>
    <w:rsid w:val="0041327F"/>
    <w:rsid w:val="0041455F"/>
    <w:rsid w:val="00415443"/>
    <w:rsid w:val="0041700B"/>
    <w:rsid w:val="00420578"/>
    <w:rsid w:val="00425B7D"/>
    <w:rsid w:val="004265D0"/>
    <w:rsid w:val="004278CA"/>
    <w:rsid w:val="00436BD9"/>
    <w:rsid w:val="00437BCC"/>
    <w:rsid w:val="00442626"/>
    <w:rsid w:val="0044418A"/>
    <w:rsid w:val="004441B8"/>
    <w:rsid w:val="00444248"/>
    <w:rsid w:val="00444C96"/>
    <w:rsid w:val="00447BA8"/>
    <w:rsid w:val="00447CA1"/>
    <w:rsid w:val="00450DE5"/>
    <w:rsid w:val="00451623"/>
    <w:rsid w:val="00451CC7"/>
    <w:rsid w:val="00452420"/>
    <w:rsid w:val="00452DE1"/>
    <w:rsid w:val="00456508"/>
    <w:rsid w:val="004574F6"/>
    <w:rsid w:val="00461180"/>
    <w:rsid w:val="00463D46"/>
    <w:rsid w:val="00466833"/>
    <w:rsid w:val="004714A1"/>
    <w:rsid w:val="00471518"/>
    <w:rsid w:val="00472029"/>
    <w:rsid w:val="00472434"/>
    <w:rsid w:val="00474DA0"/>
    <w:rsid w:val="00475519"/>
    <w:rsid w:val="00475D8D"/>
    <w:rsid w:val="004776F5"/>
    <w:rsid w:val="004777E0"/>
    <w:rsid w:val="00480715"/>
    <w:rsid w:val="00484CE8"/>
    <w:rsid w:val="00484D0E"/>
    <w:rsid w:val="0048623E"/>
    <w:rsid w:val="0048652E"/>
    <w:rsid w:val="00492BBC"/>
    <w:rsid w:val="00493C1A"/>
    <w:rsid w:val="00493C65"/>
    <w:rsid w:val="00494480"/>
    <w:rsid w:val="00494C86"/>
    <w:rsid w:val="00495BD1"/>
    <w:rsid w:val="004A14D3"/>
    <w:rsid w:val="004A1848"/>
    <w:rsid w:val="004A3084"/>
    <w:rsid w:val="004B05D4"/>
    <w:rsid w:val="004B082B"/>
    <w:rsid w:val="004B0C1B"/>
    <w:rsid w:val="004B0C94"/>
    <w:rsid w:val="004B170C"/>
    <w:rsid w:val="004B2BAF"/>
    <w:rsid w:val="004B322A"/>
    <w:rsid w:val="004B3C76"/>
    <w:rsid w:val="004B5D49"/>
    <w:rsid w:val="004B5F32"/>
    <w:rsid w:val="004C26DB"/>
    <w:rsid w:val="004C2C2A"/>
    <w:rsid w:val="004C3358"/>
    <w:rsid w:val="004C4B51"/>
    <w:rsid w:val="004C5725"/>
    <w:rsid w:val="004D037A"/>
    <w:rsid w:val="004D0B1A"/>
    <w:rsid w:val="004D346C"/>
    <w:rsid w:val="004D4309"/>
    <w:rsid w:val="004D451F"/>
    <w:rsid w:val="004E293F"/>
    <w:rsid w:val="004E45A3"/>
    <w:rsid w:val="004E5518"/>
    <w:rsid w:val="004E5F10"/>
    <w:rsid w:val="004E61EA"/>
    <w:rsid w:val="004E72F2"/>
    <w:rsid w:val="004F10D4"/>
    <w:rsid w:val="004F1396"/>
    <w:rsid w:val="004F13E7"/>
    <w:rsid w:val="004F1475"/>
    <w:rsid w:val="004F1704"/>
    <w:rsid w:val="004F1F60"/>
    <w:rsid w:val="004F2669"/>
    <w:rsid w:val="004F3221"/>
    <w:rsid w:val="004F4214"/>
    <w:rsid w:val="004F4338"/>
    <w:rsid w:val="004F6244"/>
    <w:rsid w:val="004F73DD"/>
    <w:rsid w:val="00500461"/>
    <w:rsid w:val="00500951"/>
    <w:rsid w:val="00500A25"/>
    <w:rsid w:val="005031ED"/>
    <w:rsid w:val="005054D3"/>
    <w:rsid w:val="00505735"/>
    <w:rsid w:val="005059DE"/>
    <w:rsid w:val="00506DB8"/>
    <w:rsid w:val="00507C22"/>
    <w:rsid w:val="00507E1E"/>
    <w:rsid w:val="00511E51"/>
    <w:rsid w:val="0051263A"/>
    <w:rsid w:val="005131E8"/>
    <w:rsid w:val="00513E25"/>
    <w:rsid w:val="00514DB9"/>
    <w:rsid w:val="00517A8A"/>
    <w:rsid w:val="00522803"/>
    <w:rsid w:val="005242F0"/>
    <w:rsid w:val="00526501"/>
    <w:rsid w:val="00530233"/>
    <w:rsid w:val="005318BA"/>
    <w:rsid w:val="00533ED9"/>
    <w:rsid w:val="00534D6D"/>
    <w:rsid w:val="005357DE"/>
    <w:rsid w:val="00535884"/>
    <w:rsid w:val="005428AF"/>
    <w:rsid w:val="005429D5"/>
    <w:rsid w:val="00542FAC"/>
    <w:rsid w:val="005443AB"/>
    <w:rsid w:val="00544AA8"/>
    <w:rsid w:val="00545BEC"/>
    <w:rsid w:val="00545CA2"/>
    <w:rsid w:val="00546A60"/>
    <w:rsid w:val="00547366"/>
    <w:rsid w:val="0055010E"/>
    <w:rsid w:val="005505E1"/>
    <w:rsid w:val="00550D41"/>
    <w:rsid w:val="00554CE3"/>
    <w:rsid w:val="00556914"/>
    <w:rsid w:val="00556B72"/>
    <w:rsid w:val="00556BC4"/>
    <w:rsid w:val="00557771"/>
    <w:rsid w:val="00560CBD"/>
    <w:rsid w:val="00561441"/>
    <w:rsid w:val="00561D33"/>
    <w:rsid w:val="00562F74"/>
    <w:rsid w:val="00562FD2"/>
    <w:rsid w:val="00564616"/>
    <w:rsid w:val="00565045"/>
    <w:rsid w:val="00566037"/>
    <w:rsid w:val="00567836"/>
    <w:rsid w:val="005706C3"/>
    <w:rsid w:val="00573C2F"/>
    <w:rsid w:val="0057435D"/>
    <w:rsid w:val="00576116"/>
    <w:rsid w:val="005801D8"/>
    <w:rsid w:val="0058032A"/>
    <w:rsid w:val="00580EA3"/>
    <w:rsid w:val="00582073"/>
    <w:rsid w:val="00583E7F"/>
    <w:rsid w:val="0058525D"/>
    <w:rsid w:val="0058580D"/>
    <w:rsid w:val="00587E55"/>
    <w:rsid w:val="00590FA9"/>
    <w:rsid w:val="0059208C"/>
    <w:rsid w:val="00592B54"/>
    <w:rsid w:val="0059429C"/>
    <w:rsid w:val="005A0C12"/>
    <w:rsid w:val="005A11C5"/>
    <w:rsid w:val="005A1608"/>
    <w:rsid w:val="005A2715"/>
    <w:rsid w:val="005A2EFB"/>
    <w:rsid w:val="005A7E66"/>
    <w:rsid w:val="005B071A"/>
    <w:rsid w:val="005B1B46"/>
    <w:rsid w:val="005B2166"/>
    <w:rsid w:val="005B5575"/>
    <w:rsid w:val="005B5F77"/>
    <w:rsid w:val="005B5FB7"/>
    <w:rsid w:val="005C0A67"/>
    <w:rsid w:val="005C0C33"/>
    <w:rsid w:val="005C50D7"/>
    <w:rsid w:val="005C5CFB"/>
    <w:rsid w:val="005D0C17"/>
    <w:rsid w:val="005D16B7"/>
    <w:rsid w:val="005D266C"/>
    <w:rsid w:val="005D3A53"/>
    <w:rsid w:val="005D4655"/>
    <w:rsid w:val="005D4815"/>
    <w:rsid w:val="005D5A84"/>
    <w:rsid w:val="005D70F7"/>
    <w:rsid w:val="005E0815"/>
    <w:rsid w:val="005E1284"/>
    <w:rsid w:val="005E1AB8"/>
    <w:rsid w:val="005E1F75"/>
    <w:rsid w:val="005E3F38"/>
    <w:rsid w:val="005E48AB"/>
    <w:rsid w:val="005E57D2"/>
    <w:rsid w:val="005E67A0"/>
    <w:rsid w:val="005F272C"/>
    <w:rsid w:val="005F5915"/>
    <w:rsid w:val="005F659B"/>
    <w:rsid w:val="005F7260"/>
    <w:rsid w:val="005F7A03"/>
    <w:rsid w:val="00601F3C"/>
    <w:rsid w:val="0060210F"/>
    <w:rsid w:val="006023E5"/>
    <w:rsid w:val="00602C6B"/>
    <w:rsid w:val="00603A13"/>
    <w:rsid w:val="00603BE2"/>
    <w:rsid w:val="00604155"/>
    <w:rsid w:val="00605E5B"/>
    <w:rsid w:val="0060600F"/>
    <w:rsid w:val="00606510"/>
    <w:rsid w:val="00606DDF"/>
    <w:rsid w:val="006121E6"/>
    <w:rsid w:val="0061251F"/>
    <w:rsid w:val="00612D20"/>
    <w:rsid w:val="00613050"/>
    <w:rsid w:val="006132B5"/>
    <w:rsid w:val="00615227"/>
    <w:rsid w:val="00616F86"/>
    <w:rsid w:val="0061782D"/>
    <w:rsid w:val="00620624"/>
    <w:rsid w:val="0062172D"/>
    <w:rsid w:val="00621812"/>
    <w:rsid w:val="00621B60"/>
    <w:rsid w:val="006237A4"/>
    <w:rsid w:val="00623B30"/>
    <w:rsid w:val="0062453D"/>
    <w:rsid w:val="00624FA1"/>
    <w:rsid w:val="00625AF1"/>
    <w:rsid w:val="00626AB2"/>
    <w:rsid w:val="0062708F"/>
    <w:rsid w:val="006274CF"/>
    <w:rsid w:val="006300E1"/>
    <w:rsid w:val="00630B5D"/>
    <w:rsid w:val="00630E16"/>
    <w:rsid w:val="00631BF1"/>
    <w:rsid w:val="00632B08"/>
    <w:rsid w:val="00633524"/>
    <w:rsid w:val="00633FD7"/>
    <w:rsid w:val="00634BFB"/>
    <w:rsid w:val="006359E5"/>
    <w:rsid w:val="00635CE6"/>
    <w:rsid w:val="00637EE8"/>
    <w:rsid w:val="00640874"/>
    <w:rsid w:val="00640B39"/>
    <w:rsid w:val="00642BA9"/>
    <w:rsid w:val="00643148"/>
    <w:rsid w:val="006458E6"/>
    <w:rsid w:val="00647510"/>
    <w:rsid w:val="00647555"/>
    <w:rsid w:val="006513A6"/>
    <w:rsid w:val="0065529F"/>
    <w:rsid w:val="00655FDB"/>
    <w:rsid w:val="006567CC"/>
    <w:rsid w:val="0066110D"/>
    <w:rsid w:val="006611C5"/>
    <w:rsid w:val="006611E5"/>
    <w:rsid w:val="00663A8C"/>
    <w:rsid w:val="00663B08"/>
    <w:rsid w:val="00667082"/>
    <w:rsid w:val="0067028F"/>
    <w:rsid w:val="00671805"/>
    <w:rsid w:val="006731A6"/>
    <w:rsid w:val="006736B7"/>
    <w:rsid w:val="00674334"/>
    <w:rsid w:val="00676399"/>
    <w:rsid w:val="0067773E"/>
    <w:rsid w:val="0068001B"/>
    <w:rsid w:val="006820C4"/>
    <w:rsid w:val="00683044"/>
    <w:rsid w:val="00683DAD"/>
    <w:rsid w:val="00684011"/>
    <w:rsid w:val="006860B8"/>
    <w:rsid w:val="00686DCE"/>
    <w:rsid w:val="00687C3A"/>
    <w:rsid w:val="0069491A"/>
    <w:rsid w:val="006A094B"/>
    <w:rsid w:val="006A1FBE"/>
    <w:rsid w:val="006A3E2A"/>
    <w:rsid w:val="006A6CB3"/>
    <w:rsid w:val="006A7B75"/>
    <w:rsid w:val="006B0778"/>
    <w:rsid w:val="006B2612"/>
    <w:rsid w:val="006B45EC"/>
    <w:rsid w:val="006B7D07"/>
    <w:rsid w:val="006C2BF8"/>
    <w:rsid w:val="006C2FE1"/>
    <w:rsid w:val="006C5B80"/>
    <w:rsid w:val="006C73E1"/>
    <w:rsid w:val="006C7C4B"/>
    <w:rsid w:val="006D0EC8"/>
    <w:rsid w:val="006D3B59"/>
    <w:rsid w:val="006D5042"/>
    <w:rsid w:val="006D5603"/>
    <w:rsid w:val="006D686B"/>
    <w:rsid w:val="006E00C5"/>
    <w:rsid w:val="006E0EB2"/>
    <w:rsid w:val="006E5412"/>
    <w:rsid w:val="006E5E72"/>
    <w:rsid w:val="006E69A4"/>
    <w:rsid w:val="006F0928"/>
    <w:rsid w:val="006F14AE"/>
    <w:rsid w:val="006F247A"/>
    <w:rsid w:val="006F6181"/>
    <w:rsid w:val="006F76D3"/>
    <w:rsid w:val="007017C5"/>
    <w:rsid w:val="007026AB"/>
    <w:rsid w:val="00702E40"/>
    <w:rsid w:val="007038CC"/>
    <w:rsid w:val="0070465C"/>
    <w:rsid w:val="00705EE4"/>
    <w:rsid w:val="00706418"/>
    <w:rsid w:val="0070778E"/>
    <w:rsid w:val="00711057"/>
    <w:rsid w:val="007117EA"/>
    <w:rsid w:val="00713AA8"/>
    <w:rsid w:val="007140BB"/>
    <w:rsid w:val="0071591E"/>
    <w:rsid w:val="00716649"/>
    <w:rsid w:val="007177C6"/>
    <w:rsid w:val="00720053"/>
    <w:rsid w:val="007219B0"/>
    <w:rsid w:val="00723E33"/>
    <w:rsid w:val="00724F21"/>
    <w:rsid w:val="00726237"/>
    <w:rsid w:val="007268F7"/>
    <w:rsid w:val="007274A8"/>
    <w:rsid w:val="00727B99"/>
    <w:rsid w:val="00730476"/>
    <w:rsid w:val="007310B9"/>
    <w:rsid w:val="00741951"/>
    <w:rsid w:val="00742619"/>
    <w:rsid w:val="00742B0B"/>
    <w:rsid w:val="00742FC4"/>
    <w:rsid w:val="00744974"/>
    <w:rsid w:val="00744FCC"/>
    <w:rsid w:val="00747146"/>
    <w:rsid w:val="007501C9"/>
    <w:rsid w:val="00750951"/>
    <w:rsid w:val="007544C1"/>
    <w:rsid w:val="007551F3"/>
    <w:rsid w:val="00757101"/>
    <w:rsid w:val="00760028"/>
    <w:rsid w:val="0076068D"/>
    <w:rsid w:val="0076522E"/>
    <w:rsid w:val="00765E78"/>
    <w:rsid w:val="0076602C"/>
    <w:rsid w:val="00767081"/>
    <w:rsid w:val="0077005B"/>
    <w:rsid w:val="00770AB2"/>
    <w:rsid w:val="00770D75"/>
    <w:rsid w:val="007748DE"/>
    <w:rsid w:val="00775077"/>
    <w:rsid w:val="00776945"/>
    <w:rsid w:val="007815EA"/>
    <w:rsid w:val="00784C0E"/>
    <w:rsid w:val="00786FFA"/>
    <w:rsid w:val="00787095"/>
    <w:rsid w:val="007908A5"/>
    <w:rsid w:val="00791330"/>
    <w:rsid w:val="00794D4B"/>
    <w:rsid w:val="007955BD"/>
    <w:rsid w:val="00795AE7"/>
    <w:rsid w:val="0079729F"/>
    <w:rsid w:val="00797671"/>
    <w:rsid w:val="007A0C12"/>
    <w:rsid w:val="007A492B"/>
    <w:rsid w:val="007A513B"/>
    <w:rsid w:val="007A5564"/>
    <w:rsid w:val="007A7F96"/>
    <w:rsid w:val="007B0D90"/>
    <w:rsid w:val="007B29E8"/>
    <w:rsid w:val="007B33F3"/>
    <w:rsid w:val="007B650A"/>
    <w:rsid w:val="007C18D5"/>
    <w:rsid w:val="007C1E3C"/>
    <w:rsid w:val="007C2314"/>
    <w:rsid w:val="007C26F6"/>
    <w:rsid w:val="007C4C34"/>
    <w:rsid w:val="007D11F3"/>
    <w:rsid w:val="007D200F"/>
    <w:rsid w:val="007D300F"/>
    <w:rsid w:val="007D3B73"/>
    <w:rsid w:val="007D4F1C"/>
    <w:rsid w:val="007D5292"/>
    <w:rsid w:val="007D69CB"/>
    <w:rsid w:val="007E592B"/>
    <w:rsid w:val="007F3EFC"/>
    <w:rsid w:val="007F403F"/>
    <w:rsid w:val="007F4389"/>
    <w:rsid w:val="007F4670"/>
    <w:rsid w:val="007F7F35"/>
    <w:rsid w:val="00801582"/>
    <w:rsid w:val="00801776"/>
    <w:rsid w:val="008019BD"/>
    <w:rsid w:val="00802BFF"/>
    <w:rsid w:val="0080341C"/>
    <w:rsid w:val="0080626E"/>
    <w:rsid w:val="00806738"/>
    <w:rsid w:val="00810910"/>
    <w:rsid w:val="00810E68"/>
    <w:rsid w:val="00811B52"/>
    <w:rsid w:val="00811C6F"/>
    <w:rsid w:val="00812AFD"/>
    <w:rsid w:val="0081307D"/>
    <w:rsid w:val="008144EF"/>
    <w:rsid w:val="00815F22"/>
    <w:rsid w:val="00817BA9"/>
    <w:rsid w:val="0082073C"/>
    <w:rsid w:val="00821796"/>
    <w:rsid w:val="00824AD1"/>
    <w:rsid w:val="00827735"/>
    <w:rsid w:val="00835797"/>
    <w:rsid w:val="00835C5B"/>
    <w:rsid w:val="0083737D"/>
    <w:rsid w:val="00837C2B"/>
    <w:rsid w:val="0084062C"/>
    <w:rsid w:val="00841BD0"/>
    <w:rsid w:val="0084278D"/>
    <w:rsid w:val="00851EE6"/>
    <w:rsid w:val="008522CE"/>
    <w:rsid w:val="00853B56"/>
    <w:rsid w:val="00854708"/>
    <w:rsid w:val="008559D5"/>
    <w:rsid w:val="00856E89"/>
    <w:rsid w:val="00857522"/>
    <w:rsid w:val="00861143"/>
    <w:rsid w:val="00863252"/>
    <w:rsid w:val="0086646E"/>
    <w:rsid w:val="00866523"/>
    <w:rsid w:val="00872ABC"/>
    <w:rsid w:val="00872F22"/>
    <w:rsid w:val="00873623"/>
    <w:rsid w:val="00874F7E"/>
    <w:rsid w:val="0087507D"/>
    <w:rsid w:val="00875546"/>
    <w:rsid w:val="00875A0A"/>
    <w:rsid w:val="00877C96"/>
    <w:rsid w:val="00880488"/>
    <w:rsid w:val="00880E99"/>
    <w:rsid w:val="00881261"/>
    <w:rsid w:val="0088223F"/>
    <w:rsid w:val="00883A60"/>
    <w:rsid w:val="00884159"/>
    <w:rsid w:val="008843FB"/>
    <w:rsid w:val="00885592"/>
    <w:rsid w:val="00886986"/>
    <w:rsid w:val="00887BB0"/>
    <w:rsid w:val="00890B8D"/>
    <w:rsid w:val="008916D1"/>
    <w:rsid w:val="00892D86"/>
    <w:rsid w:val="00893365"/>
    <w:rsid w:val="00893B71"/>
    <w:rsid w:val="008944C7"/>
    <w:rsid w:val="008951CD"/>
    <w:rsid w:val="008955D9"/>
    <w:rsid w:val="0089669B"/>
    <w:rsid w:val="00896FA6"/>
    <w:rsid w:val="008A13C5"/>
    <w:rsid w:val="008A1DB5"/>
    <w:rsid w:val="008A3373"/>
    <w:rsid w:val="008A5569"/>
    <w:rsid w:val="008A5F3F"/>
    <w:rsid w:val="008B0B71"/>
    <w:rsid w:val="008B2CE7"/>
    <w:rsid w:val="008B38F5"/>
    <w:rsid w:val="008B40A5"/>
    <w:rsid w:val="008B5F44"/>
    <w:rsid w:val="008B71B8"/>
    <w:rsid w:val="008B7654"/>
    <w:rsid w:val="008C10E7"/>
    <w:rsid w:val="008C1110"/>
    <w:rsid w:val="008C23D2"/>
    <w:rsid w:val="008C264D"/>
    <w:rsid w:val="008C57BE"/>
    <w:rsid w:val="008C589D"/>
    <w:rsid w:val="008C5B1F"/>
    <w:rsid w:val="008C73FE"/>
    <w:rsid w:val="008D0D07"/>
    <w:rsid w:val="008D28D2"/>
    <w:rsid w:val="008D29B5"/>
    <w:rsid w:val="008D46CB"/>
    <w:rsid w:val="008D5BFD"/>
    <w:rsid w:val="008D6D79"/>
    <w:rsid w:val="008D6F89"/>
    <w:rsid w:val="008D75B9"/>
    <w:rsid w:val="008E1C9A"/>
    <w:rsid w:val="008E2D76"/>
    <w:rsid w:val="008E3210"/>
    <w:rsid w:val="008E3D73"/>
    <w:rsid w:val="008E5EBF"/>
    <w:rsid w:val="008E6A2E"/>
    <w:rsid w:val="008E70EB"/>
    <w:rsid w:val="008E7AA7"/>
    <w:rsid w:val="008E7E2E"/>
    <w:rsid w:val="008F006D"/>
    <w:rsid w:val="008F00EC"/>
    <w:rsid w:val="008F00FC"/>
    <w:rsid w:val="008F029C"/>
    <w:rsid w:val="008F07A9"/>
    <w:rsid w:val="008F0D55"/>
    <w:rsid w:val="008F1AE9"/>
    <w:rsid w:val="008F2175"/>
    <w:rsid w:val="008F283C"/>
    <w:rsid w:val="008F2913"/>
    <w:rsid w:val="008F33C7"/>
    <w:rsid w:val="008F350B"/>
    <w:rsid w:val="008F37C2"/>
    <w:rsid w:val="008F40CC"/>
    <w:rsid w:val="008F4725"/>
    <w:rsid w:val="008F4F84"/>
    <w:rsid w:val="008F5E0C"/>
    <w:rsid w:val="008F658B"/>
    <w:rsid w:val="008F75D1"/>
    <w:rsid w:val="008F7C8F"/>
    <w:rsid w:val="0090065F"/>
    <w:rsid w:val="00900FD1"/>
    <w:rsid w:val="00905F14"/>
    <w:rsid w:val="00907924"/>
    <w:rsid w:val="00913DEC"/>
    <w:rsid w:val="00916509"/>
    <w:rsid w:val="00916782"/>
    <w:rsid w:val="0091743E"/>
    <w:rsid w:val="00921A57"/>
    <w:rsid w:val="009231CA"/>
    <w:rsid w:val="00923D55"/>
    <w:rsid w:val="00924178"/>
    <w:rsid w:val="00924741"/>
    <w:rsid w:val="00925640"/>
    <w:rsid w:val="00927471"/>
    <w:rsid w:val="0092749F"/>
    <w:rsid w:val="00927A4F"/>
    <w:rsid w:val="00927F0E"/>
    <w:rsid w:val="009308DE"/>
    <w:rsid w:val="009329FD"/>
    <w:rsid w:val="00932CC4"/>
    <w:rsid w:val="00932ECE"/>
    <w:rsid w:val="00933830"/>
    <w:rsid w:val="00933C4A"/>
    <w:rsid w:val="00933FE7"/>
    <w:rsid w:val="00934F4E"/>
    <w:rsid w:val="00935556"/>
    <w:rsid w:val="009357DA"/>
    <w:rsid w:val="00935AB9"/>
    <w:rsid w:val="0094065F"/>
    <w:rsid w:val="00943AC1"/>
    <w:rsid w:val="00944678"/>
    <w:rsid w:val="00946BDC"/>
    <w:rsid w:val="00950242"/>
    <w:rsid w:val="00950452"/>
    <w:rsid w:val="00951358"/>
    <w:rsid w:val="00953EFE"/>
    <w:rsid w:val="00955D0D"/>
    <w:rsid w:val="00957DEB"/>
    <w:rsid w:val="009635CF"/>
    <w:rsid w:val="00964726"/>
    <w:rsid w:val="00966092"/>
    <w:rsid w:val="0097034E"/>
    <w:rsid w:val="0097151D"/>
    <w:rsid w:val="00971800"/>
    <w:rsid w:val="00973854"/>
    <w:rsid w:val="00973CFA"/>
    <w:rsid w:val="00974A52"/>
    <w:rsid w:val="00975A21"/>
    <w:rsid w:val="00984780"/>
    <w:rsid w:val="00984800"/>
    <w:rsid w:val="009853A9"/>
    <w:rsid w:val="00986600"/>
    <w:rsid w:val="00987AF5"/>
    <w:rsid w:val="00990602"/>
    <w:rsid w:val="00991B87"/>
    <w:rsid w:val="00992FCC"/>
    <w:rsid w:val="0099491D"/>
    <w:rsid w:val="0099756D"/>
    <w:rsid w:val="009975ED"/>
    <w:rsid w:val="0099789E"/>
    <w:rsid w:val="009A1F47"/>
    <w:rsid w:val="009A2718"/>
    <w:rsid w:val="009A31B0"/>
    <w:rsid w:val="009A47AE"/>
    <w:rsid w:val="009A65E1"/>
    <w:rsid w:val="009A6F8B"/>
    <w:rsid w:val="009A6FA8"/>
    <w:rsid w:val="009B0E0C"/>
    <w:rsid w:val="009B14EA"/>
    <w:rsid w:val="009B2749"/>
    <w:rsid w:val="009B2B56"/>
    <w:rsid w:val="009B3106"/>
    <w:rsid w:val="009B3A14"/>
    <w:rsid w:val="009B45AB"/>
    <w:rsid w:val="009B560F"/>
    <w:rsid w:val="009B6343"/>
    <w:rsid w:val="009B65DC"/>
    <w:rsid w:val="009C0AE8"/>
    <w:rsid w:val="009C139B"/>
    <w:rsid w:val="009C249F"/>
    <w:rsid w:val="009C392F"/>
    <w:rsid w:val="009C395D"/>
    <w:rsid w:val="009C543F"/>
    <w:rsid w:val="009C5B4C"/>
    <w:rsid w:val="009C6225"/>
    <w:rsid w:val="009C69EB"/>
    <w:rsid w:val="009C6D65"/>
    <w:rsid w:val="009C7DB1"/>
    <w:rsid w:val="009D3728"/>
    <w:rsid w:val="009D5900"/>
    <w:rsid w:val="009D7122"/>
    <w:rsid w:val="009D7BE1"/>
    <w:rsid w:val="009E059E"/>
    <w:rsid w:val="009E2B06"/>
    <w:rsid w:val="009E31BD"/>
    <w:rsid w:val="009E5612"/>
    <w:rsid w:val="009E6760"/>
    <w:rsid w:val="009E7F23"/>
    <w:rsid w:val="009F101B"/>
    <w:rsid w:val="009F6AAD"/>
    <w:rsid w:val="009F6DEE"/>
    <w:rsid w:val="009F6EE6"/>
    <w:rsid w:val="009F73DB"/>
    <w:rsid w:val="009F7F05"/>
    <w:rsid w:val="00A009CA"/>
    <w:rsid w:val="00A0148C"/>
    <w:rsid w:val="00A01661"/>
    <w:rsid w:val="00A028A7"/>
    <w:rsid w:val="00A02926"/>
    <w:rsid w:val="00A03236"/>
    <w:rsid w:val="00A04AF3"/>
    <w:rsid w:val="00A05432"/>
    <w:rsid w:val="00A06573"/>
    <w:rsid w:val="00A06B5D"/>
    <w:rsid w:val="00A07079"/>
    <w:rsid w:val="00A07EC2"/>
    <w:rsid w:val="00A108A9"/>
    <w:rsid w:val="00A114B9"/>
    <w:rsid w:val="00A11D0E"/>
    <w:rsid w:val="00A12894"/>
    <w:rsid w:val="00A12E0F"/>
    <w:rsid w:val="00A13662"/>
    <w:rsid w:val="00A21439"/>
    <w:rsid w:val="00A2283C"/>
    <w:rsid w:val="00A22B45"/>
    <w:rsid w:val="00A23810"/>
    <w:rsid w:val="00A2445F"/>
    <w:rsid w:val="00A25363"/>
    <w:rsid w:val="00A25CAB"/>
    <w:rsid w:val="00A27B4D"/>
    <w:rsid w:val="00A27C23"/>
    <w:rsid w:val="00A30B8E"/>
    <w:rsid w:val="00A31A72"/>
    <w:rsid w:val="00A32149"/>
    <w:rsid w:val="00A32619"/>
    <w:rsid w:val="00A352EA"/>
    <w:rsid w:val="00A3566D"/>
    <w:rsid w:val="00A35B65"/>
    <w:rsid w:val="00A35EE7"/>
    <w:rsid w:val="00A37967"/>
    <w:rsid w:val="00A37BB3"/>
    <w:rsid w:val="00A42A6C"/>
    <w:rsid w:val="00A42F16"/>
    <w:rsid w:val="00A46EE6"/>
    <w:rsid w:val="00A475D5"/>
    <w:rsid w:val="00A52658"/>
    <w:rsid w:val="00A53809"/>
    <w:rsid w:val="00A569F2"/>
    <w:rsid w:val="00A56EDD"/>
    <w:rsid w:val="00A5724D"/>
    <w:rsid w:val="00A60690"/>
    <w:rsid w:val="00A61151"/>
    <w:rsid w:val="00A64710"/>
    <w:rsid w:val="00A66A11"/>
    <w:rsid w:val="00A70080"/>
    <w:rsid w:val="00A70300"/>
    <w:rsid w:val="00A70C67"/>
    <w:rsid w:val="00A723C5"/>
    <w:rsid w:val="00A73096"/>
    <w:rsid w:val="00A7381E"/>
    <w:rsid w:val="00A739FB"/>
    <w:rsid w:val="00A74366"/>
    <w:rsid w:val="00A771C7"/>
    <w:rsid w:val="00A8061C"/>
    <w:rsid w:val="00A813DA"/>
    <w:rsid w:val="00A81DBC"/>
    <w:rsid w:val="00A829AB"/>
    <w:rsid w:val="00A85408"/>
    <w:rsid w:val="00A858CF"/>
    <w:rsid w:val="00A8696E"/>
    <w:rsid w:val="00A86CF9"/>
    <w:rsid w:val="00A86D09"/>
    <w:rsid w:val="00A87499"/>
    <w:rsid w:val="00A91977"/>
    <w:rsid w:val="00A930DD"/>
    <w:rsid w:val="00A93B58"/>
    <w:rsid w:val="00A94E9C"/>
    <w:rsid w:val="00A94EB0"/>
    <w:rsid w:val="00A95EB8"/>
    <w:rsid w:val="00A963A8"/>
    <w:rsid w:val="00A968CF"/>
    <w:rsid w:val="00A97CDB"/>
    <w:rsid w:val="00AA076E"/>
    <w:rsid w:val="00AA1016"/>
    <w:rsid w:val="00AA1DC0"/>
    <w:rsid w:val="00AA3C4B"/>
    <w:rsid w:val="00AA59F3"/>
    <w:rsid w:val="00AA5A68"/>
    <w:rsid w:val="00AA61DA"/>
    <w:rsid w:val="00AA72E6"/>
    <w:rsid w:val="00AA795D"/>
    <w:rsid w:val="00AB09DA"/>
    <w:rsid w:val="00AB1761"/>
    <w:rsid w:val="00AB3C4D"/>
    <w:rsid w:val="00AB3D6C"/>
    <w:rsid w:val="00AB7621"/>
    <w:rsid w:val="00AC003D"/>
    <w:rsid w:val="00AC2267"/>
    <w:rsid w:val="00AC28F6"/>
    <w:rsid w:val="00AC3F6A"/>
    <w:rsid w:val="00AC58C6"/>
    <w:rsid w:val="00AC6F9B"/>
    <w:rsid w:val="00AC72B7"/>
    <w:rsid w:val="00AC7FD9"/>
    <w:rsid w:val="00AD02C9"/>
    <w:rsid w:val="00AD17A9"/>
    <w:rsid w:val="00AD2288"/>
    <w:rsid w:val="00AD2ED5"/>
    <w:rsid w:val="00AD4E7D"/>
    <w:rsid w:val="00AD5663"/>
    <w:rsid w:val="00AD5D08"/>
    <w:rsid w:val="00AD70FD"/>
    <w:rsid w:val="00AE102D"/>
    <w:rsid w:val="00AE1770"/>
    <w:rsid w:val="00AE1B33"/>
    <w:rsid w:val="00AE33EC"/>
    <w:rsid w:val="00AE4D5C"/>
    <w:rsid w:val="00AF2805"/>
    <w:rsid w:val="00AF2B7D"/>
    <w:rsid w:val="00AF2BB0"/>
    <w:rsid w:val="00B03564"/>
    <w:rsid w:val="00B07181"/>
    <w:rsid w:val="00B10167"/>
    <w:rsid w:val="00B10179"/>
    <w:rsid w:val="00B106AE"/>
    <w:rsid w:val="00B123F7"/>
    <w:rsid w:val="00B12775"/>
    <w:rsid w:val="00B1280D"/>
    <w:rsid w:val="00B129D7"/>
    <w:rsid w:val="00B12D6B"/>
    <w:rsid w:val="00B137FE"/>
    <w:rsid w:val="00B140CE"/>
    <w:rsid w:val="00B143FC"/>
    <w:rsid w:val="00B145CC"/>
    <w:rsid w:val="00B14D82"/>
    <w:rsid w:val="00B14F4E"/>
    <w:rsid w:val="00B16204"/>
    <w:rsid w:val="00B16D18"/>
    <w:rsid w:val="00B21748"/>
    <w:rsid w:val="00B23581"/>
    <w:rsid w:val="00B23BBA"/>
    <w:rsid w:val="00B24DD1"/>
    <w:rsid w:val="00B255F1"/>
    <w:rsid w:val="00B25BA2"/>
    <w:rsid w:val="00B26640"/>
    <w:rsid w:val="00B27C70"/>
    <w:rsid w:val="00B31E12"/>
    <w:rsid w:val="00B32888"/>
    <w:rsid w:val="00B328FC"/>
    <w:rsid w:val="00B412FA"/>
    <w:rsid w:val="00B413AA"/>
    <w:rsid w:val="00B438CA"/>
    <w:rsid w:val="00B43FF2"/>
    <w:rsid w:val="00B4536A"/>
    <w:rsid w:val="00B46CD5"/>
    <w:rsid w:val="00B52186"/>
    <w:rsid w:val="00B53C57"/>
    <w:rsid w:val="00B55414"/>
    <w:rsid w:val="00B55710"/>
    <w:rsid w:val="00B55C20"/>
    <w:rsid w:val="00B56179"/>
    <w:rsid w:val="00B56512"/>
    <w:rsid w:val="00B57850"/>
    <w:rsid w:val="00B579CC"/>
    <w:rsid w:val="00B611A1"/>
    <w:rsid w:val="00B61DD8"/>
    <w:rsid w:val="00B671A1"/>
    <w:rsid w:val="00B679AF"/>
    <w:rsid w:val="00B71394"/>
    <w:rsid w:val="00B716D9"/>
    <w:rsid w:val="00B71841"/>
    <w:rsid w:val="00B8017C"/>
    <w:rsid w:val="00B80B2A"/>
    <w:rsid w:val="00B80F49"/>
    <w:rsid w:val="00B815AC"/>
    <w:rsid w:val="00B82F2F"/>
    <w:rsid w:val="00B859D1"/>
    <w:rsid w:val="00B87C6A"/>
    <w:rsid w:val="00B936DE"/>
    <w:rsid w:val="00B95315"/>
    <w:rsid w:val="00B96658"/>
    <w:rsid w:val="00B97E65"/>
    <w:rsid w:val="00BA2378"/>
    <w:rsid w:val="00BA2D56"/>
    <w:rsid w:val="00BA3051"/>
    <w:rsid w:val="00BA6182"/>
    <w:rsid w:val="00BA68C4"/>
    <w:rsid w:val="00BB0006"/>
    <w:rsid w:val="00BB29E4"/>
    <w:rsid w:val="00BB4C5B"/>
    <w:rsid w:val="00BB50F1"/>
    <w:rsid w:val="00BB6498"/>
    <w:rsid w:val="00BB7556"/>
    <w:rsid w:val="00BB7BEE"/>
    <w:rsid w:val="00BB7BF6"/>
    <w:rsid w:val="00BC43EF"/>
    <w:rsid w:val="00BC57ED"/>
    <w:rsid w:val="00BD134B"/>
    <w:rsid w:val="00BD1893"/>
    <w:rsid w:val="00BD28D4"/>
    <w:rsid w:val="00BD2E56"/>
    <w:rsid w:val="00BD7C96"/>
    <w:rsid w:val="00BE08EC"/>
    <w:rsid w:val="00BE0A23"/>
    <w:rsid w:val="00BE0F15"/>
    <w:rsid w:val="00BE30A0"/>
    <w:rsid w:val="00BE3D13"/>
    <w:rsid w:val="00BE3E08"/>
    <w:rsid w:val="00BE5AEB"/>
    <w:rsid w:val="00BE7A73"/>
    <w:rsid w:val="00BF01C7"/>
    <w:rsid w:val="00BF0DF5"/>
    <w:rsid w:val="00BF157A"/>
    <w:rsid w:val="00BF170A"/>
    <w:rsid w:val="00BF1F48"/>
    <w:rsid w:val="00BF271F"/>
    <w:rsid w:val="00BF2865"/>
    <w:rsid w:val="00BF63EE"/>
    <w:rsid w:val="00C00166"/>
    <w:rsid w:val="00C00BE8"/>
    <w:rsid w:val="00C0332C"/>
    <w:rsid w:val="00C04099"/>
    <w:rsid w:val="00C0714E"/>
    <w:rsid w:val="00C10BA5"/>
    <w:rsid w:val="00C138B1"/>
    <w:rsid w:val="00C1487D"/>
    <w:rsid w:val="00C14EF3"/>
    <w:rsid w:val="00C14EFE"/>
    <w:rsid w:val="00C1538A"/>
    <w:rsid w:val="00C175A2"/>
    <w:rsid w:val="00C2191D"/>
    <w:rsid w:val="00C21E76"/>
    <w:rsid w:val="00C2208A"/>
    <w:rsid w:val="00C229F4"/>
    <w:rsid w:val="00C22D47"/>
    <w:rsid w:val="00C236B8"/>
    <w:rsid w:val="00C246E4"/>
    <w:rsid w:val="00C24D23"/>
    <w:rsid w:val="00C2567D"/>
    <w:rsid w:val="00C25719"/>
    <w:rsid w:val="00C25CD0"/>
    <w:rsid w:val="00C26FEE"/>
    <w:rsid w:val="00C27934"/>
    <w:rsid w:val="00C319CC"/>
    <w:rsid w:val="00C3504D"/>
    <w:rsid w:val="00C35FCF"/>
    <w:rsid w:val="00C36308"/>
    <w:rsid w:val="00C404C7"/>
    <w:rsid w:val="00C40982"/>
    <w:rsid w:val="00C40A8E"/>
    <w:rsid w:val="00C41E31"/>
    <w:rsid w:val="00C456C3"/>
    <w:rsid w:val="00C45B7D"/>
    <w:rsid w:val="00C500DE"/>
    <w:rsid w:val="00C50106"/>
    <w:rsid w:val="00C52ABE"/>
    <w:rsid w:val="00C52F64"/>
    <w:rsid w:val="00C54EA4"/>
    <w:rsid w:val="00C55F23"/>
    <w:rsid w:val="00C60ABE"/>
    <w:rsid w:val="00C613B1"/>
    <w:rsid w:val="00C631B0"/>
    <w:rsid w:val="00C64EB9"/>
    <w:rsid w:val="00C718FE"/>
    <w:rsid w:val="00C725E5"/>
    <w:rsid w:val="00C72C65"/>
    <w:rsid w:val="00C748C3"/>
    <w:rsid w:val="00C75313"/>
    <w:rsid w:val="00C761D3"/>
    <w:rsid w:val="00C764CF"/>
    <w:rsid w:val="00C80AC2"/>
    <w:rsid w:val="00C80D34"/>
    <w:rsid w:val="00C81513"/>
    <w:rsid w:val="00C816B1"/>
    <w:rsid w:val="00C83B89"/>
    <w:rsid w:val="00C84305"/>
    <w:rsid w:val="00C90064"/>
    <w:rsid w:val="00C904C9"/>
    <w:rsid w:val="00C9067A"/>
    <w:rsid w:val="00C910CB"/>
    <w:rsid w:val="00C9178C"/>
    <w:rsid w:val="00C91A37"/>
    <w:rsid w:val="00C92ECB"/>
    <w:rsid w:val="00C955C4"/>
    <w:rsid w:val="00C9680E"/>
    <w:rsid w:val="00CA04CA"/>
    <w:rsid w:val="00CA0A74"/>
    <w:rsid w:val="00CA17FA"/>
    <w:rsid w:val="00CA30EC"/>
    <w:rsid w:val="00CA33FB"/>
    <w:rsid w:val="00CA3B79"/>
    <w:rsid w:val="00CA42FB"/>
    <w:rsid w:val="00CA5617"/>
    <w:rsid w:val="00CA6E11"/>
    <w:rsid w:val="00CA73D9"/>
    <w:rsid w:val="00CA7AB0"/>
    <w:rsid w:val="00CB0377"/>
    <w:rsid w:val="00CB0E26"/>
    <w:rsid w:val="00CB0FCF"/>
    <w:rsid w:val="00CB11F7"/>
    <w:rsid w:val="00CB2418"/>
    <w:rsid w:val="00CB2E62"/>
    <w:rsid w:val="00CB5A22"/>
    <w:rsid w:val="00CB766E"/>
    <w:rsid w:val="00CC14C5"/>
    <w:rsid w:val="00CC2BCC"/>
    <w:rsid w:val="00CC3D65"/>
    <w:rsid w:val="00CC52BD"/>
    <w:rsid w:val="00CC5A62"/>
    <w:rsid w:val="00CC636E"/>
    <w:rsid w:val="00CD0781"/>
    <w:rsid w:val="00CD0DAB"/>
    <w:rsid w:val="00CD119F"/>
    <w:rsid w:val="00CD1C67"/>
    <w:rsid w:val="00CD239D"/>
    <w:rsid w:val="00CD2B44"/>
    <w:rsid w:val="00CD4BA6"/>
    <w:rsid w:val="00CD5F74"/>
    <w:rsid w:val="00CD75D3"/>
    <w:rsid w:val="00CD7CB1"/>
    <w:rsid w:val="00CE0788"/>
    <w:rsid w:val="00CE0B0E"/>
    <w:rsid w:val="00CE0F0E"/>
    <w:rsid w:val="00CE10BD"/>
    <w:rsid w:val="00CE1C9D"/>
    <w:rsid w:val="00CE56A4"/>
    <w:rsid w:val="00CE6082"/>
    <w:rsid w:val="00CE6152"/>
    <w:rsid w:val="00CE7223"/>
    <w:rsid w:val="00CE7C68"/>
    <w:rsid w:val="00CF07E3"/>
    <w:rsid w:val="00CF286B"/>
    <w:rsid w:val="00CF2B27"/>
    <w:rsid w:val="00CF3864"/>
    <w:rsid w:val="00CF6813"/>
    <w:rsid w:val="00D0305C"/>
    <w:rsid w:val="00D04081"/>
    <w:rsid w:val="00D05193"/>
    <w:rsid w:val="00D054F3"/>
    <w:rsid w:val="00D06CB9"/>
    <w:rsid w:val="00D07222"/>
    <w:rsid w:val="00D101CB"/>
    <w:rsid w:val="00D11020"/>
    <w:rsid w:val="00D12BBA"/>
    <w:rsid w:val="00D15BE6"/>
    <w:rsid w:val="00D164EE"/>
    <w:rsid w:val="00D21846"/>
    <w:rsid w:val="00D21DC4"/>
    <w:rsid w:val="00D228F9"/>
    <w:rsid w:val="00D259BD"/>
    <w:rsid w:val="00D25E86"/>
    <w:rsid w:val="00D26337"/>
    <w:rsid w:val="00D27457"/>
    <w:rsid w:val="00D32806"/>
    <w:rsid w:val="00D33AC3"/>
    <w:rsid w:val="00D36C5D"/>
    <w:rsid w:val="00D3702C"/>
    <w:rsid w:val="00D40112"/>
    <w:rsid w:val="00D402BC"/>
    <w:rsid w:val="00D41172"/>
    <w:rsid w:val="00D41C87"/>
    <w:rsid w:val="00D427B4"/>
    <w:rsid w:val="00D42C93"/>
    <w:rsid w:val="00D469E9"/>
    <w:rsid w:val="00D53E16"/>
    <w:rsid w:val="00D55FE2"/>
    <w:rsid w:val="00D578B2"/>
    <w:rsid w:val="00D61D16"/>
    <w:rsid w:val="00D6474E"/>
    <w:rsid w:val="00D65DF9"/>
    <w:rsid w:val="00D66AC0"/>
    <w:rsid w:val="00D70171"/>
    <w:rsid w:val="00D732D1"/>
    <w:rsid w:val="00D751CD"/>
    <w:rsid w:val="00D80B24"/>
    <w:rsid w:val="00D81F18"/>
    <w:rsid w:val="00D823F3"/>
    <w:rsid w:val="00D82D0D"/>
    <w:rsid w:val="00D83D26"/>
    <w:rsid w:val="00D870BB"/>
    <w:rsid w:val="00D879D7"/>
    <w:rsid w:val="00D9104D"/>
    <w:rsid w:val="00D92626"/>
    <w:rsid w:val="00D92E15"/>
    <w:rsid w:val="00D93350"/>
    <w:rsid w:val="00D93957"/>
    <w:rsid w:val="00D9435A"/>
    <w:rsid w:val="00D9484E"/>
    <w:rsid w:val="00D94C4B"/>
    <w:rsid w:val="00D96946"/>
    <w:rsid w:val="00D974E1"/>
    <w:rsid w:val="00DA3426"/>
    <w:rsid w:val="00DA3C45"/>
    <w:rsid w:val="00DA5A15"/>
    <w:rsid w:val="00DA678A"/>
    <w:rsid w:val="00DA7246"/>
    <w:rsid w:val="00DB011D"/>
    <w:rsid w:val="00DB16A3"/>
    <w:rsid w:val="00DB1E38"/>
    <w:rsid w:val="00DB30A1"/>
    <w:rsid w:val="00DB5596"/>
    <w:rsid w:val="00DB6FE2"/>
    <w:rsid w:val="00DB7E18"/>
    <w:rsid w:val="00DC0146"/>
    <w:rsid w:val="00DC0FD2"/>
    <w:rsid w:val="00DC2445"/>
    <w:rsid w:val="00DC28AC"/>
    <w:rsid w:val="00DC2D81"/>
    <w:rsid w:val="00DC4313"/>
    <w:rsid w:val="00DC5890"/>
    <w:rsid w:val="00DC6E69"/>
    <w:rsid w:val="00DC747A"/>
    <w:rsid w:val="00DC7724"/>
    <w:rsid w:val="00DC7E34"/>
    <w:rsid w:val="00DD0F7E"/>
    <w:rsid w:val="00DD2108"/>
    <w:rsid w:val="00DD4D7B"/>
    <w:rsid w:val="00DD7C5A"/>
    <w:rsid w:val="00DE3927"/>
    <w:rsid w:val="00DE5B7C"/>
    <w:rsid w:val="00DE6334"/>
    <w:rsid w:val="00DE76D0"/>
    <w:rsid w:val="00DF09AB"/>
    <w:rsid w:val="00DF0B77"/>
    <w:rsid w:val="00DF13E4"/>
    <w:rsid w:val="00DF1FA6"/>
    <w:rsid w:val="00DF2AE2"/>
    <w:rsid w:val="00DF43A7"/>
    <w:rsid w:val="00DF4CC3"/>
    <w:rsid w:val="00DF7195"/>
    <w:rsid w:val="00E0121D"/>
    <w:rsid w:val="00E026D1"/>
    <w:rsid w:val="00E03263"/>
    <w:rsid w:val="00E0415F"/>
    <w:rsid w:val="00E056DB"/>
    <w:rsid w:val="00E05D45"/>
    <w:rsid w:val="00E06B6A"/>
    <w:rsid w:val="00E0700A"/>
    <w:rsid w:val="00E07CA9"/>
    <w:rsid w:val="00E10205"/>
    <w:rsid w:val="00E12AD4"/>
    <w:rsid w:val="00E14EC7"/>
    <w:rsid w:val="00E14EE0"/>
    <w:rsid w:val="00E16401"/>
    <w:rsid w:val="00E2101D"/>
    <w:rsid w:val="00E21146"/>
    <w:rsid w:val="00E21C1E"/>
    <w:rsid w:val="00E2482A"/>
    <w:rsid w:val="00E30028"/>
    <w:rsid w:val="00E30133"/>
    <w:rsid w:val="00E302A8"/>
    <w:rsid w:val="00E31C80"/>
    <w:rsid w:val="00E32376"/>
    <w:rsid w:val="00E32794"/>
    <w:rsid w:val="00E33002"/>
    <w:rsid w:val="00E3335C"/>
    <w:rsid w:val="00E34125"/>
    <w:rsid w:val="00E36890"/>
    <w:rsid w:val="00E40576"/>
    <w:rsid w:val="00E40D74"/>
    <w:rsid w:val="00E41D25"/>
    <w:rsid w:val="00E41E15"/>
    <w:rsid w:val="00E42AAB"/>
    <w:rsid w:val="00E465CC"/>
    <w:rsid w:val="00E47223"/>
    <w:rsid w:val="00E51FD2"/>
    <w:rsid w:val="00E52BF7"/>
    <w:rsid w:val="00E53165"/>
    <w:rsid w:val="00E533AE"/>
    <w:rsid w:val="00E55090"/>
    <w:rsid w:val="00E55367"/>
    <w:rsid w:val="00E56442"/>
    <w:rsid w:val="00E567E9"/>
    <w:rsid w:val="00E56928"/>
    <w:rsid w:val="00E569B6"/>
    <w:rsid w:val="00E56E98"/>
    <w:rsid w:val="00E62588"/>
    <w:rsid w:val="00E63506"/>
    <w:rsid w:val="00E635C7"/>
    <w:rsid w:val="00E65041"/>
    <w:rsid w:val="00E67191"/>
    <w:rsid w:val="00E71307"/>
    <w:rsid w:val="00E7159E"/>
    <w:rsid w:val="00E72060"/>
    <w:rsid w:val="00E72429"/>
    <w:rsid w:val="00E72AE3"/>
    <w:rsid w:val="00E76551"/>
    <w:rsid w:val="00E76C85"/>
    <w:rsid w:val="00E7762F"/>
    <w:rsid w:val="00E83C86"/>
    <w:rsid w:val="00E84159"/>
    <w:rsid w:val="00E84A8B"/>
    <w:rsid w:val="00E85024"/>
    <w:rsid w:val="00E860DB"/>
    <w:rsid w:val="00E8652A"/>
    <w:rsid w:val="00E907A3"/>
    <w:rsid w:val="00E90DBC"/>
    <w:rsid w:val="00E910B4"/>
    <w:rsid w:val="00E9116A"/>
    <w:rsid w:val="00E91EE9"/>
    <w:rsid w:val="00E9212B"/>
    <w:rsid w:val="00E92F61"/>
    <w:rsid w:val="00E96986"/>
    <w:rsid w:val="00E96D66"/>
    <w:rsid w:val="00E974DE"/>
    <w:rsid w:val="00EA15CF"/>
    <w:rsid w:val="00EA1808"/>
    <w:rsid w:val="00EA18FC"/>
    <w:rsid w:val="00EA228F"/>
    <w:rsid w:val="00EA23B9"/>
    <w:rsid w:val="00EA2783"/>
    <w:rsid w:val="00EA27D0"/>
    <w:rsid w:val="00EA3D0E"/>
    <w:rsid w:val="00EA6A13"/>
    <w:rsid w:val="00EA74F8"/>
    <w:rsid w:val="00EB15F2"/>
    <w:rsid w:val="00EB2572"/>
    <w:rsid w:val="00EB26F6"/>
    <w:rsid w:val="00EB283A"/>
    <w:rsid w:val="00EB2A7B"/>
    <w:rsid w:val="00EB385A"/>
    <w:rsid w:val="00EB3D20"/>
    <w:rsid w:val="00EB426A"/>
    <w:rsid w:val="00EB7103"/>
    <w:rsid w:val="00EC3FB4"/>
    <w:rsid w:val="00EC4166"/>
    <w:rsid w:val="00EC4B34"/>
    <w:rsid w:val="00EC52FF"/>
    <w:rsid w:val="00EC57BC"/>
    <w:rsid w:val="00EC72A4"/>
    <w:rsid w:val="00EC7385"/>
    <w:rsid w:val="00EC7A58"/>
    <w:rsid w:val="00ED2950"/>
    <w:rsid w:val="00ED3A81"/>
    <w:rsid w:val="00ED3D44"/>
    <w:rsid w:val="00ED400E"/>
    <w:rsid w:val="00ED593C"/>
    <w:rsid w:val="00ED5946"/>
    <w:rsid w:val="00ED5D6B"/>
    <w:rsid w:val="00ED60BE"/>
    <w:rsid w:val="00EE0CA1"/>
    <w:rsid w:val="00EE30C6"/>
    <w:rsid w:val="00EE35C9"/>
    <w:rsid w:val="00EE545F"/>
    <w:rsid w:val="00EE5737"/>
    <w:rsid w:val="00EE5834"/>
    <w:rsid w:val="00EE7AA6"/>
    <w:rsid w:val="00EE7C32"/>
    <w:rsid w:val="00EF015B"/>
    <w:rsid w:val="00EF360C"/>
    <w:rsid w:val="00EF48A1"/>
    <w:rsid w:val="00EF4A1E"/>
    <w:rsid w:val="00EF5006"/>
    <w:rsid w:val="00EF5967"/>
    <w:rsid w:val="00EF5D1C"/>
    <w:rsid w:val="00EF6F18"/>
    <w:rsid w:val="00F00DBC"/>
    <w:rsid w:val="00F018A4"/>
    <w:rsid w:val="00F0747E"/>
    <w:rsid w:val="00F10148"/>
    <w:rsid w:val="00F10BB9"/>
    <w:rsid w:val="00F12390"/>
    <w:rsid w:val="00F12B08"/>
    <w:rsid w:val="00F151CE"/>
    <w:rsid w:val="00F160C4"/>
    <w:rsid w:val="00F16860"/>
    <w:rsid w:val="00F16C61"/>
    <w:rsid w:val="00F16EDD"/>
    <w:rsid w:val="00F171A9"/>
    <w:rsid w:val="00F17E64"/>
    <w:rsid w:val="00F209AE"/>
    <w:rsid w:val="00F216E4"/>
    <w:rsid w:val="00F22488"/>
    <w:rsid w:val="00F24438"/>
    <w:rsid w:val="00F25FC9"/>
    <w:rsid w:val="00F273D4"/>
    <w:rsid w:val="00F30E4D"/>
    <w:rsid w:val="00F33394"/>
    <w:rsid w:val="00F336BB"/>
    <w:rsid w:val="00F34016"/>
    <w:rsid w:val="00F350D6"/>
    <w:rsid w:val="00F3546C"/>
    <w:rsid w:val="00F36201"/>
    <w:rsid w:val="00F37890"/>
    <w:rsid w:val="00F40DB4"/>
    <w:rsid w:val="00F4537D"/>
    <w:rsid w:val="00F45CB9"/>
    <w:rsid w:val="00F4767C"/>
    <w:rsid w:val="00F4774A"/>
    <w:rsid w:val="00F50266"/>
    <w:rsid w:val="00F52109"/>
    <w:rsid w:val="00F540D2"/>
    <w:rsid w:val="00F54634"/>
    <w:rsid w:val="00F54F7B"/>
    <w:rsid w:val="00F60B9E"/>
    <w:rsid w:val="00F6383A"/>
    <w:rsid w:val="00F65E11"/>
    <w:rsid w:val="00F65E26"/>
    <w:rsid w:val="00F66299"/>
    <w:rsid w:val="00F66572"/>
    <w:rsid w:val="00F702B7"/>
    <w:rsid w:val="00F71EB7"/>
    <w:rsid w:val="00F720D1"/>
    <w:rsid w:val="00F72660"/>
    <w:rsid w:val="00F7299A"/>
    <w:rsid w:val="00F73514"/>
    <w:rsid w:val="00F7356A"/>
    <w:rsid w:val="00F737AE"/>
    <w:rsid w:val="00F769C4"/>
    <w:rsid w:val="00F772AD"/>
    <w:rsid w:val="00F80195"/>
    <w:rsid w:val="00F80720"/>
    <w:rsid w:val="00F80EEB"/>
    <w:rsid w:val="00F82674"/>
    <w:rsid w:val="00F87F41"/>
    <w:rsid w:val="00F938B6"/>
    <w:rsid w:val="00F93A1E"/>
    <w:rsid w:val="00F93B79"/>
    <w:rsid w:val="00F93B83"/>
    <w:rsid w:val="00F94462"/>
    <w:rsid w:val="00F951C2"/>
    <w:rsid w:val="00F95F20"/>
    <w:rsid w:val="00F96803"/>
    <w:rsid w:val="00F96A0F"/>
    <w:rsid w:val="00FA13DB"/>
    <w:rsid w:val="00FA358A"/>
    <w:rsid w:val="00FA392C"/>
    <w:rsid w:val="00FA3B14"/>
    <w:rsid w:val="00FA5025"/>
    <w:rsid w:val="00FA6933"/>
    <w:rsid w:val="00FA7E2B"/>
    <w:rsid w:val="00FB0172"/>
    <w:rsid w:val="00FB1E9E"/>
    <w:rsid w:val="00FB55AC"/>
    <w:rsid w:val="00FB6ED8"/>
    <w:rsid w:val="00FB7D47"/>
    <w:rsid w:val="00FB7DF3"/>
    <w:rsid w:val="00FC2639"/>
    <w:rsid w:val="00FC2C7F"/>
    <w:rsid w:val="00FC6F10"/>
    <w:rsid w:val="00FD0134"/>
    <w:rsid w:val="00FD1818"/>
    <w:rsid w:val="00FD2B28"/>
    <w:rsid w:val="00FD3804"/>
    <w:rsid w:val="00FD5BFA"/>
    <w:rsid w:val="00FE1995"/>
    <w:rsid w:val="00FE308D"/>
    <w:rsid w:val="00FE5AAF"/>
    <w:rsid w:val="00FE6531"/>
    <w:rsid w:val="00FE7700"/>
    <w:rsid w:val="00FE7DFC"/>
    <w:rsid w:val="00FF1E3E"/>
    <w:rsid w:val="00FF214F"/>
    <w:rsid w:val="00FF3F72"/>
    <w:rsid w:val="00FF4B3C"/>
    <w:rsid w:val="00FF7AFD"/>
    <w:rsid w:val="01303C82"/>
    <w:rsid w:val="014F3686"/>
    <w:rsid w:val="01521719"/>
    <w:rsid w:val="015665C8"/>
    <w:rsid w:val="016E2911"/>
    <w:rsid w:val="01CE0C1F"/>
    <w:rsid w:val="01DF3DCB"/>
    <w:rsid w:val="022C3849"/>
    <w:rsid w:val="025F63BC"/>
    <w:rsid w:val="02950B0B"/>
    <w:rsid w:val="02A22C68"/>
    <w:rsid w:val="02EB000E"/>
    <w:rsid w:val="035E5010"/>
    <w:rsid w:val="03B123DB"/>
    <w:rsid w:val="03EF48B7"/>
    <w:rsid w:val="0417245C"/>
    <w:rsid w:val="044D37AE"/>
    <w:rsid w:val="046F6BBA"/>
    <w:rsid w:val="04924421"/>
    <w:rsid w:val="049A4062"/>
    <w:rsid w:val="04A60739"/>
    <w:rsid w:val="04DB7460"/>
    <w:rsid w:val="051618F2"/>
    <w:rsid w:val="051C6BD8"/>
    <w:rsid w:val="053216D9"/>
    <w:rsid w:val="05381002"/>
    <w:rsid w:val="053E1806"/>
    <w:rsid w:val="05A919EA"/>
    <w:rsid w:val="05BD69E9"/>
    <w:rsid w:val="05DF0D8A"/>
    <w:rsid w:val="05EF2323"/>
    <w:rsid w:val="06087D29"/>
    <w:rsid w:val="06435148"/>
    <w:rsid w:val="068A0FB6"/>
    <w:rsid w:val="069D2803"/>
    <w:rsid w:val="06C84889"/>
    <w:rsid w:val="07166CF3"/>
    <w:rsid w:val="071E4AE9"/>
    <w:rsid w:val="072205CD"/>
    <w:rsid w:val="07274EA0"/>
    <w:rsid w:val="07495348"/>
    <w:rsid w:val="077928EA"/>
    <w:rsid w:val="078139EF"/>
    <w:rsid w:val="0789144C"/>
    <w:rsid w:val="07A473D8"/>
    <w:rsid w:val="07F01666"/>
    <w:rsid w:val="0858326B"/>
    <w:rsid w:val="085F301F"/>
    <w:rsid w:val="08770525"/>
    <w:rsid w:val="08911593"/>
    <w:rsid w:val="08AD2F74"/>
    <w:rsid w:val="08AF3917"/>
    <w:rsid w:val="08C43283"/>
    <w:rsid w:val="08CF67D1"/>
    <w:rsid w:val="08E25679"/>
    <w:rsid w:val="08E26D40"/>
    <w:rsid w:val="08E70AC1"/>
    <w:rsid w:val="08F46105"/>
    <w:rsid w:val="09276A7B"/>
    <w:rsid w:val="09517C71"/>
    <w:rsid w:val="097F7545"/>
    <w:rsid w:val="09BC1ACA"/>
    <w:rsid w:val="09E84D64"/>
    <w:rsid w:val="09F04601"/>
    <w:rsid w:val="0A31226E"/>
    <w:rsid w:val="0A716DB5"/>
    <w:rsid w:val="0A9216AB"/>
    <w:rsid w:val="0AB0035D"/>
    <w:rsid w:val="0AD970D0"/>
    <w:rsid w:val="0AFD71EE"/>
    <w:rsid w:val="0B3F5A93"/>
    <w:rsid w:val="0B557813"/>
    <w:rsid w:val="0B615C36"/>
    <w:rsid w:val="0B6E2A4A"/>
    <w:rsid w:val="0B883D0B"/>
    <w:rsid w:val="0BAD0ECF"/>
    <w:rsid w:val="0C017ED6"/>
    <w:rsid w:val="0C1C2E00"/>
    <w:rsid w:val="0C1F5C91"/>
    <w:rsid w:val="0C2F477B"/>
    <w:rsid w:val="0C372E76"/>
    <w:rsid w:val="0C960B68"/>
    <w:rsid w:val="0CF509DB"/>
    <w:rsid w:val="0CFC098D"/>
    <w:rsid w:val="0D0D6AD3"/>
    <w:rsid w:val="0D1E6D50"/>
    <w:rsid w:val="0D3724B8"/>
    <w:rsid w:val="0D457C87"/>
    <w:rsid w:val="0D612B0F"/>
    <w:rsid w:val="0D9E0F99"/>
    <w:rsid w:val="0DB6134D"/>
    <w:rsid w:val="0E1C40EC"/>
    <w:rsid w:val="0E3310A5"/>
    <w:rsid w:val="0E4C500D"/>
    <w:rsid w:val="0E702B67"/>
    <w:rsid w:val="0EA81CC2"/>
    <w:rsid w:val="0EBE213B"/>
    <w:rsid w:val="0EC64BB8"/>
    <w:rsid w:val="0F0E23D3"/>
    <w:rsid w:val="0F4918FC"/>
    <w:rsid w:val="0F812FBF"/>
    <w:rsid w:val="0FD905E1"/>
    <w:rsid w:val="1001647B"/>
    <w:rsid w:val="102B000F"/>
    <w:rsid w:val="10522D11"/>
    <w:rsid w:val="109A7068"/>
    <w:rsid w:val="10AF0F4B"/>
    <w:rsid w:val="10C90215"/>
    <w:rsid w:val="10FD3685"/>
    <w:rsid w:val="11253491"/>
    <w:rsid w:val="11753BC1"/>
    <w:rsid w:val="118F5CD1"/>
    <w:rsid w:val="11A64E7A"/>
    <w:rsid w:val="11D622DD"/>
    <w:rsid w:val="1227727B"/>
    <w:rsid w:val="12493ADF"/>
    <w:rsid w:val="129566A6"/>
    <w:rsid w:val="12AA7A19"/>
    <w:rsid w:val="12D63DD5"/>
    <w:rsid w:val="12D66A20"/>
    <w:rsid w:val="12F1164D"/>
    <w:rsid w:val="13397871"/>
    <w:rsid w:val="13A312E4"/>
    <w:rsid w:val="13A74B02"/>
    <w:rsid w:val="13E64A69"/>
    <w:rsid w:val="14074D18"/>
    <w:rsid w:val="14160C7F"/>
    <w:rsid w:val="146565A4"/>
    <w:rsid w:val="1479766C"/>
    <w:rsid w:val="148839BD"/>
    <w:rsid w:val="14B92F2D"/>
    <w:rsid w:val="14B96DF2"/>
    <w:rsid w:val="14E20E55"/>
    <w:rsid w:val="159F24F2"/>
    <w:rsid w:val="15E011C5"/>
    <w:rsid w:val="15E07044"/>
    <w:rsid w:val="15FF67C4"/>
    <w:rsid w:val="16035854"/>
    <w:rsid w:val="160B4934"/>
    <w:rsid w:val="161C4B72"/>
    <w:rsid w:val="164F666B"/>
    <w:rsid w:val="16656677"/>
    <w:rsid w:val="16665220"/>
    <w:rsid w:val="167B50AA"/>
    <w:rsid w:val="167F2207"/>
    <w:rsid w:val="16913D87"/>
    <w:rsid w:val="16A13C3F"/>
    <w:rsid w:val="16BB7580"/>
    <w:rsid w:val="16C26D56"/>
    <w:rsid w:val="173D37F0"/>
    <w:rsid w:val="17402125"/>
    <w:rsid w:val="178108EE"/>
    <w:rsid w:val="1788175A"/>
    <w:rsid w:val="17947D36"/>
    <w:rsid w:val="180922D7"/>
    <w:rsid w:val="18241495"/>
    <w:rsid w:val="186A3334"/>
    <w:rsid w:val="189A5193"/>
    <w:rsid w:val="18A87B86"/>
    <w:rsid w:val="18D05371"/>
    <w:rsid w:val="18E13F5C"/>
    <w:rsid w:val="18E54953"/>
    <w:rsid w:val="19050D6B"/>
    <w:rsid w:val="190C7F2B"/>
    <w:rsid w:val="190E5EAB"/>
    <w:rsid w:val="192C0270"/>
    <w:rsid w:val="195C5820"/>
    <w:rsid w:val="195D109E"/>
    <w:rsid w:val="19A53724"/>
    <w:rsid w:val="19D4192D"/>
    <w:rsid w:val="19FA451B"/>
    <w:rsid w:val="1A3D58F9"/>
    <w:rsid w:val="1AA1716C"/>
    <w:rsid w:val="1AC165CA"/>
    <w:rsid w:val="1AFB053A"/>
    <w:rsid w:val="1B3E252F"/>
    <w:rsid w:val="1B3E3758"/>
    <w:rsid w:val="1B6E333A"/>
    <w:rsid w:val="1B8A65DF"/>
    <w:rsid w:val="1BC85E81"/>
    <w:rsid w:val="1BCF05BA"/>
    <w:rsid w:val="1BE44805"/>
    <w:rsid w:val="1C0A40F2"/>
    <w:rsid w:val="1C311940"/>
    <w:rsid w:val="1C5407BB"/>
    <w:rsid w:val="1C573E28"/>
    <w:rsid w:val="1C5B201D"/>
    <w:rsid w:val="1C5B3BE4"/>
    <w:rsid w:val="1C990B70"/>
    <w:rsid w:val="1CAB3058"/>
    <w:rsid w:val="1CB6718E"/>
    <w:rsid w:val="1CD82D50"/>
    <w:rsid w:val="1D130375"/>
    <w:rsid w:val="1D1F18E9"/>
    <w:rsid w:val="1D4459A8"/>
    <w:rsid w:val="1D7C40BC"/>
    <w:rsid w:val="1D8E4B19"/>
    <w:rsid w:val="1D924E1F"/>
    <w:rsid w:val="1DF37966"/>
    <w:rsid w:val="1E045E78"/>
    <w:rsid w:val="1E0F2ECB"/>
    <w:rsid w:val="1E2A1F48"/>
    <w:rsid w:val="1E307A68"/>
    <w:rsid w:val="1E390F58"/>
    <w:rsid w:val="1E5D2778"/>
    <w:rsid w:val="1E7C492E"/>
    <w:rsid w:val="1E973A58"/>
    <w:rsid w:val="1EB85138"/>
    <w:rsid w:val="1EC027DD"/>
    <w:rsid w:val="1F0967EA"/>
    <w:rsid w:val="1F6849CD"/>
    <w:rsid w:val="1F7048AE"/>
    <w:rsid w:val="1F841BCC"/>
    <w:rsid w:val="1FFE653B"/>
    <w:rsid w:val="2029325D"/>
    <w:rsid w:val="205F3F7F"/>
    <w:rsid w:val="207D6DC1"/>
    <w:rsid w:val="20A029F8"/>
    <w:rsid w:val="20C05BC8"/>
    <w:rsid w:val="20C34181"/>
    <w:rsid w:val="20E43E6F"/>
    <w:rsid w:val="20E668E4"/>
    <w:rsid w:val="213F1F71"/>
    <w:rsid w:val="214C1A56"/>
    <w:rsid w:val="21D54BA1"/>
    <w:rsid w:val="21F06B49"/>
    <w:rsid w:val="223D4EC9"/>
    <w:rsid w:val="224F4CE9"/>
    <w:rsid w:val="2255141B"/>
    <w:rsid w:val="226A681E"/>
    <w:rsid w:val="23155BFE"/>
    <w:rsid w:val="23274621"/>
    <w:rsid w:val="23530C99"/>
    <w:rsid w:val="23656A9A"/>
    <w:rsid w:val="23C677C2"/>
    <w:rsid w:val="23EB7F4D"/>
    <w:rsid w:val="241B15EE"/>
    <w:rsid w:val="242608D7"/>
    <w:rsid w:val="24321FB7"/>
    <w:rsid w:val="248A6DA9"/>
    <w:rsid w:val="24DE78D3"/>
    <w:rsid w:val="24F8269D"/>
    <w:rsid w:val="24FA1A9D"/>
    <w:rsid w:val="253D490C"/>
    <w:rsid w:val="25413F4D"/>
    <w:rsid w:val="25E70D3B"/>
    <w:rsid w:val="26211997"/>
    <w:rsid w:val="26D8376B"/>
    <w:rsid w:val="27913169"/>
    <w:rsid w:val="27AD74F9"/>
    <w:rsid w:val="27B14454"/>
    <w:rsid w:val="27C36A04"/>
    <w:rsid w:val="27CC0BF8"/>
    <w:rsid w:val="27D057FD"/>
    <w:rsid w:val="27D46F09"/>
    <w:rsid w:val="27D5651F"/>
    <w:rsid w:val="28202385"/>
    <w:rsid w:val="282B720B"/>
    <w:rsid w:val="2884462B"/>
    <w:rsid w:val="289D0096"/>
    <w:rsid w:val="28B6024E"/>
    <w:rsid w:val="28CD7E45"/>
    <w:rsid w:val="28F3113B"/>
    <w:rsid w:val="29581527"/>
    <w:rsid w:val="29902079"/>
    <w:rsid w:val="29BD3CA3"/>
    <w:rsid w:val="29DA38D6"/>
    <w:rsid w:val="29ED52BA"/>
    <w:rsid w:val="29F809D3"/>
    <w:rsid w:val="2A5B4217"/>
    <w:rsid w:val="2A672501"/>
    <w:rsid w:val="2A6D4372"/>
    <w:rsid w:val="2AAA5C40"/>
    <w:rsid w:val="2AB30205"/>
    <w:rsid w:val="2AB706B7"/>
    <w:rsid w:val="2B1C13BD"/>
    <w:rsid w:val="2B271BCF"/>
    <w:rsid w:val="2B6918D3"/>
    <w:rsid w:val="2B7E733C"/>
    <w:rsid w:val="2B836E4D"/>
    <w:rsid w:val="2B953792"/>
    <w:rsid w:val="2BF122C4"/>
    <w:rsid w:val="2C7029AA"/>
    <w:rsid w:val="2C724E92"/>
    <w:rsid w:val="2CA52520"/>
    <w:rsid w:val="2CDC4E96"/>
    <w:rsid w:val="2CE4006C"/>
    <w:rsid w:val="2CEF57E0"/>
    <w:rsid w:val="2D196293"/>
    <w:rsid w:val="2D1A031D"/>
    <w:rsid w:val="2D1F47A1"/>
    <w:rsid w:val="2D4C73A9"/>
    <w:rsid w:val="2D580644"/>
    <w:rsid w:val="2D933E51"/>
    <w:rsid w:val="2D9E4A06"/>
    <w:rsid w:val="2DA72ACE"/>
    <w:rsid w:val="2DDC55B9"/>
    <w:rsid w:val="2E18623F"/>
    <w:rsid w:val="2E2278DC"/>
    <w:rsid w:val="2E2F67EF"/>
    <w:rsid w:val="2E4D6352"/>
    <w:rsid w:val="2E6B564C"/>
    <w:rsid w:val="2E98656D"/>
    <w:rsid w:val="2F2114E0"/>
    <w:rsid w:val="2F5B34AF"/>
    <w:rsid w:val="2FE212D2"/>
    <w:rsid w:val="2FE23BEB"/>
    <w:rsid w:val="2FFD5166"/>
    <w:rsid w:val="30147CBD"/>
    <w:rsid w:val="30175F44"/>
    <w:rsid w:val="30476747"/>
    <w:rsid w:val="3064687B"/>
    <w:rsid w:val="30882A05"/>
    <w:rsid w:val="30C91F5B"/>
    <w:rsid w:val="30CA38D4"/>
    <w:rsid w:val="30D27862"/>
    <w:rsid w:val="30F55350"/>
    <w:rsid w:val="311A2F4D"/>
    <w:rsid w:val="31345BFE"/>
    <w:rsid w:val="315B77F9"/>
    <w:rsid w:val="31746148"/>
    <w:rsid w:val="32004FDC"/>
    <w:rsid w:val="32365B5D"/>
    <w:rsid w:val="324575DD"/>
    <w:rsid w:val="325A167E"/>
    <w:rsid w:val="325D0AE7"/>
    <w:rsid w:val="32AA2EE4"/>
    <w:rsid w:val="32EB67D9"/>
    <w:rsid w:val="32F2447D"/>
    <w:rsid w:val="33210D46"/>
    <w:rsid w:val="334F620E"/>
    <w:rsid w:val="33626C05"/>
    <w:rsid w:val="33652B28"/>
    <w:rsid w:val="33DB2480"/>
    <w:rsid w:val="341F7FFD"/>
    <w:rsid w:val="34282F32"/>
    <w:rsid w:val="342877BE"/>
    <w:rsid w:val="34307870"/>
    <w:rsid w:val="34960776"/>
    <w:rsid w:val="34D322AA"/>
    <w:rsid w:val="34E670C6"/>
    <w:rsid w:val="34F90855"/>
    <w:rsid w:val="35233FA0"/>
    <w:rsid w:val="35333A79"/>
    <w:rsid w:val="35A21B52"/>
    <w:rsid w:val="35AE6667"/>
    <w:rsid w:val="35F35CF7"/>
    <w:rsid w:val="360D4410"/>
    <w:rsid w:val="36246B63"/>
    <w:rsid w:val="36732036"/>
    <w:rsid w:val="37184D90"/>
    <w:rsid w:val="37416E58"/>
    <w:rsid w:val="377270BE"/>
    <w:rsid w:val="37A06CC3"/>
    <w:rsid w:val="37F7759F"/>
    <w:rsid w:val="38253478"/>
    <w:rsid w:val="38D6178A"/>
    <w:rsid w:val="38E731A8"/>
    <w:rsid w:val="38E74C64"/>
    <w:rsid w:val="38EE7919"/>
    <w:rsid w:val="39144B8A"/>
    <w:rsid w:val="392F3F85"/>
    <w:rsid w:val="39323E1A"/>
    <w:rsid w:val="39362820"/>
    <w:rsid w:val="393E0925"/>
    <w:rsid w:val="39576470"/>
    <w:rsid w:val="39AA7D8C"/>
    <w:rsid w:val="3A031CB4"/>
    <w:rsid w:val="3A525B40"/>
    <w:rsid w:val="3A6217BB"/>
    <w:rsid w:val="3A88128A"/>
    <w:rsid w:val="3A9F382F"/>
    <w:rsid w:val="3AF968D4"/>
    <w:rsid w:val="3AFE4CFD"/>
    <w:rsid w:val="3B295114"/>
    <w:rsid w:val="3B2D5A40"/>
    <w:rsid w:val="3B352C3E"/>
    <w:rsid w:val="3B625C48"/>
    <w:rsid w:val="3B981B4A"/>
    <w:rsid w:val="3BBA5C93"/>
    <w:rsid w:val="3BD43E09"/>
    <w:rsid w:val="3C103D38"/>
    <w:rsid w:val="3C2518A3"/>
    <w:rsid w:val="3C370CAF"/>
    <w:rsid w:val="3C3F2E72"/>
    <w:rsid w:val="3C6129AB"/>
    <w:rsid w:val="3C65326E"/>
    <w:rsid w:val="3C67224D"/>
    <w:rsid w:val="3C843AA2"/>
    <w:rsid w:val="3C9E4F00"/>
    <w:rsid w:val="3CA50208"/>
    <w:rsid w:val="3CBB6D98"/>
    <w:rsid w:val="3CEC1C7E"/>
    <w:rsid w:val="3CF861FE"/>
    <w:rsid w:val="3D07307D"/>
    <w:rsid w:val="3D8F5176"/>
    <w:rsid w:val="3DBD716A"/>
    <w:rsid w:val="3E3B6E46"/>
    <w:rsid w:val="3E496116"/>
    <w:rsid w:val="3E5446A5"/>
    <w:rsid w:val="3E682436"/>
    <w:rsid w:val="3E742FD1"/>
    <w:rsid w:val="3E880465"/>
    <w:rsid w:val="3EB15F49"/>
    <w:rsid w:val="3EE36599"/>
    <w:rsid w:val="3EFC3E73"/>
    <w:rsid w:val="3F2A0EA7"/>
    <w:rsid w:val="3F6D1DD7"/>
    <w:rsid w:val="3F7C0276"/>
    <w:rsid w:val="3F7D795C"/>
    <w:rsid w:val="3F940D13"/>
    <w:rsid w:val="3FC1357A"/>
    <w:rsid w:val="3FDA2854"/>
    <w:rsid w:val="3FDA4190"/>
    <w:rsid w:val="400D0D88"/>
    <w:rsid w:val="40406AC3"/>
    <w:rsid w:val="40426023"/>
    <w:rsid w:val="4066798E"/>
    <w:rsid w:val="409B27EB"/>
    <w:rsid w:val="40BE5F02"/>
    <w:rsid w:val="40C223A8"/>
    <w:rsid w:val="40EE0C80"/>
    <w:rsid w:val="40F74191"/>
    <w:rsid w:val="412E464F"/>
    <w:rsid w:val="4133699C"/>
    <w:rsid w:val="413A4891"/>
    <w:rsid w:val="41402B23"/>
    <w:rsid w:val="414E2257"/>
    <w:rsid w:val="41BC26F7"/>
    <w:rsid w:val="42111939"/>
    <w:rsid w:val="42195FDB"/>
    <w:rsid w:val="42287BE1"/>
    <w:rsid w:val="424B3C29"/>
    <w:rsid w:val="426B24C2"/>
    <w:rsid w:val="42E910FA"/>
    <w:rsid w:val="43B667B4"/>
    <w:rsid w:val="43D30049"/>
    <w:rsid w:val="44161CD9"/>
    <w:rsid w:val="44657402"/>
    <w:rsid w:val="447431FB"/>
    <w:rsid w:val="447525AD"/>
    <w:rsid w:val="44855A20"/>
    <w:rsid w:val="44B048C6"/>
    <w:rsid w:val="44B75385"/>
    <w:rsid w:val="44FA0686"/>
    <w:rsid w:val="45671033"/>
    <w:rsid w:val="456976B9"/>
    <w:rsid w:val="45852496"/>
    <w:rsid w:val="460B0E62"/>
    <w:rsid w:val="465D1771"/>
    <w:rsid w:val="466747FB"/>
    <w:rsid w:val="4692017A"/>
    <w:rsid w:val="46BA33C2"/>
    <w:rsid w:val="46D74D4C"/>
    <w:rsid w:val="46EB1EB4"/>
    <w:rsid w:val="470D63C4"/>
    <w:rsid w:val="475E3DE5"/>
    <w:rsid w:val="47645658"/>
    <w:rsid w:val="47875D21"/>
    <w:rsid w:val="47AE292F"/>
    <w:rsid w:val="47B50978"/>
    <w:rsid w:val="47CD2C4C"/>
    <w:rsid w:val="47E14447"/>
    <w:rsid w:val="480301C6"/>
    <w:rsid w:val="482D5A47"/>
    <w:rsid w:val="48430D95"/>
    <w:rsid w:val="48716176"/>
    <w:rsid w:val="49441130"/>
    <w:rsid w:val="49445EE6"/>
    <w:rsid w:val="498058A4"/>
    <w:rsid w:val="49A54379"/>
    <w:rsid w:val="49BE1FC4"/>
    <w:rsid w:val="49DD2CC4"/>
    <w:rsid w:val="4A001F09"/>
    <w:rsid w:val="4A223889"/>
    <w:rsid w:val="4A455684"/>
    <w:rsid w:val="4A4A36B7"/>
    <w:rsid w:val="4A531E7C"/>
    <w:rsid w:val="4A5A1552"/>
    <w:rsid w:val="4A607583"/>
    <w:rsid w:val="4AB753C3"/>
    <w:rsid w:val="4AEB4833"/>
    <w:rsid w:val="4BA63CCB"/>
    <w:rsid w:val="4BB740F1"/>
    <w:rsid w:val="4BE74D03"/>
    <w:rsid w:val="4C336AC7"/>
    <w:rsid w:val="4C44015D"/>
    <w:rsid w:val="4C443E55"/>
    <w:rsid w:val="4C46171F"/>
    <w:rsid w:val="4C7D43BC"/>
    <w:rsid w:val="4C8961E4"/>
    <w:rsid w:val="4CA3632F"/>
    <w:rsid w:val="4CAB62AA"/>
    <w:rsid w:val="4CAB7BC7"/>
    <w:rsid w:val="4CD23790"/>
    <w:rsid w:val="4CFC437A"/>
    <w:rsid w:val="4D135449"/>
    <w:rsid w:val="4D342432"/>
    <w:rsid w:val="4D696D72"/>
    <w:rsid w:val="4DBB2088"/>
    <w:rsid w:val="4DFC77D3"/>
    <w:rsid w:val="4DFD57D5"/>
    <w:rsid w:val="4E1A664F"/>
    <w:rsid w:val="4E311A2B"/>
    <w:rsid w:val="4E604C08"/>
    <w:rsid w:val="4EC05074"/>
    <w:rsid w:val="4F521A2C"/>
    <w:rsid w:val="4F7C7654"/>
    <w:rsid w:val="4F994DFA"/>
    <w:rsid w:val="4FD03755"/>
    <w:rsid w:val="4FD6240E"/>
    <w:rsid w:val="501549C6"/>
    <w:rsid w:val="501A400B"/>
    <w:rsid w:val="501B0E2D"/>
    <w:rsid w:val="50565ECC"/>
    <w:rsid w:val="50872C9B"/>
    <w:rsid w:val="50886B55"/>
    <w:rsid w:val="50CA28AA"/>
    <w:rsid w:val="51240726"/>
    <w:rsid w:val="51251D4F"/>
    <w:rsid w:val="51347DDA"/>
    <w:rsid w:val="513F06B7"/>
    <w:rsid w:val="51435BD2"/>
    <w:rsid w:val="51664983"/>
    <w:rsid w:val="5181665E"/>
    <w:rsid w:val="518C5422"/>
    <w:rsid w:val="51B1513E"/>
    <w:rsid w:val="51E2466B"/>
    <w:rsid w:val="52371ABA"/>
    <w:rsid w:val="52551665"/>
    <w:rsid w:val="52700648"/>
    <w:rsid w:val="53702B7D"/>
    <w:rsid w:val="537B3C07"/>
    <w:rsid w:val="53BA27A1"/>
    <w:rsid w:val="53DB03E2"/>
    <w:rsid w:val="53FA36F8"/>
    <w:rsid w:val="54417E25"/>
    <w:rsid w:val="5448035B"/>
    <w:rsid w:val="549C1B5D"/>
    <w:rsid w:val="54B41C40"/>
    <w:rsid w:val="54C924C0"/>
    <w:rsid w:val="54CA7478"/>
    <w:rsid w:val="55293EA0"/>
    <w:rsid w:val="55351FE1"/>
    <w:rsid w:val="555B5117"/>
    <w:rsid w:val="55720021"/>
    <w:rsid w:val="5576008B"/>
    <w:rsid w:val="55A028FC"/>
    <w:rsid w:val="56381B60"/>
    <w:rsid w:val="5688401E"/>
    <w:rsid w:val="5695625B"/>
    <w:rsid w:val="57585AA9"/>
    <w:rsid w:val="579E53ED"/>
    <w:rsid w:val="57B60DF6"/>
    <w:rsid w:val="57CE5071"/>
    <w:rsid w:val="57F57DF3"/>
    <w:rsid w:val="58020EA3"/>
    <w:rsid w:val="581F7B15"/>
    <w:rsid w:val="58312881"/>
    <w:rsid w:val="583541C2"/>
    <w:rsid w:val="58414FE8"/>
    <w:rsid w:val="584E2A38"/>
    <w:rsid w:val="58DD30CC"/>
    <w:rsid w:val="590C33CE"/>
    <w:rsid w:val="592F0199"/>
    <w:rsid w:val="59325417"/>
    <w:rsid w:val="59695908"/>
    <w:rsid w:val="59FA73AF"/>
    <w:rsid w:val="5A695CCB"/>
    <w:rsid w:val="5A7315FE"/>
    <w:rsid w:val="5A871655"/>
    <w:rsid w:val="5A8A2106"/>
    <w:rsid w:val="5AF55E9D"/>
    <w:rsid w:val="5B1B501D"/>
    <w:rsid w:val="5B1B6A53"/>
    <w:rsid w:val="5B521875"/>
    <w:rsid w:val="5B5B734A"/>
    <w:rsid w:val="5B676145"/>
    <w:rsid w:val="5BA877B6"/>
    <w:rsid w:val="5BE44073"/>
    <w:rsid w:val="5C0E6E8B"/>
    <w:rsid w:val="5C261C86"/>
    <w:rsid w:val="5C274987"/>
    <w:rsid w:val="5C857E4E"/>
    <w:rsid w:val="5C955CE5"/>
    <w:rsid w:val="5C96334E"/>
    <w:rsid w:val="5C9B6432"/>
    <w:rsid w:val="5CE51F1C"/>
    <w:rsid w:val="5D0A4BF8"/>
    <w:rsid w:val="5D2B2A4F"/>
    <w:rsid w:val="5D3542ED"/>
    <w:rsid w:val="5D413959"/>
    <w:rsid w:val="5D6A6541"/>
    <w:rsid w:val="5D8F2F3F"/>
    <w:rsid w:val="5DE90479"/>
    <w:rsid w:val="5E4907B2"/>
    <w:rsid w:val="5F31318F"/>
    <w:rsid w:val="5F3B3D5F"/>
    <w:rsid w:val="5FB00D6D"/>
    <w:rsid w:val="5FCF0389"/>
    <w:rsid w:val="601A5B56"/>
    <w:rsid w:val="60A125C5"/>
    <w:rsid w:val="60CA4F43"/>
    <w:rsid w:val="60F137DF"/>
    <w:rsid w:val="611D7177"/>
    <w:rsid w:val="61256735"/>
    <w:rsid w:val="617D45C9"/>
    <w:rsid w:val="6193501B"/>
    <w:rsid w:val="61A5015C"/>
    <w:rsid w:val="61DE2F37"/>
    <w:rsid w:val="622F6201"/>
    <w:rsid w:val="62724AF7"/>
    <w:rsid w:val="6276085F"/>
    <w:rsid w:val="62B11885"/>
    <w:rsid w:val="62CA31F2"/>
    <w:rsid w:val="62D3026F"/>
    <w:rsid w:val="634565C8"/>
    <w:rsid w:val="634D20E6"/>
    <w:rsid w:val="6386450C"/>
    <w:rsid w:val="63B14B9D"/>
    <w:rsid w:val="63B74364"/>
    <w:rsid w:val="63D53EEF"/>
    <w:rsid w:val="63F201F1"/>
    <w:rsid w:val="6420003C"/>
    <w:rsid w:val="6436378C"/>
    <w:rsid w:val="643A7CD4"/>
    <w:rsid w:val="6451082B"/>
    <w:rsid w:val="6454656F"/>
    <w:rsid w:val="64BA1E3E"/>
    <w:rsid w:val="64C37767"/>
    <w:rsid w:val="64CC68C6"/>
    <w:rsid w:val="64EC2959"/>
    <w:rsid w:val="64FA4843"/>
    <w:rsid w:val="65047354"/>
    <w:rsid w:val="653C62DB"/>
    <w:rsid w:val="65465AE7"/>
    <w:rsid w:val="65883C4F"/>
    <w:rsid w:val="65944E2D"/>
    <w:rsid w:val="660866D1"/>
    <w:rsid w:val="6616459E"/>
    <w:rsid w:val="66387E48"/>
    <w:rsid w:val="665E28ED"/>
    <w:rsid w:val="66901F85"/>
    <w:rsid w:val="66A84F1D"/>
    <w:rsid w:val="66B64B45"/>
    <w:rsid w:val="66C11925"/>
    <w:rsid w:val="66F07303"/>
    <w:rsid w:val="66F44829"/>
    <w:rsid w:val="6705486A"/>
    <w:rsid w:val="67084168"/>
    <w:rsid w:val="671911E9"/>
    <w:rsid w:val="674129FD"/>
    <w:rsid w:val="6761252D"/>
    <w:rsid w:val="67C67811"/>
    <w:rsid w:val="67FB2DEA"/>
    <w:rsid w:val="684C4022"/>
    <w:rsid w:val="6855647E"/>
    <w:rsid w:val="6859342D"/>
    <w:rsid w:val="68B14596"/>
    <w:rsid w:val="68B96D80"/>
    <w:rsid w:val="68C370AF"/>
    <w:rsid w:val="68CC23C8"/>
    <w:rsid w:val="68DD6BA6"/>
    <w:rsid w:val="68E953A6"/>
    <w:rsid w:val="68EA3141"/>
    <w:rsid w:val="690707BF"/>
    <w:rsid w:val="69581D2F"/>
    <w:rsid w:val="69654A9A"/>
    <w:rsid w:val="69A33E42"/>
    <w:rsid w:val="69B84FD3"/>
    <w:rsid w:val="69EF430F"/>
    <w:rsid w:val="6A153CC8"/>
    <w:rsid w:val="6A2E5167"/>
    <w:rsid w:val="6A2E78BA"/>
    <w:rsid w:val="6A311CF5"/>
    <w:rsid w:val="6A4C5C25"/>
    <w:rsid w:val="6A747A98"/>
    <w:rsid w:val="6A7D3150"/>
    <w:rsid w:val="6AC92BAB"/>
    <w:rsid w:val="6AE7285B"/>
    <w:rsid w:val="6AF06B72"/>
    <w:rsid w:val="6B286E65"/>
    <w:rsid w:val="6B4A05AA"/>
    <w:rsid w:val="6B4E42B2"/>
    <w:rsid w:val="6B522738"/>
    <w:rsid w:val="6BAA694E"/>
    <w:rsid w:val="6BC71CC6"/>
    <w:rsid w:val="6BDF00DD"/>
    <w:rsid w:val="6C180927"/>
    <w:rsid w:val="6C1D1080"/>
    <w:rsid w:val="6C2534A4"/>
    <w:rsid w:val="6C386D2E"/>
    <w:rsid w:val="6CA77406"/>
    <w:rsid w:val="6CAA6824"/>
    <w:rsid w:val="6D6C1560"/>
    <w:rsid w:val="6D8F2E1D"/>
    <w:rsid w:val="6D904DC0"/>
    <w:rsid w:val="6D970204"/>
    <w:rsid w:val="6DE43F4A"/>
    <w:rsid w:val="6DE4590F"/>
    <w:rsid w:val="6E8E4804"/>
    <w:rsid w:val="6E975616"/>
    <w:rsid w:val="6EBA1A84"/>
    <w:rsid w:val="6EF4280C"/>
    <w:rsid w:val="6F0922C5"/>
    <w:rsid w:val="6F21613A"/>
    <w:rsid w:val="6F536000"/>
    <w:rsid w:val="6F5F62B0"/>
    <w:rsid w:val="6F694BF4"/>
    <w:rsid w:val="6FFF763D"/>
    <w:rsid w:val="702667B7"/>
    <w:rsid w:val="702954D4"/>
    <w:rsid w:val="704445C7"/>
    <w:rsid w:val="70794653"/>
    <w:rsid w:val="70885143"/>
    <w:rsid w:val="70980430"/>
    <w:rsid w:val="712A7DD2"/>
    <w:rsid w:val="713B3B95"/>
    <w:rsid w:val="713E2C71"/>
    <w:rsid w:val="714B40DA"/>
    <w:rsid w:val="716D48D4"/>
    <w:rsid w:val="71A00BC0"/>
    <w:rsid w:val="71A170BE"/>
    <w:rsid w:val="71B22CBC"/>
    <w:rsid w:val="71BA060F"/>
    <w:rsid w:val="71BC0734"/>
    <w:rsid w:val="71DC51CA"/>
    <w:rsid w:val="72007DF3"/>
    <w:rsid w:val="720754B2"/>
    <w:rsid w:val="721F764E"/>
    <w:rsid w:val="72263E13"/>
    <w:rsid w:val="724148A5"/>
    <w:rsid w:val="72533248"/>
    <w:rsid w:val="7254587C"/>
    <w:rsid w:val="725E4C7D"/>
    <w:rsid w:val="72E06B14"/>
    <w:rsid w:val="72F6678C"/>
    <w:rsid w:val="732D7B55"/>
    <w:rsid w:val="733472CE"/>
    <w:rsid w:val="734C1A16"/>
    <w:rsid w:val="73803E4F"/>
    <w:rsid w:val="73C320EA"/>
    <w:rsid w:val="73D21978"/>
    <w:rsid w:val="74426BD7"/>
    <w:rsid w:val="744A2DBC"/>
    <w:rsid w:val="74801527"/>
    <w:rsid w:val="74D10D3E"/>
    <w:rsid w:val="74E649C3"/>
    <w:rsid w:val="753009A4"/>
    <w:rsid w:val="753F63C1"/>
    <w:rsid w:val="75455759"/>
    <w:rsid w:val="754E5D94"/>
    <w:rsid w:val="7563103A"/>
    <w:rsid w:val="75675284"/>
    <w:rsid w:val="75712B8D"/>
    <w:rsid w:val="759F1F65"/>
    <w:rsid w:val="75A71EDC"/>
    <w:rsid w:val="75C732E5"/>
    <w:rsid w:val="76210EF8"/>
    <w:rsid w:val="76567081"/>
    <w:rsid w:val="765C3499"/>
    <w:rsid w:val="766E6E9B"/>
    <w:rsid w:val="7694003D"/>
    <w:rsid w:val="76CC4390"/>
    <w:rsid w:val="771A0FD7"/>
    <w:rsid w:val="772E6FF8"/>
    <w:rsid w:val="774B31A5"/>
    <w:rsid w:val="77C22CD0"/>
    <w:rsid w:val="77EE09D9"/>
    <w:rsid w:val="78375C84"/>
    <w:rsid w:val="78425DC7"/>
    <w:rsid w:val="787519AB"/>
    <w:rsid w:val="787D46C8"/>
    <w:rsid w:val="78871630"/>
    <w:rsid w:val="78BF1E3B"/>
    <w:rsid w:val="78C21D0E"/>
    <w:rsid w:val="78D51FC2"/>
    <w:rsid w:val="79915F76"/>
    <w:rsid w:val="79DB56A2"/>
    <w:rsid w:val="7A1B1381"/>
    <w:rsid w:val="7A86702D"/>
    <w:rsid w:val="7B807473"/>
    <w:rsid w:val="7B8D5ADF"/>
    <w:rsid w:val="7BBF14CA"/>
    <w:rsid w:val="7C056628"/>
    <w:rsid w:val="7C060A32"/>
    <w:rsid w:val="7C157D2C"/>
    <w:rsid w:val="7C197BDB"/>
    <w:rsid w:val="7C980EC7"/>
    <w:rsid w:val="7CF03170"/>
    <w:rsid w:val="7D0A2FA1"/>
    <w:rsid w:val="7D457B85"/>
    <w:rsid w:val="7D5D142C"/>
    <w:rsid w:val="7D6C5082"/>
    <w:rsid w:val="7D6E76F6"/>
    <w:rsid w:val="7D924D11"/>
    <w:rsid w:val="7DCE3119"/>
    <w:rsid w:val="7DDF224B"/>
    <w:rsid w:val="7DFA7E15"/>
    <w:rsid w:val="7E0247A6"/>
    <w:rsid w:val="7E7428B9"/>
    <w:rsid w:val="7ED01B0A"/>
    <w:rsid w:val="7ED22F56"/>
    <w:rsid w:val="7EDD715F"/>
    <w:rsid w:val="7EEF4740"/>
    <w:rsid w:val="7F183048"/>
    <w:rsid w:val="7F64549C"/>
    <w:rsid w:val="7F6C12AD"/>
    <w:rsid w:val="7F815AC2"/>
    <w:rsid w:val="7FA34A66"/>
    <w:rsid w:val="7FCB58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278A868-A2F5-4418-84E3-2A4115FD8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0" w:qFormat="1"/>
    <w:lsdException w:name="toc 3" w:uiPriority="39" w:qFormat="1"/>
    <w:lsdException w:name="toc 4" w:semiHidden="1" w:uiPriority="0" w:qFormat="1"/>
    <w:lsdException w:name="toc 5" w:semiHidden="1" w:uiPriority="0" w:qFormat="1"/>
    <w:lsdException w:name="toc 6" w:semiHidden="1" w:uiPriority="0"/>
    <w:lsdException w:name="toc 7" w:semiHidden="1" w:uiPriority="0" w:qFormat="1"/>
    <w:lsdException w:name="toc 8" w:semiHidden="1" w:uiPriority="0" w:qFormat="1"/>
    <w:lsdException w:name="toc 9" w:semiHidden="1" w:uiPriority="0" w:qFormat="1"/>
    <w:lsdException w:name="Normal Indent" w:uiPriority="0" w:qFormat="1"/>
    <w:lsdException w:name="footnote text" w:semiHidden="1" w:unhideWhenUsed="1"/>
    <w:lsdException w:name="annotation text" w:uiPriority="0"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pPr>
      <w:keepNext/>
      <w:keepLines/>
      <w:spacing w:before="340" w:after="330" w:line="578"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semiHidden/>
    <w:qFormat/>
    <w:pPr>
      <w:ind w:leftChars="1200" w:left="2520"/>
    </w:pPr>
    <w:rPr>
      <w:szCs w:val="24"/>
    </w:rPr>
  </w:style>
  <w:style w:type="paragraph" w:styleId="a3">
    <w:name w:val="Normal Indent"/>
    <w:basedOn w:val="a"/>
    <w:qFormat/>
    <w:pPr>
      <w:ind w:firstLine="420"/>
    </w:pPr>
    <w:rPr>
      <w:szCs w:val="20"/>
    </w:rPr>
  </w:style>
  <w:style w:type="paragraph" w:styleId="a4">
    <w:name w:val="Document Map"/>
    <w:basedOn w:val="a"/>
    <w:link w:val="Char"/>
    <w:semiHidden/>
    <w:qFormat/>
    <w:pPr>
      <w:shd w:val="clear" w:color="auto" w:fill="000080"/>
    </w:pPr>
    <w:rPr>
      <w:szCs w:val="24"/>
    </w:rPr>
  </w:style>
  <w:style w:type="paragraph" w:styleId="a5">
    <w:name w:val="annotation text"/>
    <w:basedOn w:val="a"/>
    <w:link w:val="Char0"/>
    <w:unhideWhenUsed/>
    <w:qFormat/>
    <w:pPr>
      <w:jc w:val="left"/>
    </w:pPr>
  </w:style>
  <w:style w:type="paragraph" w:styleId="a6">
    <w:name w:val="Body Text Indent"/>
    <w:basedOn w:val="a"/>
    <w:link w:val="Char1"/>
    <w:qFormat/>
    <w:pPr>
      <w:spacing w:line="400" w:lineRule="exact"/>
      <w:ind w:firstLineChars="192" w:firstLine="538"/>
    </w:pPr>
    <w:rPr>
      <w:rFonts w:ascii="仿宋_GB2312" w:eastAsia="仿宋_GB2312" w:hAnsi="宋体"/>
      <w:color w:val="000000"/>
      <w:sz w:val="28"/>
      <w:szCs w:val="24"/>
    </w:rPr>
  </w:style>
  <w:style w:type="paragraph" w:styleId="5">
    <w:name w:val="toc 5"/>
    <w:basedOn w:val="a"/>
    <w:next w:val="a"/>
    <w:semiHidden/>
    <w:qFormat/>
    <w:pPr>
      <w:ind w:leftChars="800" w:left="1680"/>
    </w:pPr>
    <w:rPr>
      <w:szCs w:val="24"/>
    </w:rPr>
  </w:style>
  <w:style w:type="paragraph" w:styleId="3">
    <w:name w:val="toc 3"/>
    <w:basedOn w:val="a"/>
    <w:next w:val="a"/>
    <w:uiPriority w:val="39"/>
    <w:qFormat/>
    <w:pPr>
      <w:tabs>
        <w:tab w:val="right" w:leader="dot" w:pos="8296"/>
      </w:tabs>
      <w:ind w:leftChars="400" w:left="840"/>
      <w:jc w:val="center"/>
    </w:pPr>
    <w:rPr>
      <w:szCs w:val="24"/>
    </w:rPr>
  </w:style>
  <w:style w:type="paragraph" w:styleId="a7">
    <w:name w:val="Plain Text"/>
    <w:basedOn w:val="a"/>
    <w:link w:val="Char2"/>
    <w:qFormat/>
    <w:rPr>
      <w:rFonts w:ascii="宋体" w:hAnsi="Courier New"/>
      <w:szCs w:val="21"/>
    </w:rPr>
  </w:style>
  <w:style w:type="paragraph" w:styleId="8">
    <w:name w:val="toc 8"/>
    <w:basedOn w:val="a"/>
    <w:next w:val="a"/>
    <w:semiHidden/>
    <w:qFormat/>
    <w:pPr>
      <w:ind w:leftChars="1400" w:left="2940"/>
    </w:pPr>
    <w:rPr>
      <w:szCs w:val="24"/>
    </w:rPr>
  </w:style>
  <w:style w:type="paragraph" w:styleId="2">
    <w:name w:val="Body Text Indent 2"/>
    <w:basedOn w:val="a"/>
    <w:link w:val="2Char"/>
    <w:qFormat/>
    <w:pPr>
      <w:tabs>
        <w:tab w:val="left" w:pos="540"/>
      </w:tabs>
      <w:ind w:left="540" w:firstLine="540"/>
    </w:pPr>
    <w:rPr>
      <w:rFonts w:eastAsia="长城仿宋"/>
      <w:sz w:val="24"/>
      <w:szCs w:val="20"/>
    </w:rPr>
  </w:style>
  <w:style w:type="paragraph" w:styleId="a8">
    <w:name w:val="Balloon Text"/>
    <w:basedOn w:val="a"/>
    <w:link w:val="Char3"/>
    <w:semiHidden/>
    <w:qFormat/>
    <w:rPr>
      <w:sz w:val="18"/>
      <w:szCs w:val="18"/>
    </w:rPr>
  </w:style>
  <w:style w:type="paragraph" w:styleId="a9">
    <w:name w:val="footer"/>
    <w:basedOn w:val="a"/>
    <w:link w:val="Char4"/>
    <w:uiPriority w:val="99"/>
    <w:unhideWhenUsed/>
    <w:qFormat/>
    <w:pPr>
      <w:tabs>
        <w:tab w:val="center" w:pos="4153"/>
        <w:tab w:val="right" w:pos="8306"/>
      </w:tabs>
      <w:snapToGrid w:val="0"/>
      <w:jc w:val="left"/>
    </w:pPr>
    <w:rPr>
      <w:sz w:val="18"/>
      <w:szCs w:val="18"/>
    </w:rPr>
  </w:style>
  <w:style w:type="paragraph" w:styleId="aa">
    <w:name w:val="header"/>
    <w:basedOn w:val="a"/>
    <w:link w:val="Char5"/>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Pr>
      <w:szCs w:val="24"/>
    </w:rPr>
  </w:style>
  <w:style w:type="paragraph" w:styleId="4">
    <w:name w:val="toc 4"/>
    <w:basedOn w:val="a"/>
    <w:next w:val="a"/>
    <w:semiHidden/>
    <w:qFormat/>
    <w:pPr>
      <w:ind w:leftChars="600" w:left="1260"/>
    </w:pPr>
    <w:rPr>
      <w:szCs w:val="24"/>
    </w:rPr>
  </w:style>
  <w:style w:type="paragraph" w:styleId="6">
    <w:name w:val="toc 6"/>
    <w:basedOn w:val="a"/>
    <w:next w:val="a"/>
    <w:semiHidden/>
    <w:pPr>
      <w:ind w:leftChars="1000" w:left="2100"/>
    </w:pPr>
    <w:rPr>
      <w:szCs w:val="24"/>
    </w:rPr>
  </w:style>
  <w:style w:type="paragraph" w:styleId="30">
    <w:name w:val="Body Text Indent 3"/>
    <w:basedOn w:val="a"/>
    <w:link w:val="3Char"/>
    <w:qFormat/>
    <w:pPr>
      <w:ind w:left="360" w:firstLine="540"/>
    </w:pPr>
    <w:rPr>
      <w:rFonts w:eastAsia="长城仿宋"/>
      <w:sz w:val="24"/>
      <w:szCs w:val="20"/>
    </w:rPr>
  </w:style>
  <w:style w:type="paragraph" w:styleId="20">
    <w:name w:val="toc 2"/>
    <w:basedOn w:val="a"/>
    <w:next w:val="a"/>
    <w:semiHidden/>
    <w:qFormat/>
    <w:pPr>
      <w:ind w:leftChars="200" w:left="420"/>
    </w:pPr>
    <w:rPr>
      <w:szCs w:val="24"/>
    </w:rPr>
  </w:style>
  <w:style w:type="paragraph" w:styleId="9">
    <w:name w:val="toc 9"/>
    <w:basedOn w:val="a"/>
    <w:next w:val="a"/>
    <w:semiHidden/>
    <w:qFormat/>
    <w:pPr>
      <w:ind w:leftChars="1600" w:left="3360"/>
    </w:pPr>
    <w:rPr>
      <w:szCs w:val="24"/>
    </w:rPr>
  </w:style>
  <w:style w:type="paragraph" w:styleId="21">
    <w:name w:val="Body Text 2"/>
    <w:basedOn w:val="a"/>
    <w:link w:val="2Char0"/>
    <w:qFormat/>
    <w:pPr>
      <w:spacing w:after="120" w:line="480" w:lineRule="auto"/>
    </w:pPr>
    <w:rPr>
      <w:szCs w:val="24"/>
    </w:rPr>
  </w:style>
  <w:style w:type="paragraph" w:styleId="ab">
    <w:name w:val="annotation subject"/>
    <w:basedOn w:val="a5"/>
    <w:next w:val="a5"/>
    <w:link w:val="Char6"/>
    <w:uiPriority w:val="99"/>
    <w:unhideWhenUsed/>
    <w:qFormat/>
    <w:rPr>
      <w:b/>
      <w:bCs/>
    </w:rPr>
  </w:style>
  <w:style w:type="character" w:styleId="ac">
    <w:name w:val="page number"/>
    <w:basedOn w:val="a0"/>
    <w:qFormat/>
  </w:style>
  <w:style w:type="character" w:styleId="ad">
    <w:name w:val="Hyperlink"/>
    <w:uiPriority w:val="99"/>
    <w:qFormat/>
    <w:rPr>
      <w:color w:val="0000FF"/>
      <w:u w:val="single"/>
    </w:rPr>
  </w:style>
  <w:style w:type="character" w:styleId="ae">
    <w:name w:val="annotation reference"/>
    <w:unhideWhenUsed/>
    <w:qFormat/>
    <w:rPr>
      <w:sz w:val="21"/>
      <w:szCs w:val="21"/>
    </w:rPr>
  </w:style>
  <w:style w:type="character" w:customStyle="1" w:styleId="Char0">
    <w:name w:val="批注文字 Char"/>
    <w:link w:val="a5"/>
    <w:qFormat/>
    <w:rPr>
      <w:kern w:val="2"/>
      <w:sz w:val="21"/>
      <w:szCs w:val="22"/>
    </w:rPr>
  </w:style>
  <w:style w:type="character" w:customStyle="1" w:styleId="Char1">
    <w:name w:val="正文文本缩进 Char"/>
    <w:link w:val="a6"/>
    <w:qFormat/>
    <w:rPr>
      <w:rFonts w:ascii="仿宋_GB2312" w:eastAsia="仿宋_GB2312" w:hAnsi="宋体"/>
      <w:color w:val="000000"/>
      <w:kern w:val="2"/>
      <w:sz w:val="28"/>
      <w:szCs w:val="24"/>
    </w:rPr>
  </w:style>
  <w:style w:type="character" w:customStyle="1" w:styleId="Char6">
    <w:name w:val="批注主题 Char"/>
    <w:link w:val="ab"/>
    <w:uiPriority w:val="99"/>
    <w:qFormat/>
    <w:rPr>
      <w:b/>
      <w:bCs/>
      <w:kern w:val="2"/>
      <w:sz w:val="21"/>
      <w:szCs w:val="22"/>
    </w:rPr>
  </w:style>
  <w:style w:type="character" w:customStyle="1" w:styleId="Char5">
    <w:name w:val="页眉 Char"/>
    <w:link w:val="aa"/>
    <w:qFormat/>
    <w:rPr>
      <w:kern w:val="2"/>
      <w:sz w:val="18"/>
      <w:szCs w:val="18"/>
    </w:rPr>
  </w:style>
  <w:style w:type="character" w:customStyle="1" w:styleId="Char">
    <w:name w:val="文档结构图 Char"/>
    <w:link w:val="a4"/>
    <w:semiHidden/>
    <w:qFormat/>
    <w:rPr>
      <w:kern w:val="2"/>
      <w:sz w:val="21"/>
      <w:szCs w:val="24"/>
      <w:shd w:val="clear" w:color="auto" w:fill="000080"/>
    </w:rPr>
  </w:style>
  <w:style w:type="character" w:customStyle="1" w:styleId="1Char">
    <w:name w:val="标题 1 Char"/>
    <w:link w:val="1"/>
    <w:qFormat/>
    <w:rPr>
      <w:rFonts w:ascii="Times New Roman" w:hAnsi="Times New Roman"/>
      <w:b/>
      <w:kern w:val="44"/>
      <w:sz w:val="44"/>
    </w:rPr>
  </w:style>
  <w:style w:type="character" w:customStyle="1" w:styleId="Char4">
    <w:name w:val="页脚 Char"/>
    <w:link w:val="a9"/>
    <w:uiPriority w:val="99"/>
    <w:qFormat/>
    <w:rPr>
      <w:kern w:val="2"/>
      <w:sz w:val="18"/>
      <w:szCs w:val="18"/>
    </w:rPr>
  </w:style>
  <w:style w:type="character" w:customStyle="1" w:styleId="Char3">
    <w:name w:val="批注框文本 Char"/>
    <w:link w:val="a8"/>
    <w:semiHidden/>
    <w:qFormat/>
    <w:rPr>
      <w:kern w:val="2"/>
      <w:sz w:val="18"/>
      <w:szCs w:val="18"/>
    </w:rPr>
  </w:style>
  <w:style w:type="character" w:customStyle="1" w:styleId="2Char">
    <w:name w:val="正文文本缩进 2 Char"/>
    <w:link w:val="2"/>
    <w:qFormat/>
    <w:rPr>
      <w:rFonts w:eastAsia="长城仿宋"/>
      <w:kern w:val="2"/>
      <w:sz w:val="24"/>
    </w:rPr>
  </w:style>
  <w:style w:type="character" w:customStyle="1" w:styleId="Char2">
    <w:name w:val="纯文本 Char"/>
    <w:link w:val="a7"/>
    <w:qFormat/>
    <w:rPr>
      <w:rFonts w:ascii="宋体" w:hAnsi="Courier New"/>
      <w:kern w:val="2"/>
      <w:sz w:val="21"/>
      <w:szCs w:val="21"/>
    </w:rPr>
  </w:style>
  <w:style w:type="character" w:customStyle="1" w:styleId="3Char">
    <w:name w:val="正文文本缩进 3 Char"/>
    <w:link w:val="30"/>
    <w:qFormat/>
    <w:rPr>
      <w:rFonts w:eastAsia="长城仿宋"/>
      <w:kern w:val="2"/>
      <w:sz w:val="24"/>
    </w:rPr>
  </w:style>
  <w:style w:type="character" w:customStyle="1" w:styleId="2Char0">
    <w:name w:val="正文文本 2 Char"/>
    <w:link w:val="21"/>
    <w:qFormat/>
    <w:rPr>
      <w:kern w:val="2"/>
      <w:sz w:val="21"/>
      <w:szCs w:val="24"/>
    </w:rPr>
  </w:style>
  <w:style w:type="paragraph" w:customStyle="1" w:styleId="CharChar">
    <w:name w:val="Char Char"/>
    <w:basedOn w:val="a"/>
    <w:qFormat/>
    <w:rPr>
      <w:szCs w:val="20"/>
    </w:rPr>
  </w:style>
  <w:style w:type="paragraph" w:customStyle="1" w:styleId="Char7">
    <w:name w:val="Char"/>
    <w:basedOn w:val="a"/>
    <w:qFormat/>
    <w:rPr>
      <w:szCs w:val="24"/>
    </w:rPr>
  </w:style>
  <w:style w:type="paragraph" w:customStyle="1" w:styleId="Web">
    <w:name w:val="普通 (Web)"/>
    <w:basedOn w:val="a"/>
    <w:qFormat/>
    <w:pPr>
      <w:widowControl/>
      <w:spacing w:before="100" w:beforeAutospacing="1" w:after="100" w:afterAutospacing="1"/>
      <w:jc w:val="left"/>
    </w:pPr>
    <w:rPr>
      <w:rFonts w:ascii="宋体" w:hAnsi="宋体"/>
      <w:kern w:val="0"/>
      <w:sz w:val="24"/>
      <w:szCs w:val="24"/>
    </w:rPr>
  </w:style>
  <w:style w:type="paragraph" w:customStyle="1" w:styleId="11">
    <w:name w:val="修订1"/>
    <w:uiPriority w:val="99"/>
    <w:semiHidden/>
    <w:qFormat/>
    <w:rPr>
      <w:kern w:val="2"/>
      <w:sz w:val="21"/>
      <w:szCs w:val="22"/>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22">
    <w:name w:val="修订2"/>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F1DA82-2301-4BD9-8D43-7532E4271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3653</Words>
  <Characters>20825</Characters>
  <Application>Microsoft Office Word</Application>
  <DocSecurity>0</DocSecurity>
  <Lines>173</Lines>
  <Paragraphs>48</Paragraphs>
  <ScaleCrop>false</ScaleCrop>
  <Company>Microsoft</Company>
  <LinksUpToDate>false</LinksUpToDate>
  <CharactersWithSpaces>24430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史彦琼</cp:lastModifiedBy>
  <cp:revision>17</cp:revision>
  <cp:lastPrinted>2021-03-26T07:05:00Z</cp:lastPrinted>
  <dcterms:created xsi:type="dcterms:W3CDTF">2021-03-16T06:57:00Z</dcterms:created>
  <dcterms:modified xsi:type="dcterms:W3CDTF">2021-05-12T13:18:00Z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