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656C" w:rsidRDefault="0086656C"/>
    <w:p w:rsidR="0086656C" w:rsidRDefault="0086656C"/>
    <w:p w:rsidR="0086656C" w:rsidRDefault="0086656C"/>
    <w:p w:rsidR="0086656C" w:rsidRDefault="0086656C"/>
    <w:p w:rsidR="0086656C" w:rsidRDefault="0086656C"/>
    <w:p w:rsidR="0086656C" w:rsidRDefault="0086656C"/>
    <w:p w:rsidR="0086656C" w:rsidRDefault="0086656C"/>
    <w:p w:rsidR="0086656C" w:rsidRDefault="0086656C"/>
    <w:p w:rsidR="0086656C" w:rsidRDefault="0086656C"/>
    <w:p w:rsidR="0086656C" w:rsidRDefault="0086656C"/>
    <w:p w:rsidR="0086656C" w:rsidRDefault="0086656C"/>
    <w:p w:rsidR="0086656C" w:rsidRDefault="0086656C"/>
    <w:p w:rsidR="0086656C" w:rsidRDefault="0086656C"/>
    <w:p w:rsidR="0086656C" w:rsidRDefault="00C12A9E">
      <w:pPr>
        <w:spacing w:line="620" w:lineRule="exact"/>
        <w:jc w:val="center"/>
        <w:outlineLvl w:val="2"/>
        <w:rPr>
          <w:rFonts w:ascii="宋体" w:hAnsi="宋体"/>
          <w:b/>
          <w:sz w:val="44"/>
        </w:rPr>
      </w:pPr>
      <w:r>
        <w:rPr>
          <w:rFonts w:ascii="宋体" w:hAnsi="宋体" w:hint="eastAsia"/>
          <w:b/>
          <w:sz w:val="44"/>
        </w:rPr>
        <w:t>广发</w:t>
      </w:r>
      <w:r w:rsidR="00AE6DAB">
        <w:rPr>
          <w:rFonts w:ascii="宋体" w:hAnsi="宋体" w:hint="eastAsia"/>
          <w:b/>
          <w:sz w:val="44"/>
        </w:rPr>
        <w:t>医药健康</w:t>
      </w:r>
      <w:r>
        <w:rPr>
          <w:rFonts w:ascii="宋体" w:hAnsi="宋体" w:hint="eastAsia"/>
          <w:b/>
          <w:sz w:val="44"/>
        </w:rPr>
        <w:t>混合型证券投资基金      托管协议</w:t>
      </w:r>
    </w:p>
    <w:p w:rsidR="0086656C" w:rsidRDefault="0086656C"/>
    <w:p w:rsidR="0086656C" w:rsidRDefault="0086656C"/>
    <w:p w:rsidR="0086656C" w:rsidRDefault="0086656C"/>
    <w:p w:rsidR="0086656C" w:rsidRDefault="0086656C"/>
    <w:p w:rsidR="0086656C" w:rsidRDefault="0086656C"/>
    <w:p w:rsidR="0086656C" w:rsidRDefault="0086656C"/>
    <w:p w:rsidR="0086656C" w:rsidRDefault="0086656C"/>
    <w:p w:rsidR="0086656C" w:rsidRDefault="0086656C"/>
    <w:p w:rsidR="0086656C" w:rsidRDefault="0086656C"/>
    <w:p w:rsidR="0086656C" w:rsidRDefault="0086656C"/>
    <w:p w:rsidR="0086656C" w:rsidRDefault="0086656C">
      <w:pPr>
        <w:spacing w:line="320" w:lineRule="exact"/>
        <w:ind w:left="360" w:right="26"/>
        <w:jc w:val="center"/>
        <w:rPr>
          <w:rFonts w:ascii="宋体" w:hAnsi="宋体"/>
          <w:b/>
          <w:sz w:val="30"/>
        </w:rPr>
      </w:pPr>
    </w:p>
    <w:p w:rsidR="0086656C" w:rsidRDefault="00C12A9E">
      <w:pPr>
        <w:spacing w:line="320" w:lineRule="exact"/>
        <w:ind w:left="479" w:right="26" w:firstLine="1200"/>
        <w:rPr>
          <w:rFonts w:ascii="宋体" w:hAnsi="宋体"/>
          <w:b/>
          <w:sz w:val="28"/>
          <w:szCs w:val="28"/>
        </w:rPr>
      </w:pPr>
      <w:r>
        <w:rPr>
          <w:rFonts w:ascii="宋体" w:hAnsi="宋体" w:hint="eastAsia"/>
          <w:b/>
          <w:sz w:val="28"/>
          <w:szCs w:val="28"/>
        </w:rPr>
        <w:t>基金管理人：广发基金管理有限公司</w:t>
      </w:r>
    </w:p>
    <w:p w:rsidR="0086656C" w:rsidRDefault="0086656C">
      <w:pPr>
        <w:spacing w:line="320" w:lineRule="exact"/>
        <w:ind w:left="359" w:right="26" w:firstLine="1200"/>
        <w:rPr>
          <w:rFonts w:ascii="宋体" w:hAnsi="宋体"/>
          <w:b/>
          <w:sz w:val="28"/>
          <w:szCs w:val="28"/>
        </w:rPr>
      </w:pPr>
    </w:p>
    <w:p w:rsidR="0086656C" w:rsidRDefault="00C12A9E">
      <w:pPr>
        <w:spacing w:line="320" w:lineRule="exact"/>
        <w:ind w:left="479" w:right="26" w:firstLine="1200"/>
        <w:rPr>
          <w:rFonts w:ascii="宋体" w:hAnsi="宋体"/>
          <w:b/>
          <w:sz w:val="28"/>
          <w:szCs w:val="28"/>
        </w:rPr>
      </w:pPr>
      <w:r>
        <w:rPr>
          <w:rFonts w:ascii="宋体" w:hAnsi="宋体" w:hint="eastAsia"/>
          <w:b/>
          <w:sz w:val="28"/>
          <w:szCs w:val="28"/>
        </w:rPr>
        <w:t>基金托管人：中国银行股份有限公司</w:t>
      </w:r>
    </w:p>
    <w:p w:rsidR="0086656C" w:rsidRDefault="0086656C">
      <w:pPr>
        <w:spacing w:line="320" w:lineRule="exact"/>
        <w:ind w:right="26"/>
        <w:rPr>
          <w:rFonts w:ascii="宋体" w:hAnsi="宋体"/>
          <w:sz w:val="28"/>
          <w:szCs w:val="28"/>
        </w:rPr>
      </w:pPr>
    </w:p>
    <w:p w:rsidR="0086656C" w:rsidRDefault="0086656C">
      <w:pPr>
        <w:spacing w:line="320" w:lineRule="exact"/>
        <w:ind w:right="26"/>
        <w:rPr>
          <w:rFonts w:ascii="宋体" w:hAnsi="宋体"/>
          <w:sz w:val="28"/>
          <w:szCs w:val="28"/>
        </w:rPr>
      </w:pPr>
    </w:p>
    <w:p w:rsidR="0086656C" w:rsidRDefault="0086656C">
      <w:pPr>
        <w:spacing w:line="320" w:lineRule="exact"/>
        <w:ind w:right="26"/>
        <w:jc w:val="center"/>
        <w:rPr>
          <w:rFonts w:ascii="宋体" w:hAnsi="宋体"/>
          <w:sz w:val="28"/>
          <w:szCs w:val="28"/>
        </w:rPr>
      </w:pPr>
    </w:p>
    <w:p w:rsidR="0086656C" w:rsidRDefault="0086656C">
      <w:pPr>
        <w:spacing w:line="320" w:lineRule="exact"/>
        <w:ind w:right="26"/>
        <w:jc w:val="center"/>
        <w:rPr>
          <w:rFonts w:ascii="宋体" w:hAnsi="宋体"/>
          <w:sz w:val="28"/>
          <w:szCs w:val="28"/>
        </w:rPr>
      </w:pPr>
    </w:p>
    <w:p w:rsidR="0086656C" w:rsidRDefault="0086656C">
      <w:pPr>
        <w:spacing w:line="320" w:lineRule="exact"/>
        <w:ind w:right="26"/>
        <w:jc w:val="center"/>
        <w:rPr>
          <w:rFonts w:ascii="宋体" w:hAnsi="宋体"/>
          <w:sz w:val="28"/>
          <w:szCs w:val="28"/>
        </w:rPr>
      </w:pPr>
    </w:p>
    <w:p w:rsidR="0086656C" w:rsidRDefault="0086656C">
      <w:pPr>
        <w:spacing w:line="320" w:lineRule="exact"/>
        <w:ind w:right="26"/>
        <w:jc w:val="center"/>
        <w:rPr>
          <w:rFonts w:ascii="宋体" w:hAnsi="宋体"/>
          <w:sz w:val="28"/>
          <w:szCs w:val="28"/>
        </w:rPr>
      </w:pPr>
    </w:p>
    <w:p w:rsidR="0086656C" w:rsidRDefault="0086656C">
      <w:pPr>
        <w:spacing w:line="320" w:lineRule="exact"/>
        <w:ind w:right="26"/>
        <w:jc w:val="center"/>
        <w:rPr>
          <w:rFonts w:ascii="宋体" w:hAnsi="宋体"/>
          <w:sz w:val="28"/>
          <w:szCs w:val="28"/>
        </w:rPr>
      </w:pPr>
    </w:p>
    <w:p w:rsidR="0086656C" w:rsidRDefault="0086656C">
      <w:pPr>
        <w:pStyle w:val="a7"/>
        <w:spacing w:before="100" w:beforeAutospacing="1" w:after="100" w:afterAutospacing="1" w:line="400" w:lineRule="exact"/>
        <w:ind w:firstLine="549"/>
        <w:rPr>
          <w:rFonts w:hAnsi="宋体"/>
          <w:sz w:val="28"/>
          <w:szCs w:val="28"/>
        </w:rPr>
      </w:pPr>
    </w:p>
    <w:p w:rsidR="0086656C" w:rsidRDefault="00C12A9E">
      <w:pPr>
        <w:pStyle w:val="a7"/>
        <w:spacing w:before="100" w:beforeAutospacing="1" w:after="100" w:afterAutospacing="1" w:line="400" w:lineRule="exact"/>
        <w:ind w:firstLine="549"/>
        <w:rPr>
          <w:rFonts w:hAnsi="宋体"/>
          <w:sz w:val="24"/>
          <w:szCs w:val="24"/>
        </w:rPr>
      </w:pPr>
      <w:r>
        <w:rPr>
          <w:rFonts w:hAnsi="宋体"/>
          <w:b/>
        </w:rPr>
        <w:br w:type="page"/>
      </w:r>
      <w:r>
        <w:rPr>
          <w:rFonts w:hAnsi="宋体" w:hint="eastAsia"/>
          <w:sz w:val="24"/>
          <w:szCs w:val="24"/>
        </w:rPr>
        <w:lastRenderedPageBreak/>
        <w:t>鉴于广发基金管理有限公司是一家依照中国法律合法成立并有效存续的有限责任公司，按照相关法律法规的规定具备担任基金管理人的资格和能力；</w:t>
      </w:r>
    </w:p>
    <w:p w:rsidR="0086656C" w:rsidRDefault="00C12A9E">
      <w:pPr>
        <w:pStyle w:val="a7"/>
        <w:spacing w:before="100" w:beforeAutospacing="1" w:after="100" w:afterAutospacing="1" w:line="400" w:lineRule="exact"/>
        <w:ind w:firstLine="549"/>
        <w:rPr>
          <w:rFonts w:hAnsi="宋体"/>
          <w:sz w:val="24"/>
          <w:szCs w:val="24"/>
        </w:rPr>
      </w:pPr>
      <w:r>
        <w:rPr>
          <w:rFonts w:hAnsi="宋体" w:hint="eastAsia"/>
          <w:sz w:val="24"/>
          <w:szCs w:val="24"/>
        </w:rPr>
        <w:t>鉴于中国银行股份有限公司是一家依照中国法律合法成立并有效存续的银行，按照相关法律法规的规定具备担任基金托管人的资格和能力；</w:t>
      </w:r>
    </w:p>
    <w:p w:rsidR="0086656C" w:rsidRDefault="00C12A9E">
      <w:pPr>
        <w:pStyle w:val="a7"/>
        <w:spacing w:before="100" w:beforeAutospacing="1" w:after="100" w:afterAutospacing="1" w:line="400" w:lineRule="exact"/>
        <w:ind w:firstLine="549"/>
        <w:rPr>
          <w:rFonts w:hAnsi="宋体"/>
          <w:sz w:val="24"/>
          <w:szCs w:val="24"/>
        </w:rPr>
      </w:pPr>
      <w:r>
        <w:rPr>
          <w:rFonts w:hAnsi="宋体" w:hint="eastAsia"/>
          <w:sz w:val="24"/>
          <w:szCs w:val="24"/>
        </w:rPr>
        <w:t>鉴于广发基金管理有限公司拟担任广发</w:t>
      </w:r>
      <w:r w:rsidR="00AE6DAB">
        <w:rPr>
          <w:rFonts w:hAnsi="宋体" w:hint="eastAsia"/>
          <w:sz w:val="24"/>
          <w:szCs w:val="24"/>
        </w:rPr>
        <w:t>医药健康</w:t>
      </w:r>
      <w:r>
        <w:rPr>
          <w:rFonts w:hAnsi="宋体" w:hint="eastAsia"/>
          <w:sz w:val="24"/>
          <w:szCs w:val="24"/>
        </w:rPr>
        <w:t>混合型证券投资基金的基金管理人，中国银行股份有限公司拟担任广发</w:t>
      </w:r>
      <w:r w:rsidR="00AE6DAB">
        <w:rPr>
          <w:rFonts w:hAnsi="宋体" w:hint="eastAsia"/>
          <w:sz w:val="24"/>
          <w:szCs w:val="24"/>
        </w:rPr>
        <w:t>医药健康</w:t>
      </w:r>
      <w:r>
        <w:rPr>
          <w:rFonts w:hAnsi="宋体" w:hint="eastAsia"/>
          <w:sz w:val="24"/>
          <w:szCs w:val="24"/>
        </w:rPr>
        <w:t>混合型证券投资基金的基金托管人；</w:t>
      </w:r>
    </w:p>
    <w:p w:rsidR="0086656C" w:rsidRDefault="00C12A9E">
      <w:pPr>
        <w:pStyle w:val="a7"/>
        <w:spacing w:before="100" w:beforeAutospacing="1" w:after="100" w:afterAutospacing="1" w:line="400" w:lineRule="exact"/>
        <w:ind w:firstLine="549"/>
        <w:rPr>
          <w:rFonts w:hAnsi="宋体"/>
          <w:sz w:val="24"/>
          <w:szCs w:val="24"/>
        </w:rPr>
      </w:pPr>
      <w:r>
        <w:rPr>
          <w:rFonts w:hAnsi="宋体" w:hint="eastAsia"/>
          <w:sz w:val="24"/>
          <w:szCs w:val="24"/>
        </w:rPr>
        <w:t>为明确广发</w:t>
      </w:r>
      <w:r w:rsidR="00AE6DAB">
        <w:rPr>
          <w:rFonts w:hAnsi="宋体" w:hint="eastAsia"/>
          <w:sz w:val="24"/>
          <w:szCs w:val="24"/>
        </w:rPr>
        <w:t>医药健康</w:t>
      </w:r>
      <w:r>
        <w:rPr>
          <w:rFonts w:hAnsi="宋体" w:hint="eastAsia"/>
          <w:sz w:val="24"/>
          <w:szCs w:val="24"/>
        </w:rPr>
        <w:t>混合型证券投资基金基金管理人和基金托管人之间的权利义务关系，特制订本协议。</w:t>
      </w:r>
      <w:bookmarkStart w:id="0" w:name="_Toc30230313"/>
    </w:p>
    <w:p w:rsidR="0086656C" w:rsidRDefault="0086656C">
      <w:pPr>
        <w:pStyle w:val="a7"/>
        <w:spacing w:before="100" w:beforeAutospacing="1" w:after="100" w:afterAutospacing="1" w:line="400" w:lineRule="exact"/>
        <w:ind w:firstLine="549"/>
        <w:rPr>
          <w:rFonts w:hAnsi="宋体"/>
          <w:sz w:val="24"/>
          <w:szCs w:val="24"/>
        </w:rPr>
      </w:pPr>
    </w:p>
    <w:p w:rsidR="0086656C" w:rsidRDefault="00C12A9E">
      <w:pPr>
        <w:pStyle w:val="1"/>
        <w:spacing w:before="100" w:beforeAutospacing="1" w:after="100" w:afterAutospacing="1" w:line="400" w:lineRule="exact"/>
        <w:ind w:firstLine="422"/>
        <w:rPr>
          <w:rFonts w:ascii="宋体" w:hAnsi="宋体"/>
          <w:sz w:val="24"/>
          <w:szCs w:val="24"/>
        </w:rPr>
      </w:pPr>
      <w:bookmarkStart w:id="1" w:name="_Toc116900096"/>
      <w:r>
        <w:rPr>
          <w:rFonts w:ascii="宋体" w:hAnsi="宋体" w:hint="eastAsia"/>
          <w:sz w:val="24"/>
          <w:szCs w:val="24"/>
        </w:rPr>
        <w:t>一、托管协议当事人</w:t>
      </w:r>
      <w:bookmarkEnd w:id="0"/>
      <w:bookmarkEnd w:id="1"/>
    </w:p>
    <w:p w:rsidR="0086656C" w:rsidRDefault="00C12A9E">
      <w:pPr>
        <w:pStyle w:val="a7"/>
        <w:spacing w:before="100" w:beforeAutospacing="1" w:after="100" w:afterAutospacing="1" w:line="400" w:lineRule="exact"/>
        <w:ind w:firstLine="403"/>
        <w:rPr>
          <w:rFonts w:hAnsi="宋体"/>
          <w:sz w:val="24"/>
          <w:szCs w:val="24"/>
        </w:rPr>
      </w:pPr>
      <w:r>
        <w:rPr>
          <w:rFonts w:hAnsi="宋体" w:hint="eastAsia"/>
          <w:sz w:val="24"/>
          <w:szCs w:val="24"/>
        </w:rPr>
        <w:t>（一）基金管理人（或简称“管理人”）</w:t>
      </w:r>
    </w:p>
    <w:p w:rsidR="0086656C" w:rsidRDefault="00C12A9E">
      <w:pPr>
        <w:spacing w:before="100" w:beforeAutospacing="1" w:after="100" w:afterAutospacing="1" w:line="400" w:lineRule="exact"/>
        <w:ind w:right="26" w:firstLine="403"/>
        <w:rPr>
          <w:rFonts w:ascii="宋体" w:hAnsi="宋体"/>
          <w:sz w:val="24"/>
        </w:rPr>
      </w:pPr>
      <w:r>
        <w:rPr>
          <w:rFonts w:ascii="宋体" w:hAnsi="宋体" w:hint="eastAsia"/>
          <w:sz w:val="24"/>
        </w:rPr>
        <w:t>名称：广发基金管理有限公司</w:t>
      </w:r>
    </w:p>
    <w:p w:rsidR="0086656C" w:rsidRDefault="00C12A9E">
      <w:pPr>
        <w:spacing w:before="100" w:beforeAutospacing="1" w:after="100" w:afterAutospacing="1" w:line="400" w:lineRule="exact"/>
        <w:ind w:right="26" w:firstLine="403"/>
        <w:rPr>
          <w:rFonts w:ascii="宋体" w:hAnsi="宋体"/>
          <w:sz w:val="24"/>
        </w:rPr>
      </w:pPr>
      <w:r>
        <w:rPr>
          <w:rFonts w:ascii="宋体" w:hAnsi="宋体" w:hint="eastAsia"/>
          <w:sz w:val="24"/>
        </w:rPr>
        <w:t>住所：广东省珠海市横琴新区宝华路6号105室—49848（集中办公区）</w:t>
      </w:r>
    </w:p>
    <w:p w:rsidR="0086656C" w:rsidRDefault="00C12A9E">
      <w:pPr>
        <w:spacing w:before="100" w:beforeAutospacing="1" w:after="100" w:afterAutospacing="1" w:line="400" w:lineRule="exact"/>
        <w:ind w:right="26" w:firstLine="403"/>
        <w:rPr>
          <w:rFonts w:ascii="宋体" w:hAnsi="宋体"/>
          <w:sz w:val="24"/>
        </w:rPr>
      </w:pPr>
      <w:r>
        <w:rPr>
          <w:rFonts w:ascii="宋体" w:hAnsi="宋体" w:hint="eastAsia"/>
          <w:sz w:val="24"/>
        </w:rPr>
        <w:t>法定代表人: 孙树明</w:t>
      </w:r>
    </w:p>
    <w:p w:rsidR="0086656C" w:rsidRDefault="00C12A9E">
      <w:pPr>
        <w:spacing w:before="100" w:beforeAutospacing="1" w:after="100" w:afterAutospacing="1" w:line="400" w:lineRule="exact"/>
        <w:ind w:right="26" w:firstLine="403"/>
        <w:rPr>
          <w:rFonts w:ascii="宋体" w:hAnsi="宋体"/>
          <w:sz w:val="24"/>
        </w:rPr>
      </w:pPr>
      <w:r>
        <w:rPr>
          <w:rFonts w:ascii="宋体" w:hAnsi="宋体" w:hint="eastAsia"/>
          <w:sz w:val="24"/>
        </w:rPr>
        <w:t>成立时间：</w:t>
      </w:r>
      <w:r>
        <w:rPr>
          <w:rFonts w:ascii="宋体" w:hAnsi="宋体"/>
          <w:bCs/>
          <w:sz w:val="24"/>
        </w:rPr>
        <w:t>2003</w:t>
      </w:r>
      <w:r>
        <w:rPr>
          <w:rFonts w:ascii="宋体" w:hAnsi="宋体" w:hint="eastAsia"/>
          <w:bCs/>
          <w:sz w:val="24"/>
        </w:rPr>
        <w:t>年</w:t>
      </w:r>
      <w:r>
        <w:rPr>
          <w:rFonts w:ascii="宋体" w:hAnsi="宋体"/>
          <w:bCs/>
          <w:sz w:val="24"/>
        </w:rPr>
        <w:t>8</w:t>
      </w:r>
      <w:r>
        <w:rPr>
          <w:rFonts w:ascii="宋体" w:hAnsi="宋体" w:hint="eastAsia"/>
          <w:bCs/>
          <w:sz w:val="24"/>
        </w:rPr>
        <w:t>月</w:t>
      </w:r>
      <w:r>
        <w:rPr>
          <w:rFonts w:ascii="宋体" w:hAnsi="宋体"/>
          <w:bCs/>
          <w:sz w:val="24"/>
        </w:rPr>
        <w:t>5</w:t>
      </w:r>
      <w:r>
        <w:rPr>
          <w:rFonts w:ascii="宋体" w:hAnsi="宋体" w:hint="eastAsia"/>
          <w:bCs/>
          <w:sz w:val="24"/>
        </w:rPr>
        <w:t>日</w:t>
      </w:r>
    </w:p>
    <w:p w:rsidR="0086656C" w:rsidRDefault="00C12A9E">
      <w:pPr>
        <w:spacing w:before="100" w:beforeAutospacing="1" w:after="100" w:afterAutospacing="1" w:line="400" w:lineRule="exact"/>
        <w:ind w:right="26" w:firstLine="403"/>
        <w:rPr>
          <w:rFonts w:ascii="宋体" w:hAnsi="宋体"/>
          <w:sz w:val="24"/>
        </w:rPr>
      </w:pPr>
      <w:r>
        <w:rPr>
          <w:rFonts w:ascii="宋体" w:hAnsi="宋体" w:hint="eastAsia"/>
          <w:sz w:val="24"/>
        </w:rPr>
        <w:t>批准设立机关：</w:t>
      </w:r>
      <w:r>
        <w:rPr>
          <w:rFonts w:ascii="宋体" w:hAnsi="宋体" w:hint="eastAsia"/>
          <w:bCs/>
          <w:sz w:val="24"/>
        </w:rPr>
        <w:t>中国证券监督管理委员会</w:t>
      </w:r>
    </w:p>
    <w:p w:rsidR="0086656C" w:rsidRDefault="00C12A9E">
      <w:pPr>
        <w:spacing w:before="100" w:beforeAutospacing="1" w:after="100" w:afterAutospacing="1" w:line="400" w:lineRule="exact"/>
        <w:ind w:right="26" w:firstLine="403"/>
        <w:rPr>
          <w:rFonts w:ascii="宋体" w:hAnsi="宋体"/>
          <w:sz w:val="24"/>
        </w:rPr>
      </w:pPr>
      <w:r>
        <w:rPr>
          <w:rFonts w:ascii="宋体" w:hAnsi="宋体" w:hint="eastAsia"/>
          <w:sz w:val="24"/>
        </w:rPr>
        <w:t>批准设立文号：</w:t>
      </w:r>
      <w:r>
        <w:rPr>
          <w:rFonts w:ascii="宋体" w:hAnsi="宋体" w:hint="eastAsia"/>
          <w:bCs/>
          <w:sz w:val="24"/>
        </w:rPr>
        <w:t>证监基金字</w:t>
      </w:r>
      <w:r>
        <w:rPr>
          <w:rFonts w:ascii="宋体" w:hAnsi="宋体"/>
          <w:bCs/>
          <w:sz w:val="24"/>
        </w:rPr>
        <w:t>[2003]91</w:t>
      </w:r>
      <w:r>
        <w:rPr>
          <w:rFonts w:ascii="宋体" w:hAnsi="宋体" w:hint="eastAsia"/>
          <w:bCs/>
          <w:sz w:val="24"/>
        </w:rPr>
        <w:t>号</w:t>
      </w:r>
    </w:p>
    <w:p w:rsidR="0086656C" w:rsidRDefault="00C12A9E">
      <w:pPr>
        <w:spacing w:before="100" w:beforeAutospacing="1" w:after="100" w:afterAutospacing="1" w:line="400" w:lineRule="exact"/>
        <w:ind w:right="26" w:firstLine="403"/>
        <w:rPr>
          <w:rFonts w:ascii="宋体" w:hAnsi="宋体"/>
          <w:sz w:val="24"/>
        </w:rPr>
      </w:pPr>
      <w:r>
        <w:rPr>
          <w:rFonts w:ascii="宋体" w:hAnsi="宋体" w:hint="eastAsia"/>
          <w:sz w:val="24"/>
        </w:rPr>
        <w:t>组织形式：</w:t>
      </w:r>
      <w:r>
        <w:rPr>
          <w:rFonts w:ascii="宋体" w:hAnsi="宋体" w:hint="eastAsia"/>
          <w:sz w:val="24"/>
        </w:rPr>
        <w:tab/>
        <w:t>有限责任公司</w:t>
      </w:r>
    </w:p>
    <w:p w:rsidR="0086656C" w:rsidRDefault="00C12A9E">
      <w:pPr>
        <w:spacing w:before="100" w:beforeAutospacing="1" w:after="100" w:afterAutospacing="1" w:line="400" w:lineRule="exact"/>
        <w:ind w:right="26" w:firstLine="403"/>
        <w:rPr>
          <w:rFonts w:ascii="宋体" w:hAnsi="宋体"/>
          <w:sz w:val="24"/>
        </w:rPr>
      </w:pPr>
      <w:r>
        <w:rPr>
          <w:rFonts w:ascii="宋体" w:hAnsi="宋体" w:hint="eastAsia"/>
          <w:sz w:val="24"/>
        </w:rPr>
        <w:t>注册资本：</w:t>
      </w:r>
      <w:r>
        <w:rPr>
          <w:rFonts w:ascii="宋体" w:hAnsi="宋体" w:hint="eastAsia"/>
          <w:sz w:val="24"/>
        </w:rPr>
        <w:tab/>
        <w:t>1.2688亿元人民币</w:t>
      </w:r>
    </w:p>
    <w:p w:rsidR="0086656C" w:rsidRDefault="00C12A9E">
      <w:pPr>
        <w:spacing w:before="100" w:beforeAutospacing="1" w:after="100" w:afterAutospacing="1" w:line="400" w:lineRule="exact"/>
        <w:ind w:right="26" w:firstLine="403"/>
        <w:rPr>
          <w:rFonts w:ascii="宋体" w:hAnsi="宋体"/>
          <w:sz w:val="24"/>
          <w:u w:val="single"/>
        </w:rPr>
      </w:pPr>
      <w:r>
        <w:rPr>
          <w:rFonts w:ascii="宋体" w:hAnsi="宋体" w:hint="eastAsia"/>
          <w:sz w:val="24"/>
        </w:rPr>
        <w:t>经营范围：</w:t>
      </w:r>
      <w:r>
        <w:rPr>
          <w:rFonts w:ascii="宋体" w:hAnsi="宋体" w:hint="eastAsia"/>
          <w:sz w:val="24"/>
        </w:rPr>
        <w:tab/>
        <w:t>基金募集、基金销售、资产管理、中国证监会许可的其他业务</w:t>
      </w:r>
    </w:p>
    <w:p w:rsidR="0086656C" w:rsidRDefault="00C12A9E">
      <w:pPr>
        <w:pStyle w:val="a7"/>
        <w:spacing w:before="100" w:beforeAutospacing="1" w:after="100" w:afterAutospacing="1" w:line="400" w:lineRule="exact"/>
        <w:ind w:firstLine="403"/>
        <w:rPr>
          <w:rFonts w:hAnsi="宋体"/>
          <w:sz w:val="24"/>
          <w:szCs w:val="24"/>
        </w:rPr>
      </w:pPr>
      <w:r>
        <w:rPr>
          <w:rFonts w:hAnsi="宋体" w:hint="eastAsia"/>
          <w:sz w:val="24"/>
          <w:szCs w:val="24"/>
        </w:rPr>
        <w:t>存续期间：</w:t>
      </w:r>
      <w:r>
        <w:rPr>
          <w:rFonts w:hAnsi="宋体" w:hint="eastAsia"/>
          <w:sz w:val="24"/>
          <w:szCs w:val="24"/>
        </w:rPr>
        <w:tab/>
        <w:t>持续经营</w:t>
      </w:r>
    </w:p>
    <w:p w:rsidR="0086656C" w:rsidRDefault="00C12A9E">
      <w:pPr>
        <w:pStyle w:val="a7"/>
        <w:spacing w:before="100" w:beforeAutospacing="1" w:after="100" w:afterAutospacing="1" w:line="400" w:lineRule="exact"/>
        <w:ind w:firstLine="403"/>
        <w:rPr>
          <w:rFonts w:hAnsi="宋体"/>
          <w:sz w:val="24"/>
          <w:szCs w:val="24"/>
        </w:rPr>
      </w:pPr>
      <w:r>
        <w:rPr>
          <w:rFonts w:hAnsi="宋体" w:hint="eastAsia"/>
          <w:sz w:val="24"/>
          <w:szCs w:val="24"/>
        </w:rPr>
        <w:lastRenderedPageBreak/>
        <w:t>（二）基金托管人（或简称“托管人”）</w:t>
      </w:r>
    </w:p>
    <w:p w:rsidR="0086656C" w:rsidRDefault="00C12A9E">
      <w:pPr>
        <w:spacing w:before="100" w:beforeAutospacing="1" w:after="100" w:afterAutospacing="1" w:line="400" w:lineRule="exact"/>
        <w:ind w:right="26" w:firstLine="403"/>
        <w:rPr>
          <w:rFonts w:ascii="宋体" w:hAnsi="宋体"/>
          <w:sz w:val="24"/>
        </w:rPr>
      </w:pPr>
      <w:r>
        <w:rPr>
          <w:rFonts w:ascii="宋体" w:hAnsi="宋体" w:hint="eastAsia"/>
          <w:sz w:val="24"/>
        </w:rPr>
        <w:t>名称：中国银行股份有限公司</w:t>
      </w:r>
    </w:p>
    <w:p w:rsidR="0086656C" w:rsidRDefault="00C12A9E">
      <w:pPr>
        <w:spacing w:before="100" w:beforeAutospacing="1" w:after="100" w:afterAutospacing="1" w:line="400" w:lineRule="exact"/>
        <w:ind w:right="26" w:firstLine="403"/>
        <w:rPr>
          <w:rFonts w:ascii="宋体" w:hAnsi="宋体"/>
          <w:sz w:val="24"/>
        </w:rPr>
      </w:pPr>
      <w:r>
        <w:rPr>
          <w:rFonts w:ascii="宋体" w:hAnsi="宋体" w:hint="eastAsia"/>
          <w:sz w:val="24"/>
        </w:rPr>
        <w:t>住所：北京市西城区复兴门内大街1号</w:t>
      </w:r>
    </w:p>
    <w:p w:rsidR="0086656C" w:rsidRDefault="00C12A9E">
      <w:pPr>
        <w:spacing w:before="100" w:beforeAutospacing="1" w:after="100" w:afterAutospacing="1" w:line="400" w:lineRule="exact"/>
        <w:ind w:right="26" w:firstLine="403"/>
        <w:rPr>
          <w:rFonts w:ascii="宋体" w:hAnsi="宋体"/>
          <w:sz w:val="24"/>
        </w:rPr>
      </w:pPr>
      <w:r>
        <w:rPr>
          <w:rFonts w:ascii="宋体" w:hAnsi="宋体" w:hint="eastAsia"/>
          <w:sz w:val="24"/>
        </w:rPr>
        <w:t>法定代表人:</w:t>
      </w:r>
      <w:r>
        <w:rPr>
          <w:rFonts w:hint="eastAsia"/>
        </w:rPr>
        <w:t xml:space="preserve"> </w:t>
      </w:r>
      <w:r>
        <w:rPr>
          <w:rFonts w:ascii="宋体" w:hAnsi="宋体" w:hint="eastAsia"/>
          <w:sz w:val="24"/>
        </w:rPr>
        <w:t>刘连舸</w:t>
      </w:r>
    </w:p>
    <w:p w:rsidR="0086656C" w:rsidRDefault="00C12A9E">
      <w:pPr>
        <w:spacing w:before="100" w:beforeAutospacing="1" w:after="100" w:afterAutospacing="1" w:line="400" w:lineRule="exact"/>
        <w:ind w:right="26" w:firstLine="403"/>
        <w:rPr>
          <w:rFonts w:ascii="宋体" w:hAnsi="宋体"/>
          <w:kern w:val="0"/>
          <w:sz w:val="24"/>
        </w:rPr>
      </w:pPr>
      <w:r>
        <w:rPr>
          <w:rFonts w:ascii="宋体" w:hAnsi="宋体" w:hint="eastAsia"/>
          <w:sz w:val="24"/>
        </w:rPr>
        <w:t>成立时间：1983年10月31日</w:t>
      </w:r>
    </w:p>
    <w:p w:rsidR="0086656C" w:rsidRDefault="00C12A9E">
      <w:pPr>
        <w:spacing w:before="100" w:beforeAutospacing="1" w:after="100" w:afterAutospacing="1" w:line="400" w:lineRule="exact"/>
        <w:ind w:firstLine="420"/>
        <w:rPr>
          <w:rFonts w:ascii="宋体" w:hAnsi="宋体"/>
          <w:sz w:val="24"/>
        </w:rPr>
      </w:pPr>
      <w:r>
        <w:rPr>
          <w:rFonts w:ascii="宋体" w:hAnsi="宋体" w:hint="eastAsia"/>
          <w:kern w:val="0"/>
          <w:sz w:val="24"/>
        </w:rPr>
        <w:t>基金托管业务批准文号：中国证监会证监基字【1998】24号</w:t>
      </w:r>
    </w:p>
    <w:p w:rsidR="0086656C" w:rsidRDefault="00C12A9E">
      <w:pPr>
        <w:tabs>
          <w:tab w:val="left" w:pos="1110"/>
        </w:tabs>
        <w:spacing w:before="100" w:beforeAutospacing="1" w:after="100" w:afterAutospacing="1" w:line="400" w:lineRule="exact"/>
        <w:ind w:firstLine="420"/>
        <w:rPr>
          <w:rFonts w:ascii="宋体" w:hAnsi="宋体"/>
          <w:sz w:val="24"/>
        </w:rPr>
      </w:pPr>
      <w:r>
        <w:rPr>
          <w:rFonts w:ascii="宋体" w:hAnsi="宋体" w:hint="eastAsia"/>
          <w:sz w:val="24"/>
        </w:rPr>
        <w:t>组织形式：股份有限公司</w:t>
      </w:r>
    </w:p>
    <w:p w:rsidR="0086656C" w:rsidRDefault="00C12A9E">
      <w:pPr>
        <w:spacing w:before="100" w:beforeAutospacing="1" w:after="100" w:afterAutospacing="1" w:line="400" w:lineRule="exact"/>
        <w:ind w:right="26" w:firstLine="403"/>
        <w:rPr>
          <w:rFonts w:ascii="宋体" w:hAnsi="宋体"/>
          <w:sz w:val="24"/>
        </w:rPr>
      </w:pPr>
      <w:r>
        <w:rPr>
          <w:rFonts w:ascii="宋体" w:hAnsi="宋体" w:hint="eastAsia"/>
          <w:sz w:val="24"/>
        </w:rPr>
        <w:t>注册资本：294,387,791,241元</w:t>
      </w:r>
    </w:p>
    <w:p w:rsidR="0086656C" w:rsidRDefault="00C12A9E">
      <w:pPr>
        <w:spacing w:before="100" w:beforeAutospacing="1" w:after="100" w:afterAutospacing="1" w:line="400" w:lineRule="exact"/>
        <w:ind w:left="1674" w:right="26" w:hanging="1271"/>
        <w:rPr>
          <w:rFonts w:ascii="宋体" w:hAnsi="宋体"/>
          <w:sz w:val="24"/>
        </w:rPr>
      </w:pPr>
      <w:r>
        <w:rPr>
          <w:rFonts w:ascii="宋体" w:hAnsi="宋体" w:hint="eastAsia"/>
          <w:sz w:val="24"/>
        </w:rPr>
        <w:t>经营范围：</w:t>
      </w:r>
      <w:r>
        <w:rPr>
          <w:rFonts w:ascii="宋体" w:hAnsi="宋体" w:hint="eastAsia"/>
          <w:sz w:val="24"/>
        </w:rPr>
        <w:tab/>
        <w:t>吸收人民币存款；发放短期、中期和长期贷款；办理结算；办理票据贴现；发行金融债券；代理发行、代理兑付、承销政府债券；买卖政府债券；从事同业拆借；提供信用证服务及担保；代理收付款项及代理保险业务；提供保险箱服务；外汇存款；外汇贷款；外汇汇款；外汇兑换；国际结算；同业外汇拆借；外汇票据的承兑和贴现；外汇借款；外汇担保；结汇、售汇；发行和代理发行股票以外的外币有价证券；买卖和代理买卖股票以外的外币有价证券；自营外汇买卖；代客外汇买卖；外汇信用卡的发行和代理国外信用卡的发行及付款；资信调查、咨询、见证业务；组织或参加银团贷款；国际贵金属买卖；海外分支机构经营与当地法律许可的一切银行业务；在港澳地区的分行依据当地法令可发行或参与代理发行当地货币；经中国人民银行批准的其他业务。</w:t>
      </w:r>
    </w:p>
    <w:p w:rsidR="0086656C" w:rsidRDefault="00C12A9E">
      <w:pPr>
        <w:spacing w:before="100" w:beforeAutospacing="1" w:after="100" w:afterAutospacing="1" w:line="400" w:lineRule="exact"/>
        <w:ind w:firstLine="403"/>
        <w:rPr>
          <w:rFonts w:ascii="宋体" w:hAnsi="宋体"/>
          <w:sz w:val="24"/>
        </w:rPr>
      </w:pPr>
      <w:r>
        <w:rPr>
          <w:rFonts w:ascii="宋体" w:hAnsi="宋体" w:hint="eastAsia"/>
          <w:sz w:val="24"/>
        </w:rPr>
        <w:t>存续期间：</w:t>
      </w:r>
      <w:r>
        <w:rPr>
          <w:rFonts w:ascii="宋体" w:hAnsi="宋体" w:hint="eastAsia"/>
          <w:sz w:val="24"/>
        </w:rPr>
        <w:tab/>
        <w:t>持续经营</w:t>
      </w:r>
    </w:p>
    <w:p w:rsidR="0086656C" w:rsidRDefault="0086656C">
      <w:pPr>
        <w:spacing w:before="100" w:beforeAutospacing="1" w:after="100" w:afterAutospacing="1" w:line="400" w:lineRule="exact"/>
        <w:ind w:firstLine="403"/>
        <w:rPr>
          <w:rFonts w:ascii="宋体" w:hAnsi="宋体"/>
          <w:sz w:val="24"/>
        </w:rPr>
      </w:pPr>
    </w:p>
    <w:p w:rsidR="0086656C" w:rsidRDefault="00C12A9E">
      <w:pPr>
        <w:pStyle w:val="1"/>
        <w:spacing w:before="100" w:beforeAutospacing="1" w:after="100" w:afterAutospacing="1" w:line="400" w:lineRule="exact"/>
        <w:ind w:firstLine="422"/>
        <w:rPr>
          <w:rFonts w:ascii="宋体" w:hAnsi="宋体"/>
          <w:sz w:val="24"/>
          <w:szCs w:val="24"/>
        </w:rPr>
      </w:pPr>
      <w:bookmarkStart w:id="2" w:name="_Toc116900097"/>
      <w:r>
        <w:rPr>
          <w:rFonts w:ascii="宋体" w:hAnsi="宋体" w:hint="eastAsia"/>
          <w:sz w:val="24"/>
          <w:szCs w:val="24"/>
        </w:rPr>
        <w:t>二、托管协议的依据、目的、原则和解释</w:t>
      </w:r>
      <w:bookmarkEnd w:id="2"/>
    </w:p>
    <w:p w:rsidR="0086656C" w:rsidRDefault="00C12A9E">
      <w:pPr>
        <w:spacing w:before="100" w:beforeAutospacing="1" w:after="100" w:afterAutospacing="1" w:line="400" w:lineRule="exact"/>
        <w:ind w:firstLine="403"/>
        <w:rPr>
          <w:rFonts w:ascii="宋体" w:hAnsi="宋体"/>
          <w:sz w:val="24"/>
        </w:rPr>
      </w:pPr>
      <w:r>
        <w:rPr>
          <w:rFonts w:ascii="宋体" w:hAnsi="宋体" w:hint="eastAsia"/>
          <w:sz w:val="24"/>
        </w:rPr>
        <w:t>（一）依据</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本协议依据《中华人民共和国合同法》、《中华人民共和国证券投资基金法》</w:t>
      </w:r>
      <w:r>
        <w:rPr>
          <w:rFonts w:ascii="宋体" w:eastAsia="宋体" w:hint="eastAsia"/>
          <w:color w:val="auto"/>
          <w:sz w:val="24"/>
        </w:rPr>
        <w:lastRenderedPageBreak/>
        <w:t>（以下简称“《基金法》”）、《公开募集证券投资基金运作管理办法》（以下简称“《运作办法》”）、《公开募集证券投资基金信息披露管理办法》（以下简称“《信息披露办法》”）、</w:t>
      </w:r>
      <w:r>
        <w:rPr>
          <w:rFonts w:ascii="宋体" w:eastAsia="宋体" w:hint="eastAsia"/>
          <w:bCs/>
          <w:color w:val="auto"/>
          <w:sz w:val="24"/>
        </w:rPr>
        <w:t>《公开募集开放式证券投资基金流动性风险管理规定》（以下简称“《流动性风险管理规定》”）</w:t>
      </w:r>
      <w:r>
        <w:rPr>
          <w:rFonts w:ascii="宋体" w:eastAsia="宋体" w:hint="eastAsia"/>
          <w:color w:val="auto"/>
          <w:sz w:val="24"/>
        </w:rPr>
        <w:t>及其他有关法律法规与《广发</w:t>
      </w:r>
      <w:r w:rsidR="00AE6DAB">
        <w:rPr>
          <w:rFonts w:ascii="宋体" w:eastAsia="宋体" w:hint="eastAsia"/>
          <w:color w:val="auto"/>
          <w:sz w:val="24"/>
        </w:rPr>
        <w:t>医药健康</w:t>
      </w:r>
      <w:r>
        <w:rPr>
          <w:rFonts w:ascii="宋体" w:eastAsia="宋体" w:hint="eastAsia"/>
          <w:color w:val="auto"/>
          <w:sz w:val="24"/>
        </w:rPr>
        <w:t>混合型证券投资基金基金合同》（以下简称“《基金合同》”）订立。</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（二）目的</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订立本协议的目的是明确广发</w:t>
      </w:r>
      <w:r w:rsidR="00AE6DAB">
        <w:rPr>
          <w:rFonts w:ascii="宋体" w:eastAsia="宋体" w:hint="eastAsia"/>
          <w:color w:val="auto"/>
          <w:sz w:val="24"/>
        </w:rPr>
        <w:t>医药健康</w:t>
      </w:r>
      <w:r>
        <w:rPr>
          <w:rFonts w:ascii="宋体" w:eastAsia="宋体" w:hint="eastAsia"/>
          <w:color w:val="auto"/>
          <w:sz w:val="24"/>
        </w:rPr>
        <w:t>混合型证券投资基金基金托管人和广发</w:t>
      </w:r>
      <w:r w:rsidR="00AE6DAB">
        <w:rPr>
          <w:rFonts w:ascii="宋体" w:eastAsia="宋体" w:hint="eastAsia"/>
          <w:color w:val="auto"/>
          <w:sz w:val="24"/>
        </w:rPr>
        <w:t>医药健康</w:t>
      </w:r>
      <w:r>
        <w:rPr>
          <w:rFonts w:ascii="宋体" w:eastAsia="宋体" w:hint="eastAsia"/>
          <w:color w:val="auto"/>
          <w:sz w:val="24"/>
        </w:rPr>
        <w:t>混合型证券投资基金基金管理人之间在基金财产的保管、投资运作、净值计算、收益分配、信息披露及相互监督等相关事宜中的权利、义务及职责，确保基金财产的安全，保护基金份额持有人的合法权益。</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（三）原则</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基金管理人和基金托管人本着平等自愿、诚实信用的原则，经协商一致，签订本协议。</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（四）解释</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除非文义另有所指，本协议的所有术语与</w:t>
      </w:r>
      <w:bookmarkStart w:id="3" w:name="OLE_LINK3"/>
      <w:r>
        <w:rPr>
          <w:rFonts w:ascii="宋体" w:eastAsia="宋体" w:hint="eastAsia"/>
          <w:color w:val="auto"/>
          <w:sz w:val="24"/>
        </w:rPr>
        <w:t>《基金合同》</w:t>
      </w:r>
      <w:bookmarkEnd w:id="3"/>
      <w:r>
        <w:rPr>
          <w:rFonts w:ascii="宋体" w:eastAsia="宋体" w:hint="eastAsia"/>
          <w:color w:val="auto"/>
          <w:sz w:val="24"/>
        </w:rPr>
        <w:t>的相应术语具有相同含义。</w:t>
      </w:r>
    </w:p>
    <w:p w:rsidR="0086656C" w:rsidRDefault="0086656C">
      <w:pPr>
        <w:pStyle w:val="a6"/>
        <w:spacing w:before="100" w:beforeAutospacing="1" w:after="100" w:afterAutospacing="1"/>
        <w:ind w:firstLine="461"/>
        <w:rPr>
          <w:rFonts w:ascii="宋体" w:eastAsia="宋体"/>
          <w:color w:val="auto"/>
          <w:sz w:val="24"/>
        </w:rPr>
      </w:pPr>
    </w:p>
    <w:p w:rsidR="0086656C" w:rsidRDefault="00C12A9E">
      <w:pPr>
        <w:pStyle w:val="1"/>
        <w:spacing w:before="100" w:beforeAutospacing="1" w:after="100" w:afterAutospacing="1" w:line="400" w:lineRule="exact"/>
        <w:ind w:firstLine="422"/>
        <w:rPr>
          <w:rFonts w:ascii="宋体" w:hAnsi="宋体"/>
          <w:sz w:val="24"/>
          <w:szCs w:val="24"/>
        </w:rPr>
      </w:pPr>
      <w:bookmarkStart w:id="4" w:name="_Toc116900098"/>
      <w:r>
        <w:rPr>
          <w:rFonts w:ascii="宋体" w:hAnsi="宋体" w:hint="eastAsia"/>
          <w:sz w:val="24"/>
          <w:szCs w:val="24"/>
        </w:rPr>
        <w:t>三、基金托管人对基金管理人的业务监督和核查</w:t>
      </w:r>
      <w:bookmarkEnd w:id="4"/>
    </w:p>
    <w:p w:rsidR="0086656C" w:rsidRDefault="00C12A9E">
      <w:pPr>
        <w:adjustRightInd w:val="0"/>
        <w:snapToGrid w:val="0"/>
        <w:spacing w:before="100" w:beforeAutospacing="1" w:after="100" w:afterAutospacing="1" w:line="400" w:lineRule="exact"/>
        <w:ind w:firstLineChars="200" w:firstLine="480"/>
        <w:rPr>
          <w:rFonts w:ascii="宋体" w:hAnsi="宋体" w:cs="方正仿宋简体"/>
          <w:sz w:val="24"/>
        </w:rPr>
      </w:pPr>
      <w:r>
        <w:rPr>
          <w:rFonts w:ascii="宋体" w:hAnsi="宋体" w:cs="方正仿宋简体" w:hint="eastAsia"/>
          <w:sz w:val="24"/>
        </w:rPr>
        <w:t>（一）基金托管人根据有关法律法规的规定对基金管理人的下列投资运作进行监督：</w:t>
      </w:r>
    </w:p>
    <w:p w:rsidR="0086656C" w:rsidRDefault="00C12A9E">
      <w:pPr>
        <w:adjustRightInd w:val="0"/>
        <w:snapToGrid w:val="0"/>
        <w:spacing w:before="100" w:beforeAutospacing="1" w:after="100" w:afterAutospacing="1" w:line="400" w:lineRule="exact"/>
        <w:ind w:firstLine="480"/>
        <w:rPr>
          <w:rFonts w:ascii="宋体" w:hAnsi="宋体" w:cs="方正仿宋简体"/>
          <w:sz w:val="24"/>
        </w:rPr>
      </w:pPr>
      <w:r>
        <w:rPr>
          <w:rFonts w:ascii="宋体" w:hAnsi="宋体" w:cs="方正仿宋简体" w:hint="eastAsia"/>
          <w:sz w:val="24"/>
        </w:rPr>
        <w:t>1、对基金的投资范围、投资对象进行监督。</w:t>
      </w:r>
    </w:p>
    <w:p w:rsidR="0086656C" w:rsidRPr="00005400" w:rsidRDefault="00C12A9E">
      <w:pPr>
        <w:adjustRightInd w:val="0"/>
        <w:snapToGrid w:val="0"/>
        <w:spacing w:before="100" w:beforeAutospacing="1" w:after="100" w:afterAutospacing="1" w:line="400" w:lineRule="exact"/>
        <w:ind w:firstLineChars="200" w:firstLine="480"/>
        <w:rPr>
          <w:rFonts w:ascii="宋体" w:hAnsi="宋体" w:cs="方正仿宋简体"/>
          <w:sz w:val="24"/>
        </w:rPr>
      </w:pPr>
      <w:r>
        <w:rPr>
          <w:rFonts w:ascii="宋体" w:hAnsi="宋体" w:cs="方正仿宋简体" w:hint="eastAsia"/>
          <w:sz w:val="24"/>
        </w:rPr>
        <w:t>本基金的投资范围为具有良好流动性的金融工具，包括境内依法发行上市的股票（包括中小板、创业板及其他依法发行、上市的股票）、港股通标的股票、债券（包括国内依法发行和上市交易的国债、地方政府债、金融债、企业债、公司债、次级债、可转换债券、分离交易可转债、可交换债券、央行票据、中期票据、短期融资券（包括超短期融资券）等）、资产支持证券、债券回购、同业存单、银行存款、股指期货、国债期货以及法律法规或中国证监会允许基金投资的</w:t>
      </w:r>
      <w:r>
        <w:rPr>
          <w:rFonts w:ascii="宋体" w:hAnsi="宋体" w:cs="方正仿宋简体" w:hint="eastAsia"/>
          <w:sz w:val="24"/>
        </w:rPr>
        <w:lastRenderedPageBreak/>
        <w:t>其他金融工具（但须符合中国证监会相关规定）。</w:t>
      </w:r>
    </w:p>
    <w:p w:rsidR="0086656C" w:rsidRDefault="00C12A9E">
      <w:pPr>
        <w:adjustRightInd w:val="0"/>
        <w:snapToGrid w:val="0"/>
        <w:spacing w:before="100" w:beforeAutospacing="1" w:after="100" w:afterAutospacing="1" w:line="400" w:lineRule="exact"/>
        <w:ind w:firstLineChars="200" w:firstLine="480"/>
        <w:rPr>
          <w:rFonts w:ascii="宋体" w:hAnsi="宋体" w:cs="方正仿宋简体"/>
          <w:sz w:val="24"/>
        </w:rPr>
      </w:pPr>
      <w:r>
        <w:rPr>
          <w:rFonts w:ascii="宋体" w:hAnsi="宋体" w:cs="方正仿宋简体" w:hint="eastAsia"/>
          <w:sz w:val="24"/>
        </w:rPr>
        <w:t>如法律法规或监管机构以后允许基金投资其他品种，基金管理人在履行适当程序后，可以将其纳入投资范围，并可依据届时有效的法律法规适时合理地调整投资范围。</w:t>
      </w:r>
    </w:p>
    <w:p w:rsidR="0086656C" w:rsidRDefault="00C12A9E">
      <w:pPr>
        <w:adjustRightInd w:val="0"/>
        <w:snapToGrid w:val="0"/>
        <w:spacing w:before="100" w:beforeAutospacing="1" w:after="100" w:afterAutospacing="1" w:line="400" w:lineRule="exact"/>
        <w:ind w:firstLineChars="200" w:firstLine="480"/>
        <w:rPr>
          <w:rFonts w:ascii="宋体" w:hAnsi="宋体" w:cs="方正仿宋简体"/>
          <w:sz w:val="24"/>
        </w:rPr>
      </w:pPr>
      <w:r>
        <w:rPr>
          <w:rFonts w:ascii="宋体" w:hAnsi="宋体" w:cs="方正仿宋简体" w:hint="eastAsia"/>
          <w:sz w:val="24"/>
        </w:rPr>
        <w:t>本基金为混合型基金，基金的投资组合比例为：股票资产占基金资产的比例为60%-95%，其中投资于港股通标的股票不超过股票资产的50%，投资于</w:t>
      </w:r>
      <w:r w:rsidR="00AE6DAB">
        <w:rPr>
          <w:rFonts w:ascii="宋体" w:hAnsi="宋体" w:cs="方正仿宋简体" w:hint="eastAsia"/>
          <w:sz w:val="24"/>
        </w:rPr>
        <w:t>医药健康</w:t>
      </w:r>
      <w:r>
        <w:rPr>
          <w:rFonts w:ascii="宋体" w:hAnsi="宋体" w:cs="方正仿宋简体" w:hint="eastAsia"/>
          <w:sz w:val="24"/>
        </w:rPr>
        <w:t>主题相关证券资产的比例不低于非现金基金资产的80%；每个交易日日终在扣除股指期货合约和国债期货合约需缴纳的交易保证金后，应当保持现金或者到期日在一年以内的政府债券不低于基金资产净值的5%，其中现金不得包括结算备付金、存出保证金及应收申购款等。</w:t>
      </w:r>
    </w:p>
    <w:p w:rsidR="0086656C" w:rsidRDefault="00C12A9E">
      <w:pPr>
        <w:adjustRightInd w:val="0"/>
        <w:snapToGrid w:val="0"/>
        <w:spacing w:before="100" w:beforeAutospacing="1" w:after="100" w:afterAutospacing="1" w:line="400" w:lineRule="exact"/>
        <w:ind w:firstLineChars="200" w:firstLine="480"/>
        <w:rPr>
          <w:rFonts w:ascii="宋体" w:hAnsi="宋体" w:cs="方正仿宋简体"/>
          <w:sz w:val="24"/>
        </w:rPr>
      </w:pPr>
      <w:r>
        <w:rPr>
          <w:rFonts w:ascii="宋体" w:hAnsi="宋体" w:cs="方正仿宋简体" w:hint="eastAsia"/>
          <w:sz w:val="24"/>
        </w:rPr>
        <w:t>如未来法律法规或监管机构对投资比例要求有变更的，基金管理人在履行适当程序后，可以做出相应调整。</w:t>
      </w:r>
    </w:p>
    <w:p w:rsidR="0086656C" w:rsidRDefault="00C12A9E">
      <w:pPr>
        <w:adjustRightInd w:val="0"/>
        <w:snapToGrid w:val="0"/>
        <w:spacing w:before="100" w:beforeAutospacing="1" w:after="100" w:afterAutospacing="1" w:line="400" w:lineRule="exact"/>
        <w:ind w:firstLineChars="200" w:firstLine="480"/>
        <w:rPr>
          <w:rFonts w:ascii="宋体" w:hAnsi="宋体" w:cs="方正仿宋简体"/>
          <w:sz w:val="24"/>
        </w:rPr>
      </w:pPr>
      <w:r>
        <w:rPr>
          <w:rFonts w:ascii="宋体" w:hAnsi="宋体" w:cs="方正仿宋简体" w:hint="eastAsia"/>
          <w:sz w:val="24"/>
        </w:rPr>
        <w:t>基金管理人应将本基金拟投资的股票库、债券库等各投资品种的具体范围及时提供给基金托管人。基金管理人可以根据实际情况的变化，对各投资品种的具体范围予以更新和调整，并及时通知基金托管人。基金托管人根据上述投资范围对基金的投资进行监督。</w:t>
      </w:r>
    </w:p>
    <w:p w:rsidR="0086656C" w:rsidRDefault="00C12A9E">
      <w:pPr>
        <w:adjustRightInd w:val="0"/>
        <w:snapToGrid w:val="0"/>
        <w:spacing w:before="100" w:beforeAutospacing="1" w:after="100" w:afterAutospacing="1" w:line="400" w:lineRule="exact"/>
        <w:ind w:firstLineChars="200" w:firstLine="480"/>
        <w:rPr>
          <w:rFonts w:ascii="宋体" w:hAnsi="宋体" w:cs="方正仿宋简体"/>
          <w:sz w:val="24"/>
        </w:rPr>
      </w:pPr>
      <w:r>
        <w:rPr>
          <w:rFonts w:ascii="宋体" w:hAnsi="宋体" w:cs="方正仿宋简体" w:hint="eastAsia"/>
          <w:sz w:val="24"/>
        </w:rPr>
        <w:t>2、对基金投融资比例进行监督；</w:t>
      </w:r>
    </w:p>
    <w:p w:rsidR="0086656C" w:rsidRDefault="00C12A9E">
      <w:pPr>
        <w:adjustRightInd w:val="0"/>
        <w:snapToGrid w:val="0"/>
        <w:spacing w:before="100" w:beforeAutospacing="1" w:after="100" w:afterAutospacing="1" w:line="400" w:lineRule="exact"/>
        <w:ind w:firstLineChars="200" w:firstLine="480"/>
        <w:rPr>
          <w:rFonts w:ascii="宋体" w:hAnsi="宋体" w:cs="方正仿宋简体"/>
          <w:sz w:val="24"/>
        </w:rPr>
      </w:pPr>
      <w:r>
        <w:rPr>
          <w:rFonts w:ascii="宋体" w:hAnsi="宋体" w:cs="方正仿宋简体" w:hint="eastAsia"/>
          <w:sz w:val="24"/>
        </w:rPr>
        <w:t>（1）股票资产占基金资产的比例为60%-95%，其中投资于港股通标的股票不超过股票资产的50%，投资于</w:t>
      </w:r>
      <w:r w:rsidR="00AE6DAB">
        <w:rPr>
          <w:rFonts w:ascii="宋体" w:hAnsi="宋体" w:cs="方正仿宋简体" w:hint="eastAsia"/>
          <w:sz w:val="24"/>
        </w:rPr>
        <w:t>医药健康</w:t>
      </w:r>
      <w:r>
        <w:rPr>
          <w:rFonts w:ascii="宋体" w:hAnsi="宋体" w:cs="方正仿宋简体" w:hint="eastAsia"/>
          <w:sz w:val="24"/>
        </w:rPr>
        <w:t>主题相关证券资产的比例不低于非现金基金资产的80%；</w:t>
      </w:r>
    </w:p>
    <w:p w:rsidR="0086656C" w:rsidRDefault="00C12A9E">
      <w:pPr>
        <w:adjustRightInd w:val="0"/>
        <w:snapToGrid w:val="0"/>
        <w:spacing w:before="100" w:beforeAutospacing="1" w:after="100" w:afterAutospacing="1" w:line="400" w:lineRule="exact"/>
        <w:ind w:firstLineChars="200" w:firstLine="480"/>
        <w:rPr>
          <w:rFonts w:ascii="宋体" w:hAnsi="宋体" w:cs="方正仿宋简体"/>
          <w:sz w:val="24"/>
        </w:rPr>
      </w:pPr>
      <w:r>
        <w:rPr>
          <w:rFonts w:ascii="宋体" w:hAnsi="宋体" w:cs="方正仿宋简体" w:hint="eastAsia"/>
          <w:sz w:val="24"/>
        </w:rPr>
        <w:t>（2）每个交易日日终在扣除股指期货合约和国债期货合约需缴纳的交易保证金后，应当保持现金或者到期日在一年以内的政府债券不低于基金资产净值的5%，其中现金不得包括结算备付金、存出保证金及应收申购款等；</w:t>
      </w:r>
    </w:p>
    <w:p w:rsidR="0086656C" w:rsidRDefault="00C12A9E">
      <w:pPr>
        <w:adjustRightInd w:val="0"/>
        <w:snapToGrid w:val="0"/>
        <w:spacing w:before="100" w:beforeAutospacing="1" w:after="100" w:afterAutospacing="1" w:line="400" w:lineRule="exact"/>
        <w:ind w:firstLineChars="200" w:firstLine="480"/>
        <w:rPr>
          <w:rFonts w:ascii="宋体" w:hAnsi="宋体" w:cs="方正仿宋简体"/>
          <w:sz w:val="24"/>
        </w:rPr>
      </w:pPr>
      <w:r>
        <w:rPr>
          <w:rFonts w:ascii="宋体" w:hAnsi="宋体" w:cs="方正仿宋简体" w:hint="eastAsia"/>
          <w:sz w:val="24"/>
        </w:rPr>
        <w:t>（3）本基金持有一家公司发行的证券，其市值（同一家公司在境内和香港同时上市的A+H股合并计算）不超过基金资产净值的10%；</w:t>
      </w:r>
    </w:p>
    <w:p w:rsidR="0086656C" w:rsidRDefault="00C12A9E">
      <w:pPr>
        <w:adjustRightInd w:val="0"/>
        <w:snapToGrid w:val="0"/>
        <w:spacing w:before="100" w:beforeAutospacing="1" w:after="100" w:afterAutospacing="1" w:line="400" w:lineRule="exact"/>
        <w:ind w:firstLineChars="200" w:firstLine="480"/>
        <w:rPr>
          <w:rFonts w:ascii="宋体" w:hAnsi="宋体" w:cs="方正仿宋简体"/>
          <w:sz w:val="24"/>
        </w:rPr>
      </w:pPr>
      <w:r>
        <w:rPr>
          <w:rFonts w:ascii="宋体" w:hAnsi="宋体" w:cs="方正仿宋简体" w:hint="eastAsia"/>
          <w:sz w:val="24"/>
        </w:rPr>
        <w:t>（4）本基金管理人管理的且</w:t>
      </w:r>
      <w:r>
        <w:rPr>
          <w:rFonts w:ascii="宋体" w:hAnsi="宋体" w:cs="方正仿宋简体"/>
          <w:sz w:val="24"/>
        </w:rPr>
        <w:t>由</w:t>
      </w:r>
      <w:r>
        <w:rPr>
          <w:rFonts w:ascii="宋体" w:hAnsi="宋体" w:cs="方正仿宋简体" w:hint="eastAsia"/>
          <w:sz w:val="24"/>
        </w:rPr>
        <w:t>本基金</w:t>
      </w:r>
      <w:r>
        <w:rPr>
          <w:rFonts w:ascii="宋体" w:hAnsi="宋体" w:cs="方正仿宋简体"/>
          <w:sz w:val="24"/>
        </w:rPr>
        <w:t>托管人托管的</w:t>
      </w:r>
      <w:r>
        <w:rPr>
          <w:rFonts w:ascii="宋体" w:hAnsi="宋体" w:cs="方正仿宋简体" w:hint="eastAsia"/>
          <w:sz w:val="24"/>
        </w:rPr>
        <w:t>全部基金持有一家公司发行的证券，不超过该证券的10%；</w:t>
      </w:r>
    </w:p>
    <w:p w:rsidR="0086656C" w:rsidRDefault="00C12A9E">
      <w:pPr>
        <w:adjustRightInd w:val="0"/>
        <w:snapToGrid w:val="0"/>
        <w:spacing w:before="100" w:beforeAutospacing="1" w:after="100" w:afterAutospacing="1" w:line="400" w:lineRule="exact"/>
        <w:ind w:firstLineChars="200" w:firstLine="480"/>
        <w:rPr>
          <w:rFonts w:ascii="宋体" w:hAnsi="宋体" w:cs="方正仿宋简体"/>
          <w:sz w:val="24"/>
        </w:rPr>
      </w:pPr>
      <w:r>
        <w:rPr>
          <w:rFonts w:ascii="宋体" w:hAnsi="宋体" w:cs="方正仿宋简体" w:hint="eastAsia"/>
          <w:sz w:val="24"/>
        </w:rPr>
        <w:lastRenderedPageBreak/>
        <w:t>（5）本基金管理人管理的且</w:t>
      </w:r>
      <w:r>
        <w:rPr>
          <w:rFonts w:ascii="宋体" w:hAnsi="宋体" w:cs="方正仿宋简体"/>
          <w:sz w:val="24"/>
        </w:rPr>
        <w:t>由</w:t>
      </w:r>
      <w:r>
        <w:rPr>
          <w:rFonts w:ascii="宋体" w:hAnsi="宋体" w:cs="方正仿宋简体" w:hint="eastAsia"/>
          <w:sz w:val="24"/>
        </w:rPr>
        <w:t>本基金</w:t>
      </w:r>
      <w:r>
        <w:rPr>
          <w:rFonts w:ascii="宋体" w:hAnsi="宋体" w:cs="方正仿宋简体"/>
          <w:sz w:val="24"/>
        </w:rPr>
        <w:t>托管人托管的</w:t>
      </w:r>
      <w:r>
        <w:rPr>
          <w:rFonts w:ascii="宋体" w:hAnsi="宋体" w:cs="方正仿宋简体" w:hint="eastAsia"/>
          <w:sz w:val="24"/>
        </w:rPr>
        <w:t>全部开放式基金持有一家上市公司发行的可流通股票，不得超过该上市公司可流通股票的15%；</w:t>
      </w:r>
    </w:p>
    <w:p w:rsidR="0086656C" w:rsidRDefault="00C12A9E">
      <w:pPr>
        <w:adjustRightInd w:val="0"/>
        <w:snapToGrid w:val="0"/>
        <w:spacing w:before="100" w:beforeAutospacing="1" w:after="100" w:afterAutospacing="1" w:line="400" w:lineRule="exact"/>
        <w:ind w:firstLineChars="200" w:firstLine="480"/>
        <w:rPr>
          <w:rFonts w:ascii="宋体" w:hAnsi="宋体" w:cs="方正仿宋简体"/>
          <w:sz w:val="24"/>
        </w:rPr>
      </w:pPr>
      <w:r>
        <w:rPr>
          <w:rFonts w:ascii="宋体" w:hAnsi="宋体" w:cs="方正仿宋简体" w:hint="eastAsia"/>
          <w:sz w:val="24"/>
        </w:rPr>
        <w:t>（6）本基金管理人管理的且</w:t>
      </w:r>
      <w:r>
        <w:rPr>
          <w:rFonts w:ascii="宋体" w:hAnsi="宋体" w:cs="方正仿宋简体"/>
          <w:sz w:val="24"/>
        </w:rPr>
        <w:t>由</w:t>
      </w:r>
      <w:r>
        <w:rPr>
          <w:rFonts w:ascii="宋体" w:hAnsi="宋体" w:cs="方正仿宋简体" w:hint="eastAsia"/>
          <w:sz w:val="24"/>
        </w:rPr>
        <w:t>本基金</w:t>
      </w:r>
      <w:r>
        <w:rPr>
          <w:rFonts w:ascii="宋体" w:hAnsi="宋体" w:cs="方正仿宋简体"/>
          <w:sz w:val="24"/>
        </w:rPr>
        <w:t>托管人托管</w:t>
      </w:r>
      <w:r>
        <w:rPr>
          <w:rFonts w:ascii="宋体" w:hAnsi="宋体" w:cs="方正仿宋简体" w:hint="eastAsia"/>
          <w:sz w:val="24"/>
        </w:rPr>
        <w:t>的全部投资组合持有一家上市公司发行的可流通股票，不得超过该上市公司可流通股票的30%；</w:t>
      </w:r>
    </w:p>
    <w:p w:rsidR="0086656C" w:rsidRDefault="00C12A9E">
      <w:pPr>
        <w:adjustRightInd w:val="0"/>
        <w:snapToGrid w:val="0"/>
        <w:spacing w:before="100" w:beforeAutospacing="1" w:after="100" w:afterAutospacing="1" w:line="400" w:lineRule="exact"/>
        <w:ind w:firstLineChars="200" w:firstLine="480"/>
        <w:rPr>
          <w:rFonts w:ascii="宋体" w:hAnsi="宋体" w:cs="方正仿宋简体"/>
          <w:sz w:val="24"/>
        </w:rPr>
      </w:pPr>
      <w:r>
        <w:rPr>
          <w:rFonts w:ascii="宋体" w:hAnsi="宋体" w:cs="方正仿宋简体" w:hint="eastAsia"/>
          <w:sz w:val="24"/>
        </w:rPr>
        <w:t>（7）本基金投资于同一原始权益人的各类资产支持证券的比例，不得超过基金资产净值的10%；</w:t>
      </w:r>
    </w:p>
    <w:p w:rsidR="0086656C" w:rsidRDefault="00C12A9E">
      <w:pPr>
        <w:adjustRightInd w:val="0"/>
        <w:snapToGrid w:val="0"/>
        <w:spacing w:before="100" w:beforeAutospacing="1" w:after="100" w:afterAutospacing="1" w:line="400" w:lineRule="exact"/>
        <w:ind w:firstLineChars="200" w:firstLine="480"/>
        <w:rPr>
          <w:rFonts w:ascii="宋体" w:hAnsi="宋体" w:cs="方正仿宋简体"/>
          <w:sz w:val="24"/>
        </w:rPr>
      </w:pPr>
      <w:r>
        <w:rPr>
          <w:rFonts w:ascii="宋体" w:hAnsi="宋体" w:cs="方正仿宋简体" w:hint="eastAsia"/>
          <w:sz w:val="24"/>
        </w:rPr>
        <w:t>（8）本基金持有的全部资产支持证券，其市值不得超过基金资产净值的20%；</w:t>
      </w:r>
    </w:p>
    <w:p w:rsidR="0086656C" w:rsidRDefault="00C12A9E">
      <w:pPr>
        <w:adjustRightInd w:val="0"/>
        <w:snapToGrid w:val="0"/>
        <w:spacing w:before="100" w:beforeAutospacing="1" w:after="100" w:afterAutospacing="1" w:line="400" w:lineRule="exact"/>
        <w:ind w:firstLineChars="200" w:firstLine="480"/>
        <w:rPr>
          <w:rFonts w:ascii="宋体" w:hAnsi="宋体" w:cs="方正仿宋简体"/>
          <w:sz w:val="24"/>
        </w:rPr>
      </w:pPr>
      <w:r>
        <w:rPr>
          <w:rFonts w:ascii="宋体" w:hAnsi="宋体" w:cs="方正仿宋简体" w:hint="eastAsia"/>
          <w:sz w:val="24"/>
        </w:rPr>
        <w:t>（9）本基金持有的同一（指同一信用级别）资产支持证券的比例，不得超过该资产支持证券规模的10%；</w:t>
      </w:r>
    </w:p>
    <w:p w:rsidR="0086656C" w:rsidRDefault="00C12A9E">
      <w:pPr>
        <w:adjustRightInd w:val="0"/>
        <w:snapToGrid w:val="0"/>
        <w:spacing w:before="100" w:beforeAutospacing="1" w:after="100" w:afterAutospacing="1" w:line="400" w:lineRule="exact"/>
        <w:ind w:firstLineChars="200" w:firstLine="480"/>
        <w:rPr>
          <w:rFonts w:ascii="宋体" w:hAnsi="宋体" w:cs="方正仿宋简体"/>
          <w:sz w:val="24"/>
        </w:rPr>
      </w:pPr>
      <w:r>
        <w:rPr>
          <w:rFonts w:ascii="宋体" w:hAnsi="宋体" w:cs="方正仿宋简体" w:hint="eastAsia"/>
          <w:sz w:val="24"/>
        </w:rPr>
        <w:t>（10）本基金管理人管理的且</w:t>
      </w:r>
      <w:r>
        <w:rPr>
          <w:rFonts w:ascii="宋体" w:hAnsi="宋体" w:cs="方正仿宋简体"/>
          <w:sz w:val="24"/>
        </w:rPr>
        <w:t>由</w:t>
      </w:r>
      <w:r>
        <w:rPr>
          <w:rFonts w:ascii="宋体" w:hAnsi="宋体" w:cs="方正仿宋简体" w:hint="eastAsia"/>
          <w:sz w:val="24"/>
        </w:rPr>
        <w:t>本基金</w:t>
      </w:r>
      <w:r>
        <w:rPr>
          <w:rFonts w:ascii="宋体" w:hAnsi="宋体" w:cs="方正仿宋简体"/>
          <w:sz w:val="24"/>
        </w:rPr>
        <w:t>托管人托管的</w:t>
      </w:r>
      <w:r>
        <w:rPr>
          <w:rFonts w:ascii="宋体" w:hAnsi="宋体" w:cs="方正仿宋简体" w:hint="eastAsia"/>
          <w:sz w:val="24"/>
        </w:rPr>
        <w:t>全部基金投资于同一原始权益人的各类资产支持证券，不得超过其各类资产支持证券合计规模的10%；</w:t>
      </w:r>
    </w:p>
    <w:p w:rsidR="0086656C" w:rsidRDefault="00C12A9E">
      <w:pPr>
        <w:adjustRightInd w:val="0"/>
        <w:snapToGrid w:val="0"/>
        <w:spacing w:before="100" w:beforeAutospacing="1" w:after="100" w:afterAutospacing="1" w:line="400" w:lineRule="exact"/>
        <w:ind w:firstLineChars="200" w:firstLine="480"/>
        <w:rPr>
          <w:rFonts w:ascii="宋体" w:hAnsi="宋体" w:cs="方正仿宋简体"/>
          <w:sz w:val="24"/>
        </w:rPr>
      </w:pPr>
      <w:r>
        <w:rPr>
          <w:rFonts w:ascii="宋体" w:hAnsi="宋体" w:cs="方正仿宋简体" w:hint="eastAsia"/>
          <w:sz w:val="24"/>
        </w:rPr>
        <w:t>（11）本基金应投资于信用级别评级为BBB以上（含BBB）的资产支持证券。基金持有资产支持证券期间，如果其信用等级下降、不再符合投资标准，应在评级报告发布之日起3个月内予以全部卖出；</w:t>
      </w:r>
    </w:p>
    <w:p w:rsidR="0086656C" w:rsidRDefault="00C12A9E">
      <w:pPr>
        <w:adjustRightInd w:val="0"/>
        <w:snapToGrid w:val="0"/>
        <w:spacing w:before="100" w:beforeAutospacing="1" w:after="100" w:afterAutospacing="1" w:line="400" w:lineRule="exact"/>
        <w:ind w:firstLineChars="200" w:firstLine="480"/>
        <w:rPr>
          <w:rFonts w:ascii="宋体" w:hAnsi="宋体" w:cs="方正仿宋简体"/>
          <w:sz w:val="24"/>
        </w:rPr>
      </w:pPr>
      <w:r>
        <w:rPr>
          <w:rFonts w:ascii="宋体" w:hAnsi="宋体" w:cs="方正仿宋简体" w:hint="eastAsia"/>
          <w:sz w:val="24"/>
        </w:rPr>
        <w:t>（12）基金财产参与股票发行申购，本基金所申报的金额不超过本基金的总资产，本基金所申报的股票数量不超过拟发行股票公司本次发行股票的总量；</w:t>
      </w:r>
    </w:p>
    <w:p w:rsidR="0086656C" w:rsidRDefault="00C12A9E">
      <w:pPr>
        <w:adjustRightInd w:val="0"/>
        <w:snapToGrid w:val="0"/>
        <w:spacing w:before="100" w:beforeAutospacing="1" w:after="100" w:afterAutospacing="1" w:line="400" w:lineRule="exact"/>
        <w:ind w:firstLineChars="200" w:firstLine="480"/>
        <w:rPr>
          <w:rFonts w:ascii="宋体" w:hAnsi="宋体" w:cs="方正仿宋简体"/>
          <w:sz w:val="24"/>
        </w:rPr>
      </w:pPr>
      <w:r>
        <w:rPr>
          <w:rFonts w:ascii="宋体" w:hAnsi="宋体" w:cs="方正仿宋简体" w:hint="eastAsia"/>
          <w:sz w:val="24"/>
        </w:rPr>
        <w:t>（13）本基金在全国银行间同业市场的债券回购最长期限为1年，债券回购到期后不得展期；本基金进入全国银行间同业市场进行债券回购的资金余额不得超过基金资产净值的40%；</w:t>
      </w:r>
    </w:p>
    <w:p w:rsidR="0086656C" w:rsidRDefault="00C12A9E">
      <w:pPr>
        <w:adjustRightInd w:val="0"/>
        <w:snapToGrid w:val="0"/>
        <w:spacing w:before="100" w:beforeAutospacing="1" w:after="100" w:afterAutospacing="1" w:line="400" w:lineRule="exact"/>
        <w:ind w:firstLineChars="200" w:firstLine="480"/>
        <w:rPr>
          <w:rFonts w:ascii="宋体" w:hAnsi="宋体" w:cs="方正仿宋简体"/>
          <w:sz w:val="24"/>
        </w:rPr>
      </w:pPr>
      <w:r>
        <w:rPr>
          <w:rFonts w:ascii="宋体" w:hAnsi="宋体" w:cs="方正仿宋简体" w:hint="eastAsia"/>
          <w:sz w:val="24"/>
        </w:rPr>
        <w:t>（14）本基金参与股指期货交易，还须遵守以下限制：</w:t>
      </w:r>
    </w:p>
    <w:p w:rsidR="0086656C" w:rsidRDefault="00C12A9E">
      <w:pPr>
        <w:adjustRightInd w:val="0"/>
        <w:snapToGrid w:val="0"/>
        <w:spacing w:before="100" w:beforeAutospacing="1" w:after="100" w:afterAutospacing="1" w:line="400" w:lineRule="exact"/>
        <w:ind w:firstLineChars="200" w:firstLine="480"/>
        <w:rPr>
          <w:rFonts w:ascii="宋体" w:hAnsi="宋体" w:cs="方正仿宋简体"/>
          <w:sz w:val="24"/>
        </w:rPr>
      </w:pPr>
      <w:r>
        <w:rPr>
          <w:rFonts w:ascii="宋体" w:hAnsi="宋体" w:cs="方正仿宋简体" w:hint="eastAsia"/>
          <w:sz w:val="24"/>
        </w:rPr>
        <w:t>在任何交易日日终，持有的买入股指期货合约价值，不得超过基金资产净值的10%；在任何交易日日终，持有的买入国债期货和股指期货合约价值与有价证券市值之和不得超过基金资产净值的95%，其中，有价证券指股票、债券（不含到期日在一年以内的政府债券）、资产支持证券、买入返售金融资产（不含质押式回购）等；在任何交易日日终，持有的卖出股指期货合约价值不得超过基金持有的股票总市值的20%；在任何交易日内交易（不包括平仓）的股指期货合约的成交金额不得超过上一交易日基金资产净值的20%；本基金所持有的股票市值和</w:t>
      </w:r>
      <w:r>
        <w:rPr>
          <w:rFonts w:ascii="宋体" w:hAnsi="宋体" w:cs="方正仿宋简体" w:hint="eastAsia"/>
          <w:sz w:val="24"/>
        </w:rPr>
        <w:lastRenderedPageBreak/>
        <w:t>买入、卖出股指期货合约价值合计（轧差计算）占基金资产的比例为</w:t>
      </w:r>
      <w:r>
        <w:rPr>
          <w:rFonts w:ascii="宋体" w:hAnsi="宋体" w:cs="方正仿宋简体"/>
          <w:sz w:val="24"/>
        </w:rPr>
        <w:t>60</w:t>
      </w:r>
      <w:r>
        <w:rPr>
          <w:rFonts w:ascii="宋体" w:hAnsi="宋体" w:cs="方正仿宋简体" w:hint="eastAsia"/>
          <w:sz w:val="24"/>
        </w:rPr>
        <w:t xml:space="preserve">%-95%； </w:t>
      </w:r>
    </w:p>
    <w:p w:rsidR="0086656C" w:rsidRDefault="00C12A9E">
      <w:pPr>
        <w:adjustRightInd w:val="0"/>
        <w:snapToGrid w:val="0"/>
        <w:spacing w:before="100" w:beforeAutospacing="1" w:after="100" w:afterAutospacing="1" w:line="400" w:lineRule="exact"/>
        <w:ind w:firstLineChars="200" w:firstLine="480"/>
        <w:rPr>
          <w:rFonts w:ascii="宋体" w:hAnsi="宋体" w:cs="方正仿宋简体"/>
          <w:sz w:val="24"/>
        </w:rPr>
      </w:pPr>
      <w:r>
        <w:rPr>
          <w:rFonts w:ascii="宋体" w:hAnsi="宋体" w:cs="方正仿宋简体" w:hint="eastAsia"/>
          <w:sz w:val="24"/>
        </w:rPr>
        <w:t>（15）本基金参与国债期货交易，还须遵守以下限制：</w:t>
      </w:r>
    </w:p>
    <w:p w:rsidR="0086656C" w:rsidRDefault="00C12A9E">
      <w:pPr>
        <w:adjustRightInd w:val="0"/>
        <w:snapToGrid w:val="0"/>
        <w:spacing w:before="100" w:beforeAutospacing="1" w:after="100" w:afterAutospacing="1" w:line="400" w:lineRule="exact"/>
        <w:ind w:firstLineChars="200" w:firstLine="480"/>
        <w:rPr>
          <w:rFonts w:ascii="宋体" w:hAnsi="宋体" w:cs="方正仿宋简体"/>
          <w:sz w:val="24"/>
        </w:rPr>
      </w:pPr>
      <w:r>
        <w:rPr>
          <w:rFonts w:ascii="宋体" w:hAnsi="宋体" w:cs="方正仿宋简体" w:hint="eastAsia"/>
          <w:sz w:val="24"/>
        </w:rPr>
        <w:t>在任何交易日日终，持有的买入国债期货合约价值，不得超过基金资产净值的15%；在任何交易日日终，持有的卖出国债期货合约价值不得超过基金持有的债券总市值的30%；在任何交易日内交易（不包括平仓）的国债期货合约的成交金额不得超过上一交易日基金资产净值的30%；</w:t>
      </w:r>
    </w:p>
    <w:p w:rsidR="0086656C" w:rsidRDefault="00C12A9E">
      <w:pPr>
        <w:adjustRightInd w:val="0"/>
        <w:snapToGrid w:val="0"/>
        <w:spacing w:before="100" w:beforeAutospacing="1" w:after="100" w:afterAutospacing="1" w:line="400" w:lineRule="exact"/>
        <w:ind w:firstLineChars="200" w:firstLine="480"/>
        <w:rPr>
          <w:rFonts w:ascii="宋体" w:hAnsi="宋体" w:cs="方正仿宋简体"/>
          <w:sz w:val="24"/>
        </w:rPr>
      </w:pPr>
      <w:r>
        <w:rPr>
          <w:rFonts w:ascii="宋体" w:hAnsi="宋体" w:cs="方正仿宋简体" w:hint="eastAsia"/>
          <w:sz w:val="24"/>
        </w:rPr>
        <w:t>（16）本基金主动投资于流动性受限资产的市值合计不得超过基金资产净值的15%，因证券市场波动、基金规模变动等基金管理人之外的因素致使基金不符合该比例限制的，基金管理人不得主动新增流动性受限资产的投资；</w:t>
      </w:r>
    </w:p>
    <w:p w:rsidR="0086656C" w:rsidRDefault="00C12A9E">
      <w:pPr>
        <w:adjustRightInd w:val="0"/>
        <w:snapToGrid w:val="0"/>
        <w:spacing w:before="100" w:beforeAutospacing="1" w:after="100" w:afterAutospacing="1" w:line="400" w:lineRule="exact"/>
        <w:ind w:firstLineChars="200" w:firstLine="480"/>
        <w:rPr>
          <w:rFonts w:ascii="宋体" w:hAnsi="宋体" w:cs="方正仿宋简体"/>
          <w:sz w:val="24"/>
        </w:rPr>
      </w:pPr>
      <w:r>
        <w:rPr>
          <w:rFonts w:ascii="宋体" w:hAnsi="宋体" w:cs="方正仿宋简体" w:hint="eastAsia"/>
          <w:sz w:val="24"/>
        </w:rPr>
        <w:t>（17）本基金与私募类证券资管产品及中国证监会认定的其他主体为交易对手开展逆回购交易的，可接受质押品的资质要求应当与基金合同约定的投资范围保持一致；</w:t>
      </w:r>
    </w:p>
    <w:p w:rsidR="0086656C" w:rsidRDefault="00C12A9E">
      <w:pPr>
        <w:adjustRightInd w:val="0"/>
        <w:snapToGrid w:val="0"/>
        <w:spacing w:before="100" w:beforeAutospacing="1" w:after="100" w:afterAutospacing="1" w:line="400" w:lineRule="exact"/>
        <w:ind w:firstLineChars="200" w:firstLine="480"/>
        <w:rPr>
          <w:rFonts w:ascii="宋体" w:hAnsi="宋体" w:cs="方正仿宋简体"/>
          <w:sz w:val="24"/>
        </w:rPr>
      </w:pPr>
      <w:r>
        <w:rPr>
          <w:rFonts w:ascii="宋体" w:hAnsi="宋体" w:cs="方正仿宋简体" w:hint="eastAsia"/>
          <w:sz w:val="24"/>
        </w:rPr>
        <w:t>（18）基金总资产不得超过基金净资产的140%；</w:t>
      </w:r>
    </w:p>
    <w:p w:rsidR="0086656C" w:rsidRDefault="00C12A9E">
      <w:pPr>
        <w:adjustRightInd w:val="0"/>
        <w:snapToGrid w:val="0"/>
        <w:spacing w:before="100" w:beforeAutospacing="1" w:after="100" w:afterAutospacing="1" w:line="400" w:lineRule="exact"/>
        <w:ind w:firstLineChars="200" w:firstLine="480"/>
        <w:rPr>
          <w:rFonts w:ascii="宋体" w:hAnsi="宋体" w:cs="方正仿宋简体"/>
          <w:sz w:val="24"/>
        </w:rPr>
      </w:pPr>
      <w:r>
        <w:rPr>
          <w:rFonts w:ascii="宋体" w:hAnsi="宋体" w:cs="方正仿宋简体" w:hint="eastAsia"/>
          <w:sz w:val="24"/>
        </w:rPr>
        <w:t>（19）法律法规及中国证监会规定的其他投资比例限制。</w:t>
      </w:r>
    </w:p>
    <w:p w:rsidR="0086656C" w:rsidRDefault="00C12A9E">
      <w:pPr>
        <w:adjustRightInd w:val="0"/>
        <w:snapToGrid w:val="0"/>
        <w:spacing w:before="100" w:beforeAutospacing="1" w:after="100" w:afterAutospacing="1" w:line="400" w:lineRule="exact"/>
        <w:ind w:firstLineChars="200" w:firstLine="480"/>
        <w:rPr>
          <w:rFonts w:ascii="宋体" w:hAnsi="宋体" w:cs="方正仿宋简体"/>
          <w:sz w:val="24"/>
        </w:rPr>
      </w:pPr>
      <w:r>
        <w:rPr>
          <w:rFonts w:ascii="宋体" w:hAnsi="宋体" w:cs="方正仿宋简体" w:hint="eastAsia"/>
          <w:sz w:val="24"/>
        </w:rPr>
        <w:t>除上述第（2）、（11）、（16）、（17）项规定以外，因证券、期货市场波动、上市公司合并、基金规模变动等基金管理人之外的因素致使基金投资比例不符合上述规定投资比例的，基金管理人应当在10个交易日内进行调整，但中国证监会另有规定的除外，法律法规另有规定的从其规定。</w:t>
      </w:r>
    </w:p>
    <w:p w:rsidR="0086656C" w:rsidRDefault="00C12A9E">
      <w:pPr>
        <w:adjustRightInd w:val="0"/>
        <w:snapToGrid w:val="0"/>
        <w:spacing w:before="100" w:beforeAutospacing="1" w:after="100" w:afterAutospacing="1" w:line="400" w:lineRule="exact"/>
        <w:ind w:firstLineChars="200" w:firstLine="480"/>
        <w:rPr>
          <w:rFonts w:ascii="宋体" w:hAnsi="宋体" w:cs="方正仿宋简体"/>
          <w:sz w:val="24"/>
        </w:rPr>
      </w:pPr>
      <w:r>
        <w:rPr>
          <w:rFonts w:ascii="宋体" w:hAnsi="宋体" w:cs="方正仿宋简体" w:hint="eastAsia"/>
          <w:sz w:val="24"/>
        </w:rPr>
        <w:t>基金管理人应当自基金合同生效之日起6个月内使基金的投资组合比例符合基金合同的有关约定。在上述期间内，本基金的投资范围、投资策略应当符合基金合同的约定。基金托管人对基金的投资的监督与检查自本基金合同生效之日起开始。</w:t>
      </w:r>
    </w:p>
    <w:p w:rsidR="0086656C" w:rsidRDefault="00C12A9E">
      <w:pPr>
        <w:adjustRightInd w:val="0"/>
        <w:snapToGrid w:val="0"/>
        <w:spacing w:before="100" w:beforeAutospacing="1" w:after="100" w:afterAutospacing="1" w:line="400" w:lineRule="exact"/>
        <w:ind w:firstLineChars="200" w:firstLine="480"/>
        <w:rPr>
          <w:rFonts w:ascii="宋体" w:hAnsi="宋体" w:cs="方正仿宋简体"/>
          <w:sz w:val="24"/>
        </w:rPr>
      </w:pPr>
      <w:r>
        <w:rPr>
          <w:rFonts w:ascii="宋体" w:hAnsi="宋体" w:cs="方正仿宋简体" w:hint="eastAsia"/>
          <w:sz w:val="24"/>
        </w:rPr>
        <w:t>运用基金财产买卖基金管理人、基金托管人及其控股股东、实际控制人或者与其有重大利害关系的公司发行的证券或者承销期内承销的证券，或者从事其他重大关联交易的，应当遵循基金份额持有人利益优先的原则，防范利益冲突，建立健全内部审批机制和评估机制，按照市场公平合理价格执行。相关交易必须事先得到基金托管人同意，并按法律法规予以披露。重大关联交易应提交基金管理人董事会审议，并经过三分之二以上的独立董事通过。基金管理人董事会应至少</w:t>
      </w:r>
      <w:r>
        <w:rPr>
          <w:rFonts w:ascii="宋体" w:hAnsi="宋体" w:cs="方正仿宋简体" w:hint="eastAsia"/>
          <w:sz w:val="24"/>
        </w:rPr>
        <w:lastRenderedPageBreak/>
        <w:t>每半年对关联交易事项进行审查。</w:t>
      </w:r>
    </w:p>
    <w:p w:rsidR="0086656C" w:rsidRDefault="00C12A9E">
      <w:pPr>
        <w:adjustRightInd w:val="0"/>
        <w:snapToGrid w:val="0"/>
        <w:spacing w:before="100" w:beforeAutospacing="1" w:after="100" w:afterAutospacing="1" w:line="400" w:lineRule="exact"/>
        <w:ind w:firstLineChars="200" w:firstLine="480"/>
        <w:rPr>
          <w:rFonts w:ascii="宋体" w:hAnsi="宋体" w:cs="方正仿宋简体"/>
          <w:sz w:val="24"/>
        </w:rPr>
      </w:pPr>
      <w:r>
        <w:rPr>
          <w:rFonts w:ascii="宋体" w:hAnsi="宋体" w:cs="方正仿宋简体" w:hint="eastAsia"/>
          <w:sz w:val="24"/>
        </w:rPr>
        <w:t>（二）基金托管人应根据有关法律法规的规定及</w:t>
      </w:r>
      <w:r>
        <w:rPr>
          <w:rFonts w:ascii="宋体" w:hAnsi="宋体" w:hint="eastAsia"/>
          <w:sz w:val="24"/>
        </w:rPr>
        <w:t>《基金合同》</w:t>
      </w:r>
      <w:r>
        <w:rPr>
          <w:rFonts w:ascii="宋体" w:hAnsi="宋体" w:cs="方正仿宋简体" w:hint="eastAsia"/>
          <w:sz w:val="24"/>
        </w:rPr>
        <w:t>的约定，对基金资产净值计算、基金份额净值计算、应收资金到账、基金费用开支及收入确定、基金收益分配、相关信息披露中登载基金业绩表现数据等进行复核。</w:t>
      </w:r>
    </w:p>
    <w:p w:rsidR="0086656C" w:rsidRDefault="00C12A9E">
      <w:pPr>
        <w:adjustRightInd w:val="0"/>
        <w:snapToGrid w:val="0"/>
        <w:spacing w:before="100" w:beforeAutospacing="1" w:after="100" w:afterAutospacing="1" w:line="400" w:lineRule="exact"/>
        <w:ind w:firstLineChars="200" w:firstLine="480"/>
        <w:rPr>
          <w:rFonts w:ascii="宋体" w:hAnsi="宋体"/>
          <w:sz w:val="24"/>
        </w:rPr>
      </w:pPr>
      <w:r>
        <w:rPr>
          <w:rFonts w:ascii="宋体" w:hAnsi="宋体" w:cs="方正仿宋简体" w:hint="eastAsia"/>
          <w:sz w:val="24"/>
        </w:rPr>
        <w:t>（三）基金托管人在上述第（一）、（二）款的监督和核查中发现基金管理人违反上述</w:t>
      </w:r>
      <w:r>
        <w:rPr>
          <w:rFonts w:ascii="宋体" w:hAnsi="宋体" w:hint="eastAsia"/>
          <w:sz w:val="24"/>
        </w:rPr>
        <w:t>约定</w:t>
      </w:r>
      <w:r>
        <w:rPr>
          <w:rFonts w:ascii="宋体" w:hAnsi="宋体" w:cs="方正仿宋简体" w:hint="eastAsia"/>
          <w:sz w:val="24"/>
        </w:rPr>
        <w:t>，</w:t>
      </w:r>
      <w:r>
        <w:rPr>
          <w:rFonts w:ascii="宋体" w:hAnsi="宋体" w:hint="eastAsia"/>
          <w:sz w:val="24"/>
        </w:rPr>
        <w:t>应及时提示基金管理人，基金管理人收到提示后应及时核对确认并以书面形式对基金托管人发出回函并改正。在限期内，基金托管人有权随时对提示事项进行复查。基金管理人对基金托管人提示的违规事项未能在限期内纠正的，基金托管人应及时向中国证监会报告。</w:t>
      </w:r>
    </w:p>
    <w:p w:rsidR="0086656C" w:rsidRDefault="00C12A9E">
      <w:pPr>
        <w:adjustRightInd w:val="0"/>
        <w:snapToGrid w:val="0"/>
        <w:spacing w:before="100" w:beforeAutospacing="1" w:after="100" w:afterAutospacing="1" w:line="400" w:lineRule="exact"/>
        <w:ind w:firstLineChars="200" w:firstLine="480"/>
        <w:rPr>
          <w:rFonts w:ascii="宋体" w:hAnsi="宋体"/>
          <w:sz w:val="24"/>
        </w:rPr>
      </w:pPr>
      <w:r>
        <w:rPr>
          <w:rFonts w:ascii="宋体" w:hAnsi="宋体" w:cs="方正仿宋简体" w:hint="eastAsia"/>
          <w:sz w:val="24"/>
        </w:rPr>
        <w:t>（四）基金托管人发现基金管理人的投资指令违反法律法规、本协议的规定，</w:t>
      </w:r>
      <w:r>
        <w:rPr>
          <w:rFonts w:ascii="宋体" w:hAnsi="宋体" w:hint="eastAsia"/>
          <w:sz w:val="24"/>
        </w:rPr>
        <w:t>应当拒绝执行，及时提示基金管理人，并依照法律法规的规定及时向中国证监会报告。基金托管人发现基金管理人依据交易程序已经生效的指令违反法律法规、本协议规定的，应当及时提示基金管理人，并依照法律法规的规定及时向中国证监会报告。</w:t>
      </w:r>
    </w:p>
    <w:p w:rsidR="0086656C" w:rsidRDefault="00C12A9E">
      <w:pPr>
        <w:spacing w:before="100" w:beforeAutospacing="1" w:after="100" w:afterAutospacing="1" w:line="400" w:lineRule="exact"/>
        <w:ind w:firstLine="420"/>
        <w:rPr>
          <w:rFonts w:ascii="宋体" w:hAnsi="宋体" w:cs="方正仿宋简体"/>
          <w:sz w:val="24"/>
        </w:rPr>
      </w:pPr>
      <w:r>
        <w:rPr>
          <w:rFonts w:ascii="宋体" w:hAnsi="宋体" w:cs="方正仿宋简体" w:hint="eastAsia"/>
          <w:sz w:val="24"/>
        </w:rPr>
        <w:t>（五）基金管理人应积极配合和协助基金托管人的监督和核查，包括但不限于：在规定时间内答复基金托管人并改正，就基金托管人的疑义进行解释或举证，提供相关数据资料和制度等。</w:t>
      </w:r>
    </w:p>
    <w:p w:rsidR="0086656C" w:rsidRDefault="006524C9">
      <w:pPr>
        <w:spacing w:before="100" w:beforeAutospacing="1" w:after="100" w:afterAutospacing="1" w:line="400" w:lineRule="exact"/>
        <w:ind w:firstLine="420"/>
        <w:rPr>
          <w:rFonts w:ascii="宋体" w:hAnsi="宋体"/>
          <w:sz w:val="24"/>
        </w:rPr>
      </w:pPr>
      <w:r w:rsidRPr="006524C9">
        <w:rPr>
          <w:rFonts w:ascii="宋体" w:hAnsi="宋体" w:hint="eastAsia"/>
          <w:sz w:val="24"/>
        </w:rPr>
        <w:t>（六）</w:t>
      </w:r>
      <w:r w:rsidR="00642B0F" w:rsidRPr="00642B0F">
        <w:rPr>
          <w:rFonts w:ascii="宋体" w:hAnsi="宋体" w:hint="eastAsia"/>
          <w:sz w:val="24"/>
        </w:rPr>
        <w:t>侧袋机制实施期间，本部分约定的投资组合比例、投资策略、组合限制、业绩比较基准、风险收益特征等约定仅适用于主袋账户。</w:t>
      </w:r>
    </w:p>
    <w:p w:rsidR="0086656C" w:rsidRDefault="00C12A9E">
      <w:pPr>
        <w:pStyle w:val="1"/>
        <w:spacing w:before="100" w:beforeAutospacing="1" w:after="100" w:afterAutospacing="1" w:line="400" w:lineRule="exact"/>
        <w:ind w:firstLine="422"/>
        <w:rPr>
          <w:rFonts w:ascii="宋体" w:hAnsi="宋体"/>
          <w:sz w:val="24"/>
          <w:szCs w:val="24"/>
        </w:rPr>
      </w:pPr>
      <w:r>
        <w:rPr>
          <w:rFonts w:ascii="宋体" w:hAnsi="宋体" w:hint="eastAsia"/>
          <w:sz w:val="24"/>
          <w:szCs w:val="24"/>
        </w:rPr>
        <w:t>四、基金管理人对基金托管人的业务核查</w:t>
      </w:r>
    </w:p>
    <w:p w:rsidR="0086656C" w:rsidRDefault="00C12A9E">
      <w:pPr>
        <w:adjustRightInd w:val="0"/>
        <w:snapToGrid w:val="0"/>
        <w:spacing w:before="100" w:beforeAutospacing="1" w:after="100" w:afterAutospacing="1" w:line="400" w:lineRule="exact"/>
        <w:ind w:firstLineChars="200" w:firstLine="480"/>
        <w:rPr>
          <w:rFonts w:ascii="宋体" w:hAnsi="宋体"/>
          <w:sz w:val="24"/>
        </w:rPr>
      </w:pPr>
      <w:r>
        <w:rPr>
          <w:rFonts w:ascii="宋体" w:hAnsi="宋体" w:hint="eastAsia"/>
          <w:sz w:val="24"/>
        </w:rPr>
        <w:t>1、在本协议的有效期内，在不违反公平、合理原则以及不妨碍基金托管人遵守相关法律法规及其行业监管要求的基础上，基金管理人有权对基金托管人履行本协议的情况进行必要的核查，核查事项包括但不限于基金托管人安全保管基金财产、开设基金财产的资金账户和证券账户、复核基金管理人计算的基金资产净值和基金份额净值、根据基金管理人指令办理清算交收、相关信息披露和监督基金投资运作等行为。</w:t>
      </w:r>
    </w:p>
    <w:p w:rsidR="0086656C" w:rsidRDefault="00C12A9E">
      <w:pPr>
        <w:adjustRightInd w:val="0"/>
        <w:snapToGrid w:val="0"/>
        <w:spacing w:before="100" w:beforeAutospacing="1" w:after="100" w:afterAutospacing="1" w:line="400" w:lineRule="exact"/>
        <w:ind w:firstLineChars="200" w:firstLine="480"/>
        <w:rPr>
          <w:rFonts w:ascii="宋体" w:hAnsi="宋体"/>
          <w:sz w:val="24"/>
        </w:rPr>
      </w:pPr>
      <w:r>
        <w:rPr>
          <w:rFonts w:ascii="宋体" w:hAnsi="宋体" w:hint="eastAsia"/>
          <w:sz w:val="24"/>
        </w:rPr>
        <w:t>2、基金管理人发现基金托管人擅自挪用基金财产、未对基金财产实行分账管理、无正当理由未执行或延迟执行基金管理人资金划拨指令、泄露基金投资信息等违反法律法规、《基金合同》及本协议有关规定时，应及时以书面形式通知</w:t>
      </w:r>
      <w:r>
        <w:rPr>
          <w:rFonts w:ascii="宋体" w:hAnsi="宋体" w:hint="eastAsia"/>
          <w:sz w:val="24"/>
        </w:rPr>
        <w:lastRenderedPageBreak/>
        <w:t>基金托管人限期纠正，基金托管人收到通知后应及时核对并以书面形式对基金管理人发出回函。在限期内，基金管理人有权随时对通知事项进行复查，督促基金托管人改正。基金托管人对基金管理人通知的违规事项未能在限期内纠正的，基金管理人应依照法律法规的规定报告中国证监会。</w:t>
      </w:r>
    </w:p>
    <w:p w:rsidR="0086656C" w:rsidRDefault="00C12A9E">
      <w:pPr>
        <w:adjustRightInd w:val="0"/>
        <w:snapToGrid w:val="0"/>
        <w:spacing w:before="100" w:beforeAutospacing="1" w:after="100" w:afterAutospacing="1" w:line="400" w:lineRule="exact"/>
        <w:ind w:firstLineChars="200" w:firstLine="480"/>
        <w:rPr>
          <w:rFonts w:ascii="宋体" w:hAnsi="宋体"/>
          <w:sz w:val="24"/>
        </w:rPr>
      </w:pPr>
      <w:r>
        <w:rPr>
          <w:rFonts w:ascii="宋体" w:hAnsi="宋体" w:hint="eastAsia"/>
          <w:sz w:val="24"/>
        </w:rPr>
        <w:t>3、基金托管人应积极配合基金管理人的核查行为，包括但不限于：提交相关资料以供基金管理人核查托管财产的完整性和真实性，在规定时间内答复基金管理人并改正。</w:t>
      </w:r>
    </w:p>
    <w:p w:rsidR="0086656C" w:rsidRDefault="0086656C">
      <w:pPr>
        <w:adjustRightInd w:val="0"/>
        <w:snapToGrid w:val="0"/>
        <w:spacing w:before="100" w:beforeAutospacing="1" w:after="100" w:afterAutospacing="1" w:line="400" w:lineRule="exact"/>
        <w:ind w:firstLineChars="200" w:firstLine="480"/>
        <w:rPr>
          <w:rFonts w:ascii="宋体" w:hAnsi="宋体"/>
          <w:sz w:val="24"/>
        </w:rPr>
      </w:pPr>
    </w:p>
    <w:p w:rsidR="0086656C" w:rsidRDefault="00C12A9E">
      <w:pPr>
        <w:pStyle w:val="1"/>
        <w:spacing w:before="100" w:beforeAutospacing="1" w:after="100" w:afterAutospacing="1" w:line="400" w:lineRule="exact"/>
        <w:ind w:firstLine="422"/>
        <w:rPr>
          <w:rFonts w:ascii="宋体" w:hAnsi="宋体"/>
          <w:sz w:val="24"/>
          <w:szCs w:val="24"/>
        </w:rPr>
      </w:pPr>
      <w:bookmarkStart w:id="5" w:name="_Toc116900099"/>
      <w:r>
        <w:rPr>
          <w:rFonts w:ascii="宋体" w:hAnsi="宋体" w:hint="eastAsia"/>
          <w:sz w:val="24"/>
          <w:szCs w:val="24"/>
        </w:rPr>
        <w:t>五、基金财产的保管</w:t>
      </w:r>
      <w:bookmarkEnd w:id="5"/>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（一）基金财产保管的原则</w:t>
      </w:r>
    </w:p>
    <w:p w:rsidR="0086656C" w:rsidRDefault="00C12A9E">
      <w:pPr>
        <w:adjustRightInd w:val="0"/>
        <w:snapToGrid w:val="0"/>
        <w:spacing w:before="100" w:beforeAutospacing="1" w:after="100" w:afterAutospacing="1" w:line="400" w:lineRule="exact"/>
        <w:ind w:firstLineChars="200" w:firstLine="480"/>
        <w:rPr>
          <w:rFonts w:ascii="宋体" w:hAnsi="宋体"/>
          <w:sz w:val="24"/>
        </w:rPr>
      </w:pPr>
      <w:r>
        <w:rPr>
          <w:rFonts w:ascii="宋体" w:hAnsi="宋体" w:hint="eastAsia"/>
          <w:sz w:val="24"/>
        </w:rPr>
        <w:t>1、</w:t>
      </w:r>
      <w:r>
        <w:rPr>
          <w:rFonts w:ascii="宋体" w:hAnsi="宋体" w:cs="方正仿宋简体" w:hint="eastAsia"/>
          <w:sz w:val="24"/>
        </w:rPr>
        <w:t>基金财产应独立于基金管理人、基金托管人的固有财产。</w:t>
      </w:r>
      <w:r>
        <w:rPr>
          <w:rFonts w:hint="eastAsia"/>
          <w:bCs/>
          <w:sz w:val="24"/>
        </w:rPr>
        <w:t>非因基金财产本身承担的债务，不得对基金财产强制执行。</w:t>
      </w:r>
    </w:p>
    <w:p w:rsidR="0086656C" w:rsidRDefault="00C12A9E">
      <w:pPr>
        <w:adjustRightInd w:val="0"/>
        <w:snapToGrid w:val="0"/>
        <w:spacing w:before="100" w:beforeAutospacing="1" w:after="100" w:afterAutospacing="1" w:line="400" w:lineRule="exact"/>
        <w:ind w:firstLineChars="200" w:firstLine="480"/>
        <w:rPr>
          <w:rFonts w:ascii="宋体" w:hAnsi="宋体"/>
          <w:sz w:val="24"/>
        </w:rPr>
      </w:pPr>
      <w:r>
        <w:rPr>
          <w:rFonts w:ascii="宋体" w:hAnsi="宋体" w:cs="方正仿宋简体" w:hint="eastAsia"/>
          <w:sz w:val="24"/>
        </w:rPr>
        <w:t>2、基金托管人应安全保管基金财产，</w:t>
      </w:r>
      <w:r>
        <w:rPr>
          <w:rFonts w:ascii="宋体" w:hAnsi="宋体" w:hint="eastAsia"/>
          <w:sz w:val="24"/>
        </w:rPr>
        <w:t>未经基金管理人的合法合规指令或法律法规、《基金合同》及本协议另有规定，不得自行运用、处分、分配基金的任何财产。</w:t>
      </w:r>
    </w:p>
    <w:p w:rsidR="0086656C" w:rsidRDefault="00C12A9E">
      <w:pPr>
        <w:adjustRightInd w:val="0"/>
        <w:snapToGrid w:val="0"/>
        <w:spacing w:before="100" w:beforeAutospacing="1" w:after="100" w:afterAutospacing="1" w:line="400" w:lineRule="exact"/>
        <w:ind w:firstLineChars="200" w:firstLine="480"/>
        <w:rPr>
          <w:rFonts w:ascii="宋体" w:hAnsi="宋体"/>
          <w:color w:val="FF0000"/>
          <w:sz w:val="24"/>
        </w:rPr>
      </w:pPr>
      <w:r>
        <w:rPr>
          <w:rFonts w:ascii="宋体" w:hAnsi="宋体" w:cs="方正仿宋简体" w:hint="eastAsia"/>
          <w:sz w:val="24"/>
        </w:rPr>
        <w:t>3、基金托管人按照规定开设基金财产的资金账户和证券账户。</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cs="方正仿宋简体" w:hint="eastAsia"/>
          <w:sz w:val="24"/>
        </w:rPr>
        <w:t>4、基金托管人对所托管的不同基金财产分别设置账户，确保基金财产的完整与独立。</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5、除依据《基金法》、《运作办法》、《基金合同》及其他有关法律法规规定外，基金托管人不得委托第三人托管基金财产。</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（二）基金合同生效前募集资金的验资和入账</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1、基金募集期满或基金管理人宣布停止募集时，</w:t>
      </w:r>
      <w:r>
        <w:rPr>
          <w:rFonts w:ascii="宋体" w:eastAsia="宋体" w:cs="方正仿宋简体" w:hint="eastAsia"/>
          <w:sz w:val="24"/>
        </w:rPr>
        <w:t>募集的基金份额总额、基金募集金额、基金份额持有人人数符合《基金法》、《运作办法》等有关规定的，</w:t>
      </w:r>
      <w:r>
        <w:rPr>
          <w:rFonts w:ascii="宋体" w:eastAsia="宋体" w:hint="eastAsia"/>
          <w:color w:val="auto"/>
          <w:sz w:val="24"/>
        </w:rPr>
        <w:t>由基金管理人在法定期限内聘请具有从事相关业务资格的会计师事务所对基金进行验资，并出具验资报告，出具的验资报告应由参加验资的</w:t>
      </w:r>
      <w:r>
        <w:rPr>
          <w:rFonts w:ascii="宋体" w:eastAsia="宋体"/>
          <w:color w:val="auto"/>
          <w:sz w:val="24"/>
        </w:rPr>
        <w:t>2</w:t>
      </w:r>
      <w:r>
        <w:rPr>
          <w:rFonts w:ascii="宋体" w:eastAsia="宋体" w:hint="eastAsia"/>
          <w:color w:val="auto"/>
          <w:sz w:val="24"/>
        </w:rPr>
        <w:t>名以上（含</w:t>
      </w:r>
      <w:r>
        <w:rPr>
          <w:rFonts w:ascii="宋体" w:eastAsia="宋体"/>
          <w:color w:val="auto"/>
          <w:sz w:val="24"/>
        </w:rPr>
        <w:t>2</w:t>
      </w:r>
      <w:r>
        <w:rPr>
          <w:rFonts w:ascii="宋体" w:eastAsia="宋体" w:hint="eastAsia"/>
          <w:color w:val="auto"/>
          <w:sz w:val="24"/>
        </w:rPr>
        <w:t>名）中国注册会计师签字方为有效。</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sz w:val="24"/>
        </w:rPr>
        <w:lastRenderedPageBreak/>
        <w:t>2、基金管理人应将属于本基金财产的全部资金划入在基金托管人处为本基金开立的基金银行账户中，并确保划入的资金与验资确认金额相一致。</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（三）基金的银行账户的开设和管理</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1、基金托管人应负责本基金的银行账户的开设和管理。</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2、基金托管人以本基金的名义开设本基金的银行账户。本基金的银行预留印鉴由基金托管人保管和使用。本基金的一切货币收支活动，包括但不限于投资、支付赎回金额、支付基金收益、收取申购款，均需通过本基金的银行账户进行。</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3、本基金银行账户的开立和使用，限于满足开展本基金业务的需要。基金托管人和基金管理人不得假借本基金的名义开立其他任何银行账户；亦不得使用本基金的银行账户进行本基金业务以外的活动。</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4、基金银行账户的管理应符合法律法规的有关规定。</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（四）基金进行定期存款投资的账户开设和管理</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基金管理人以本基金名义在基金托管人认可的存款银行的指定营业网点开立存款账户，基金托管人负责该账户银行预留印鉴的保管和使用。在上述账户开立和账户相关信息变更过程中，基金管理人应提前向基金托管人提供开户或账户变更所需的相关资料。</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（五）基金证券账户、结算备付金账户及其他投资账户的开设和管理</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1、基金托管人应当代表本基金，以基金托管人和本基金联名的方式在中国证券登记结算有限责任公司开设证券账户。</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2、本基金证券账户的开立和使用，限于满足开展本基金业务的需要。基金托管人和基金管理人不得出借或转让本基金的证券账户，亦不得使用本基金的证券账户进行本基金业务以外的活动。</w:t>
      </w:r>
    </w:p>
    <w:p w:rsidR="0086656C" w:rsidRDefault="00C12A9E">
      <w:pPr>
        <w:pStyle w:val="a6"/>
        <w:spacing w:before="100" w:beforeAutospacing="1" w:after="100" w:afterAutospacing="1"/>
        <w:ind w:firstLine="461"/>
        <w:rPr>
          <w:rFonts w:ascii="宋体" w:eastAsia="宋体"/>
          <w:sz w:val="24"/>
        </w:rPr>
      </w:pPr>
      <w:r>
        <w:rPr>
          <w:rFonts w:ascii="宋体" w:eastAsia="宋体" w:hint="eastAsia"/>
          <w:sz w:val="24"/>
        </w:rPr>
        <w:t>3、</w:t>
      </w:r>
      <w:r>
        <w:rPr>
          <w:rFonts w:ascii="宋体" w:eastAsia="宋体"/>
          <w:sz w:val="24"/>
        </w:rPr>
        <w:t>基金托管人以自身法人名义在中国证券登记结算</w:t>
      </w:r>
      <w:r>
        <w:rPr>
          <w:rFonts w:ascii="宋体" w:eastAsia="宋体" w:hint="eastAsia"/>
          <w:sz w:val="24"/>
        </w:rPr>
        <w:t>有限责任</w:t>
      </w:r>
      <w:r>
        <w:rPr>
          <w:rFonts w:ascii="宋体" w:eastAsia="宋体"/>
          <w:sz w:val="24"/>
        </w:rPr>
        <w:t>公司开立结算备付金账户，用于办理基金托管人所托管的</w:t>
      </w:r>
      <w:r>
        <w:rPr>
          <w:rFonts w:ascii="宋体" w:eastAsia="宋体" w:hint="eastAsia"/>
          <w:sz w:val="24"/>
        </w:rPr>
        <w:t>包括本基金在内的</w:t>
      </w:r>
      <w:r>
        <w:rPr>
          <w:rFonts w:ascii="宋体" w:eastAsia="宋体"/>
          <w:sz w:val="24"/>
        </w:rPr>
        <w:t>全部基金在证券交易所进行证券投资所涉及的资金结算业务。结算备付金的收取按照中国证券登记结算</w:t>
      </w:r>
      <w:r>
        <w:rPr>
          <w:rFonts w:ascii="宋体" w:eastAsia="宋体" w:hint="eastAsia"/>
          <w:sz w:val="24"/>
        </w:rPr>
        <w:t>有限责任</w:t>
      </w:r>
      <w:r>
        <w:rPr>
          <w:rFonts w:ascii="宋体" w:eastAsia="宋体"/>
          <w:sz w:val="24"/>
        </w:rPr>
        <w:t>公司的规定执行。</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sz w:val="24"/>
        </w:rPr>
        <w:lastRenderedPageBreak/>
        <w:t>4、</w:t>
      </w:r>
      <w:r>
        <w:rPr>
          <w:rFonts w:ascii="宋体" w:eastAsia="宋体" w:hint="eastAsia"/>
          <w:color w:val="auto"/>
          <w:sz w:val="24"/>
        </w:rPr>
        <w:t>在本托管协议生效日之后，本基金被允许从事其他投资品种的投资业务的，涉及相关账户的开设、使用的，若无相关规定，则基金托管人应当比照并遵守上述关于账户开设、使用的规定。</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（六）债券托管专户的开设和管理</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基金合同生效后，基金管理人负责以基金的名义申请并取得进入全国银行间同业拆借市场的交易资格，并代表基金进行交易；由基金管理人负责向中国人民银行报备，在上述手续办理完毕之后，基金托管人负责以基金的名义在中央国债登记结算有限责任公司和银行间市场清算所股份有限公司开设银行间债券市场债券托管账户，并代表基金进行银行间债券市场债券和资金的清算。</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（七）基金财产投资的有关有价凭证的保管</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基金财产投资的实物证券、银行定期存款存单等有价凭证由基金托管人负责妥善保管。基金托管人对其以外机构实际有效控制的有价凭证不承担责任。</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（八）与基金财产有关的重大合同及有关凭证的保管</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基金托管人按照法律法规保管由基金管理人代表基金签署的与基金有关的重大合同及有关凭证。基金管理人代表基金签署有关重大合同后应在收到合同正本后30日内将一份正本的原件提交给基金托管人。除本协议另有规定外，基金管理人在代表基金签署与基金有关的重大合同时应保证基金一方持有两份以上的正本，以便基金管理人和基金托管人至少各持有一份正本的原件。重大合同由基金管理人与基金托管人按规定各自保管至少15年。</w:t>
      </w:r>
    </w:p>
    <w:p w:rsidR="0086656C" w:rsidRDefault="0086656C">
      <w:pPr>
        <w:pStyle w:val="a6"/>
        <w:spacing w:before="100" w:beforeAutospacing="1" w:after="100" w:afterAutospacing="1"/>
        <w:ind w:firstLine="461"/>
        <w:rPr>
          <w:rFonts w:ascii="宋体" w:eastAsia="宋体"/>
          <w:color w:val="auto"/>
          <w:sz w:val="24"/>
        </w:rPr>
      </w:pPr>
    </w:p>
    <w:p w:rsidR="0086656C" w:rsidRDefault="00C12A9E">
      <w:pPr>
        <w:pStyle w:val="1"/>
        <w:spacing w:before="100" w:beforeAutospacing="1" w:after="100" w:afterAutospacing="1" w:line="400" w:lineRule="exact"/>
        <w:ind w:firstLine="422"/>
        <w:rPr>
          <w:rFonts w:ascii="宋体" w:hAnsi="宋体"/>
          <w:sz w:val="24"/>
          <w:szCs w:val="24"/>
        </w:rPr>
      </w:pPr>
      <w:bookmarkStart w:id="6" w:name="_Toc116900100"/>
      <w:r>
        <w:rPr>
          <w:rFonts w:ascii="宋体" w:hAnsi="宋体" w:hint="eastAsia"/>
          <w:sz w:val="24"/>
          <w:szCs w:val="24"/>
        </w:rPr>
        <w:t>六、指令的发送、确认及执行</w:t>
      </w:r>
      <w:bookmarkEnd w:id="6"/>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基金管理人发送的指令包括电子指令和纸质指令。</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电子指令包括基金管理人发送的电子指令（采用深证通金融数据交换平台发送的电子指令、采用SWIFT电子报文发送的电子指令、通过中国银行托管网银发送的电子指令）、自动产生的电子指令（基金托管人的全球托管系统根据基金管理人的授权通过预先设定的业务规则自动产生的电子指令）。电子指令一经发出即被视为合法有效指令，传真纸质指令作为应急方式备用。基金管理人通过深证</w:t>
      </w:r>
      <w:r>
        <w:rPr>
          <w:rFonts w:ascii="宋体" w:eastAsia="宋体" w:hint="eastAsia"/>
          <w:color w:val="auto"/>
          <w:sz w:val="24"/>
        </w:rPr>
        <w:lastRenderedPageBreak/>
        <w:t>通金融数据交换平台发送的电子指令，基金托管人根据USER ID和APP ID唯一识别基金管理人身份，基金管理人应妥善保管USER ID和APP ID，基金托管人身份识别后对于执行该电子指令造成的任何损失基金托管人不承担责任。</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（一）基金管理人对发送纸质指令人员的书面授权</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1、基金管理人应当事先向基金托管人发出书面通知（以下称“授权通知”），载明基金管理人有权发送指令的人员名单（以下称“指令发送人员”）及各个人员的权限范围。基金管理人应向基金托管人提供指令发送人员的人名印鉴的预留印鉴样本和签字样本。</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2、基金管理人向基金托管人发出的授权通知应加盖公章并由法定代表人或其授权签字人签署，若由授权签字人签署，还应附上法定代表人的授权书。基金管理人向基金托管人以传真的形式发送授权通知后同时电话通知基金托管人。授权通知自基金托管人接到基金管理人的电话确认后于通知载明的生效时间起生效。通知载明的生效时间不得早于电话确认时间。基金管理人在此后3个工作日内将授权通知原件送交基金托管人。</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3、基金管理人和基金托管人对授权通知及其更改负有保密义务，其内容不得向指令发送人员及相关操作人员以外的任何人披露、泄露。</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（二）指令的内容</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指令是基金管理人在运作基金财产时，向基金托管人发出的资金划拨及投资指令。相关登记结算公司向基金托管人发送的结算通知视为基金管理人向基金托管人发出的指令。</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（三）指令的发送、确认和执行</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1、指令由“授权通知”确定的指令发送人员代表基金管理人用传真的方式或其他双方确认的方式向基金托管人发送。对于指令发送人员发出的指令，基金管理人不得否认其效力。但如果基金管理人已经撤销或更改对指令发送人员的授权，并且基金托管人已收到该通知，则对于此后该指令发送人员无权发送的指令，或超权限发送的指令，基金管理人不承担责任。</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2、基金管理人应按照《基金法》、《运作办法》、《基金合同》和有关法律法规的规定，在其合法的经营权限和交易权限内，并依据相关业务规则发送指令。指</w:t>
      </w:r>
      <w:r>
        <w:rPr>
          <w:rFonts w:ascii="宋体" w:eastAsia="宋体" w:hint="eastAsia"/>
          <w:color w:val="auto"/>
          <w:sz w:val="24"/>
        </w:rPr>
        <w:lastRenderedPageBreak/>
        <w:t xml:space="preserve">令发出后，基金管理人应及时电话通知基金托管人。    </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3、基金托管人在接受指令时，应对指令的要素是否齐全、印鉴是否与授权通知相符等进行表面真实性的检查，对合法合规的指令，基金托管人应在规定期限内执行，不得</w:t>
      </w:r>
      <w:r>
        <w:rPr>
          <w:rFonts w:ascii="宋体" w:eastAsia="宋体" w:hint="eastAsia"/>
          <w:sz w:val="24"/>
        </w:rPr>
        <w:t>不合理</w:t>
      </w:r>
      <w:r>
        <w:rPr>
          <w:rFonts w:ascii="宋体" w:eastAsia="宋体" w:hint="eastAsia"/>
          <w:color w:val="auto"/>
          <w:sz w:val="24"/>
        </w:rPr>
        <w:t>延误。</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4、基金管理人应在交易结束后将银行间同业市场债券交易成交单</w:t>
      </w:r>
      <w:r>
        <w:rPr>
          <w:rFonts w:ascii="宋体" w:eastAsia="宋体" w:hint="eastAsia"/>
          <w:sz w:val="24"/>
        </w:rPr>
        <w:t>经有权人员签字并</w:t>
      </w:r>
      <w:r>
        <w:rPr>
          <w:rFonts w:ascii="宋体" w:eastAsia="宋体" w:hint="eastAsia"/>
          <w:color w:val="auto"/>
          <w:sz w:val="24"/>
        </w:rPr>
        <w:t>加盖印章后及时传真给基金托管人。</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5、基金管理人在发送指令时，应为基金托管人执行指令留出执行指令时所必需的时间。</w:t>
      </w:r>
      <w:bookmarkStart w:id="7" w:name="OLE_LINK2"/>
      <w:bookmarkStart w:id="8" w:name="OLE_LINK1"/>
      <w:r>
        <w:rPr>
          <w:rFonts w:ascii="宋体" w:eastAsia="宋体" w:hint="eastAsia"/>
          <w:color w:val="auto"/>
          <w:sz w:val="24"/>
        </w:rPr>
        <w:t>指令传输不及时未能留出足够的执行时间，致使指令未能及时执行所造成的损失由基金管理人承担。</w:t>
      </w:r>
      <w:bookmarkEnd w:id="7"/>
      <w:bookmarkEnd w:id="8"/>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（四）基金管理人发送错误指令的情形和处理程序</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基金管理人发送错误指令的情形主要包括：指令要素错误、无投资行为的指令、预留印鉴错误等情形。</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基金托管人发现基金管理人的指令错误时，有权拒绝执行，并及时通知基金管理人改正。对基金管理人更正并重新发送后的指令经基金托管人核对确认后方能执行。</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（五）基金托管人依照法律法规暂缓、拒绝执行指令的情形和处理程序</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基金托管人发现基金管理人的指令违反法律法规规定或者《基金合同》约定，应当不予执行，并及时通知基金管理人要求其变更或撤销相关指令，若基金管理人在基金托管人发出上述通知后仍未变更或撤销相关指令，基金托管人应当拒绝执行，并向中国证监会报告。</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基金管理人向基金托管人下达指令时，应确保基金的银行存款账户有足够的资金余额，确保基金的证券账户有足够的证券余额。对超头寸的指令，以及超过证券账户证券余额的指令，基金托管人可不予执行，但应及时通知基金管理人，由此造成的损失，由基金管理人承担。</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（六）基金托管人未按照基金管理人指令执行的处理方法</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基金托管人因未正确执行基金管理人合法合规的指令，致使本基金的利益受到损害，基金托管人应承担相应的责任。除此之外，基金托管人对执行基金管理</w:t>
      </w:r>
      <w:r>
        <w:rPr>
          <w:rFonts w:ascii="宋体" w:eastAsia="宋体" w:hint="eastAsia"/>
          <w:color w:val="auto"/>
          <w:sz w:val="24"/>
        </w:rPr>
        <w:lastRenderedPageBreak/>
        <w:t>人的合法合规指令对基金造成的损失不承担任何责任。</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（七）被授权人员及授权权限的变更</w:t>
      </w:r>
      <w:r>
        <w:rPr>
          <w:rFonts w:ascii="宋体" w:eastAsia="宋体"/>
          <w:color w:val="auto"/>
          <w:sz w:val="24"/>
        </w:rPr>
        <w:tab/>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基金管理人若对授权通知的内容进行修改（包括但不限于指令发送人员的名单的修改，及/或权限的修改），应当至少提前1个工作日通知基金托管人；修改授权通知的文件应由基金管理人加盖公章并由法定代表人或其授权签字人签署，若由授权签字人签署，还应附上法定代表人的授权书。基金管理人对授权通知的修改应当以传真的形式发送给基金托管人，同时电话通知基金托管人，基金托管人收到变更通知后应向基金管理人电话确认。基金管理人对授权通知的内容的修改自基金托管人电话确认后于通知载明的生效时间起生效。基金管理人在此后3个工作日内将对授权通知修改的文件原件送交基金托管人。</w:t>
      </w:r>
    </w:p>
    <w:p w:rsidR="0086656C" w:rsidRDefault="0086656C">
      <w:pPr>
        <w:pStyle w:val="a6"/>
        <w:spacing w:before="100" w:beforeAutospacing="1" w:after="100" w:afterAutospacing="1"/>
        <w:ind w:firstLine="461"/>
        <w:rPr>
          <w:rFonts w:ascii="宋体" w:eastAsia="宋体"/>
          <w:color w:val="auto"/>
          <w:sz w:val="24"/>
        </w:rPr>
      </w:pPr>
    </w:p>
    <w:p w:rsidR="0086656C" w:rsidRDefault="00C12A9E">
      <w:pPr>
        <w:pStyle w:val="1"/>
        <w:spacing w:before="100" w:beforeAutospacing="1" w:after="100" w:afterAutospacing="1" w:line="400" w:lineRule="exact"/>
        <w:ind w:firstLine="422"/>
        <w:rPr>
          <w:rFonts w:ascii="宋体" w:hAnsi="宋体"/>
          <w:sz w:val="24"/>
          <w:szCs w:val="24"/>
        </w:rPr>
      </w:pPr>
      <w:bookmarkStart w:id="9" w:name="_Toc116900101"/>
      <w:r>
        <w:rPr>
          <w:rFonts w:ascii="宋体" w:hAnsi="宋体" w:hint="eastAsia"/>
          <w:sz w:val="24"/>
          <w:szCs w:val="24"/>
        </w:rPr>
        <w:t>七、交易及清算交收安排</w:t>
      </w:r>
      <w:bookmarkEnd w:id="9"/>
    </w:p>
    <w:p w:rsidR="0086656C" w:rsidRDefault="00C12A9E">
      <w:pPr>
        <w:pStyle w:val="30"/>
        <w:spacing w:before="100" w:beforeAutospacing="1" w:after="100" w:afterAutospacing="1" w:line="400" w:lineRule="exact"/>
        <w:ind w:left="0" w:firstLine="403"/>
        <w:rPr>
          <w:rFonts w:ascii="宋体" w:eastAsia="宋体" w:hAnsi="宋体"/>
          <w:szCs w:val="24"/>
        </w:rPr>
      </w:pPr>
      <w:r>
        <w:rPr>
          <w:rFonts w:ascii="宋体" w:eastAsia="宋体" w:hAnsi="宋体" w:hint="eastAsia"/>
          <w:szCs w:val="24"/>
        </w:rPr>
        <w:t>（一）基金管理人负责选择代理本基金证券买卖的证券经营机构。</w:t>
      </w:r>
    </w:p>
    <w:p w:rsidR="0086656C" w:rsidRDefault="00C12A9E">
      <w:pPr>
        <w:pStyle w:val="30"/>
        <w:spacing w:before="100" w:beforeAutospacing="1" w:after="100" w:afterAutospacing="1" w:line="400" w:lineRule="exact"/>
        <w:ind w:left="0" w:firstLine="403"/>
        <w:rPr>
          <w:rFonts w:ascii="宋体" w:eastAsia="宋体" w:hAnsi="宋体"/>
          <w:szCs w:val="24"/>
        </w:rPr>
      </w:pPr>
      <w:r>
        <w:rPr>
          <w:rFonts w:ascii="宋体" w:eastAsia="宋体" w:hAnsi="宋体" w:hint="eastAsia"/>
          <w:szCs w:val="24"/>
        </w:rPr>
        <w:t>1、选择代理证券买卖的证券经营机构的标准：</w:t>
      </w:r>
    </w:p>
    <w:p w:rsidR="0086656C" w:rsidRDefault="00C12A9E">
      <w:pPr>
        <w:pStyle w:val="30"/>
        <w:spacing w:before="100" w:beforeAutospacing="1" w:after="100" w:afterAutospacing="1" w:line="400" w:lineRule="exact"/>
        <w:ind w:left="0" w:firstLine="403"/>
        <w:rPr>
          <w:rFonts w:ascii="宋体" w:eastAsia="宋体" w:hAnsi="宋体"/>
          <w:szCs w:val="24"/>
        </w:rPr>
      </w:pPr>
      <w:r>
        <w:rPr>
          <w:rFonts w:ascii="宋体" w:eastAsia="宋体" w:hAnsi="宋体" w:hint="eastAsia"/>
          <w:szCs w:val="24"/>
        </w:rPr>
        <w:t>基金管理人应选择财务状况良好，经营行为规范，研究实力较强的证券公司。</w:t>
      </w:r>
    </w:p>
    <w:p w:rsidR="0086656C" w:rsidRDefault="00C12A9E">
      <w:pPr>
        <w:pStyle w:val="30"/>
        <w:spacing w:before="100" w:beforeAutospacing="1" w:after="100" w:afterAutospacing="1" w:line="400" w:lineRule="exact"/>
        <w:ind w:left="0" w:firstLine="403"/>
        <w:rPr>
          <w:rFonts w:ascii="宋体" w:eastAsia="宋体" w:hAnsi="宋体"/>
          <w:szCs w:val="24"/>
        </w:rPr>
      </w:pPr>
      <w:r>
        <w:rPr>
          <w:rFonts w:ascii="宋体" w:eastAsia="宋体" w:hAnsi="宋体" w:hint="eastAsia"/>
          <w:szCs w:val="24"/>
        </w:rPr>
        <w:t>2、选择代理证券买卖的证券经营机构的程序</w:t>
      </w:r>
    </w:p>
    <w:p w:rsidR="0086656C" w:rsidRDefault="00C12A9E">
      <w:pPr>
        <w:pStyle w:val="30"/>
        <w:spacing w:before="100" w:beforeAutospacing="1" w:after="100" w:afterAutospacing="1" w:line="400" w:lineRule="exact"/>
        <w:ind w:left="0" w:firstLine="403"/>
        <w:rPr>
          <w:rFonts w:ascii="宋体" w:eastAsia="宋体" w:hAnsi="宋体"/>
          <w:szCs w:val="24"/>
        </w:rPr>
      </w:pPr>
      <w:r>
        <w:rPr>
          <w:rFonts w:ascii="宋体" w:eastAsia="宋体" w:hAnsi="宋体" w:hint="eastAsia"/>
          <w:szCs w:val="24"/>
        </w:rPr>
        <w:t>基金管理人根据以上标准进行考察后确定证券经营机构的选择。基金管理人与被选择的证券经营机构签订委托协议，并按照法律法规的规定向中国证监会报告。基金管理人应将委托协议（或交易单元租用协议）的原件及时送交基金托管人。</w:t>
      </w:r>
    </w:p>
    <w:p w:rsidR="0086656C" w:rsidRDefault="00C12A9E">
      <w:pPr>
        <w:pStyle w:val="30"/>
        <w:spacing w:before="100" w:beforeAutospacing="1" w:after="100" w:afterAutospacing="1" w:line="400" w:lineRule="exact"/>
        <w:ind w:left="0" w:firstLine="403"/>
        <w:rPr>
          <w:rFonts w:ascii="宋体" w:eastAsia="宋体" w:hAnsi="宋体"/>
          <w:szCs w:val="24"/>
        </w:rPr>
      </w:pPr>
      <w:r>
        <w:rPr>
          <w:rFonts w:ascii="宋体" w:eastAsia="宋体" w:hAnsi="宋体" w:hint="eastAsia"/>
          <w:szCs w:val="24"/>
        </w:rPr>
        <w:t>3、相关信息的通知</w:t>
      </w:r>
    </w:p>
    <w:p w:rsidR="0086656C" w:rsidRDefault="00C12A9E">
      <w:pPr>
        <w:pStyle w:val="30"/>
        <w:spacing w:before="100" w:beforeAutospacing="1" w:after="100" w:afterAutospacing="1" w:line="400" w:lineRule="exact"/>
        <w:ind w:left="0" w:firstLine="403"/>
        <w:rPr>
          <w:rFonts w:ascii="宋体" w:eastAsia="宋体" w:hAnsi="宋体"/>
          <w:szCs w:val="24"/>
        </w:rPr>
      </w:pPr>
      <w:r>
        <w:rPr>
          <w:rFonts w:ascii="宋体" w:eastAsia="宋体" w:hAnsi="宋体" w:hint="eastAsia"/>
          <w:szCs w:val="24"/>
        </w:rPr>
        <w:t>基金管理人应及时以书面形式通知基金托管人基金专用交易单元的号码、券商名称、佣金费率等基金基本信息以及变更情况，其中交易单元租用应至少在首次进行交易的10个工作日前通知基金托管人，交易单元退租应在次日内通知到基金托管人。</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（二）基金清算交收</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lastRenderedPageBreak/>
        <w:t>1、因本基金投资于证券发生的所有场内、场外交易的清算交收，由基金托管人负责根据相关登记结算公司的结算规则办理。</w:t>
      </w:r>
    </w:p>
    <w:p w:rsidR="0086656C" w:rsidRDefault="00C12A9E">
      <w:pPr>
        <w:pStyle w:val="a6"/>
        <w:spacing w:before="100" w:beforeAutospacing="1" w:after="100" w:afterAutospacing="1"/>
        <w:ind w:firstLine="461"/>
        <w:rPr>
          <w:rFonts w:ascii="宋体" w:eastAsia="宋体"/>
          <w:sz w:val="24"/>
        </w:rPr>
      </w:pPr>
      <w:r>
        <w:rPr>
          <w:rFonts w:ascii="宋体" w:eastAsia="宋体" w:hint="eastAsia"/>
          <w:color w:val="auto"/>
          <w:sz w:val="24"/>
        </w:rPr>
        <w:t>2、由于基金管理人或基金托管人原因导致基金资金透支、超买或超卖等情形的，由责任方承担相应的责任。基金管理人同意在发生以上情形时，</w:t>
      </w:r>
      <w:r>
        <w:rPr>
          <w:rFonts w:ascii="宋体" w:eastAsia="宋体" w:hint="eastAsia"/>
          <w:sz w:val="24"/>
        </w:rPr>
        <w:t>基金托管人应按照中国证券登记结算有限责任公司的有关规定办理。</w:t>
      </w:r>
    </w:p>
    <w:p w:rsidR="0086656C" w:rsidRDefault="00C12A9E">
      <w:pPr>
        <w:pStyle w:val="a6"/>
        <w:spacing w:before="100" w:beforeAutospacing="1" w:after="100" w:afterAutospacing="1"/>
        <w:ind w:firstLine="461"/>
        <w:rPr>
          <w:rFonts w:ascii="宋体" w:eastAsia="宋体"/>
          <w:sz w:val="24"/>
        </w:rPr>
      </w:pPr>
      <w:r>
        <w:rPr>
          <w:rFonts w:ascii="宋体" w:eastAsia="宋体" w:hint="eastAsia"/>
          <w:sz w:val="24"/>
        </w:rPr>
        <w:t>3、</w:t>
      </w:r>
      <w:r>
        <w:rPr>
          <w:rFonts w:ascii="宋体" w:eastAsia="宋体" w:hint="eastAsia"/>
          <w:color w:val="auto"/>
          <w:sz w:val="24"/>
        </w:rPr>
        <w:t>由于基金管理人或基金托管人原因导致</w:t>
      </w:r>
      <w:r>
        <w:rPr>
          <w:rFonts w:ascii="宋体" w:eastAsia="宋体" w:hint="eastAsia"/>
          <w:sz w:val="24"/>
        </w:rPr>
        <w:t>基金无法按时支付清算款时，责任方应对由此给基金财产造成的直接损失承担相应的赔偿责任。</w:t>
      </w:r>
    </w:p>
    <w:p w:rsidR="0086656C" w:rsidRDefault="00C12A9E">
      <w:pPr>
        <w:pStyle w:val="a6"/>
        <w:spacing w:before="100" w:beforeAutospacing="1" w:after="100" w:afterAutospacing="1"/>
        <w:ind w:firstLine="461"/>
        <w:rPr>
          <w:rFonts w:ascii="宋体" w:eastAsia="宋体"/>
          <w:sz w:val="24"/>
        </w:rPr>
      </w:pPr>
      <w:r>
        <w:rPr>
          <w:rFonts w:ascii="宋体" w:eastAsia="宋体" w:hint="eastAsia"/>
          <w:sz w:val="24"/>
        </w:rPr>
        <w:t>4、基金管理人应保证在交收日（</w:t>
      </w:r>
      <w:r>
        <w:rPr>
          <w:rFonts w:ascii="宋体" w:eastAsia="宋体"/>
          <w:sz w:val="24"/>
        </w:rPr>
        <w:t>T+1</w:t>
      </w:r>
      <w:r>
        <w:rPr>
          <w:rFonts w:ascii="宋体" w:eastAsia="宋体" w:hint="eastAsia"/>
          <w:sz w:val="24"/>
        </w:rPr>
        <w:t>日）</w:t>
      </w:r>
      <w:r>
        <w:rPr>
          <w:rFonts w:ascii="宋体" w:eastAsia="宋体"/>
          <w:sz w:val="24"/>
        </w:rPr>
        <w:t>12</w:t>
      </w:r>
      <w:r>
        <w:rPr>
          <w:rFonts w:ascii="宋体" w:eastAsia="宋体" w:hint="eastAsia"/>
          <w:sz w:val="24"/>
        </w:rPr>
        <w:t>：</w:t>
      </w:r>
      <w:r>
        <w:rPr>
          <w:rFonts w:ascii="宋体" w:eastAsia="宋体"/>
          <w:sz w:val="24"/>
        </w:rPr>
        <w:t>00</w:t>
      </w:r>
      <w:r>
        <w:rPr>
          <w:rFonts w:ascii="宋体" w:eastAsia="宋体" w:hint="eastAsia"/>
          <w:sz w:val="24"/>
        </w:rPr>
        <w:t>前基金银行账户有足够的资金用于交易所的证券交易资金清算，如基金的资金头寸不足则基金托管人应按照中国证券登记结算有限责任公司的有关规定办理。</w:t>
      </w:r>
    </w:p>
    <w:p w:rsidR="0086656C" w:rsidRDefault="00C12A9E">
      <w:pPr>
        <w:pStyle w:val="a6"/>
        <w:spacing w:before="100" w:beforeAutospacing="1" w:after="100" w:afterAutospacing="1"/>
        <w:ind w:firstLine="461"/>
        <w:rPr>
          <w:rFonts w:ascii="宋体" w:eastAsia="宋体"/>
          <w:sz w:val="24"/>
        </w:rPr>
      </w:pPr>
      <w:r>
        <w:rPr>
          <w:rFonts w:ascii="宋体" w:eastAsia="宋体" w:hint="eastAsia"/>
          <w:sz w:val="24"/>
        </w:rPr>
        <w:t>5、基金管理人应保证基金托管人在执行基金管理人发送的划款指令时，基金银行账户或资金交收账户上有充足的资金。基金的资金头寸不足时，基金托管人有权拒绝基金管理人发送的划款指令，由此造成的损失，由基金管理人负责赔偿。基金管理人在发送划款指令时应充分考虑基金托管人的划款处理时间。对于要求当天到账的指令，应在当天15:00前发送；对于要求当天某一时点到账，则指令需提前2个工作小时发送，并保证相关付款条件已经具备。对于新股申购网下公开发行业务，基金管理人应在网下申购缴款日(T日)的前一日下班前将新股申购指令发送给托管人，指令发送时间最迟不应晚于T日上午10：00时。</w:t>
      </w:r>
    </w:p>
    <w:p w:rsidR="0086656C" w:rsidRDefault="00C12A9E">
      <w:pPr>
        <w:pStyle w:val="a6"/>
        <w:spacing w:before="100" w:beforeAutospacing="1" w:after="100" w:afterAutospacing="1"/>
        <w:ind w:firstLine="461"/>
        <w:rPr>
          <w:rFonts w:ascii="宋体" w:eastAsia="宋体"/>
          <w:sz w:val="24"/>
        </w:rPr>
      </w:pPr>
      <w:r>
        <w:rPr>
          <w:rFonts w:ascii="宋体" w:eastAsia="宋体" w:hint="eastAsia"/>
          <w:sz w:val="24"/>
        </w:rPr>
        <w:t>对上海证券交易所认购权证行权交易，基金管理人应于行权日</w:t>
      </w:r>
      <w:r>
        <w:rPr>
          <w:rFonts w:ascii="宋体" w:eastAsia="宋体"/>
          <w:sz w:val="24"/>
        </w:rPr>
        <w:t>15:</w:t>
      </w:r>
      <w:r>
        <w:rPr>
          <w:rFonts w:ascii="宋体" w:eastAsia="宋体" w:hint="eastAsia"/>
          <w:sz w:val="24"/>
        </w:rPr>
        <w:t>0</w:t>
      </w:r>
      <w:r>
        <w:rPr>
          <w:rFonts w:ascii="宋体" w:eastAsia="宋体"/>
          <w:sz w:val="24"/>
        </w:rPr>
        <w:t>0</w:t>
      </w:r>
      <w:r>
        <w:rPr>
          <w:rFonts w:ascii="宋体" w:eastAsia="宋体" w:hint="eastAsia"/>
          <w:sz w:val="24"/>
        </w:rPr>
        <w:t>前将需要交付的行权金额及费用书面通知托管人，托管人在</w:t>
      </w:r>
      <w:r>
        <w:rPr>
          <w:rFonts w:ascii="宋体" w:eastAsia="宋体"/>
          <w:sz w:val="24"/>
        </w:rPr>
        <w:t>1</w:t>
      </w:r>
      <w:r>
        <w:rPr>
          <w:rFonts w:ascii="宋体" w:eastAsia="宋体" w:hint="eastAsia"/>
          <w:sz w:val="24"/>
        </w:rPr>
        <w:t>6</w:t>
      </w:r>
      <w:r>
        <w:rPr>
          <w:rFonts w:ascii="宋体" w:eastAsia="宋体"/>
          <w:sz w:val="24"/>
        </w:rPr>
        <w:t>:00</w:t>
      </w:r>
      <w:r>
        <w:rPr>
          <w:rFonts w:ascii="宋体" w:eastAsia="宋体" w:hint="eastAsia"/>
          <w:sz w:val="24"/>
        </w:rPr>
        <w:t>前支付至登记结算公司指定账户。</w:t>
      </w:r>
    </w:p>
    <w:p w:rsidR="0086656C" w:rsidRDefault="00C12A9E">
      <w:pPr>
        <w:autoSpaceDE w:val="0"/>
        <w:autoSpaceDN w:val="0"/>
        <w:adjustRightInd w:val="0"/>
        <w:spacing w:line="360" w:lineRule="auto"/>
        <w:ind w:firstLine="420"/>
        <w:rPr>
          <w:rFonts w:ascii="宋体" w:hAnsi="宋体"/>
          <w:color w:val="000000"/>
          <w:sz w:val="24"/>
        </w:rPr>
      </w:pPr>
      <w:r>
        <w:rPr>
          <w:rFonts w:ascii="宋体" w:hAnsi="宋体" w:hint="eastAsia"/>
          <w:color w:val="000000"/>
          <w:sz w:val="24"/>
        </w:rPr>
        <w:t>对于中国证券登记结算有限责任公司实行T+0非担保交收的业务，基金管理人应在交易日14：00前将划款指令发送至托管人。</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sz w:val="24"/>
        </w:rPr>
        <w:t>因基金管理人指令传输不及时，致使资金未能及时划入中登公司所造成的损失由基金管理人承担，包括赔偿在深圳市场引起其他托管客户交易失败、赔偿因占用中登深圳公司最低备付金带来的利息损失。在基金资金头寸充足的情况下，基金托管人对基金管理人符合法律法规、《基金合同》、</w:t>
      </w:r>
      <w:r>
        <w:rPr>
          <w:rFonts w:ascii="宋体" w:eastAsia="宋体" w:cs="方正仿宋简体" w:hint="eastAsia"/>
          <w:sz w:val="24"/>
        </w:rPr>
        <w:t>本协议的指令不得</w:t>
      </w:r>
      <w:r>
        <w:rPr>
          <w:rFonts w:ascii="宋体" w:eastAsia="宋体" w:hint="eastAsia"/>
          <w:sz w:val="24"/>
        </w:rPr>
        <w:t>不合理</w:t>
      </w:r>
      <w:r>
        <w:rPr>
          <w:rFonts w:ascii="宋体" w:eastAsia="宋体" w:cs="方正仿宋简体" w:hint="eastAsia"/>
          <w:sz w:val="24"/>
        </w:rPr>
        <w:t>拖延或拒绝执行。</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lastRenderedPageBreak/>
        <w:t>（三）资金、证券账目和交易记录核对</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基金管理人和基金托管人应对本基金的资金、证券账目及交易记录进行核对。</w:t>
      </w:r>
    </w:p>
    <w:p w:rsidR="0086656C" w:rsidRDefault="00C12A9E">
      <w:pPr>
        <w:pStyle w:val="30"/>
        <w:spacing w:before="100" w:beforeAutospacing="1" w:after="100" w:afterAutospacing="1" w:line="400" w:lineRule="exact"/>
        <w:ind w:left="0" w:right="26" w:firstLine="403"/>
        <w:rPr>
          <w:rFonts w:ascii="宋体" w:eastAsia="宋体" w:hAnsi="宋体"/>
          <w:szCs w:val="24"/>
        </w:rPr>
      </w:pPr>
      <w:r>
        <w:rPr>
          <w:rFonts w:ascii="宋体" w:eastAsia="宋体" w:hAnsi="宋体" w:hint="eastAsia"/>
          <w:szCs w:val="24"/>
        </w:rPr>
        <w:t>（四）申购、赎回和基金转换的资金清算</w:t>
      </w:r>
    </w:p>
    <w:p w:rsidR="0086656C" w:rsidRDefault="00C12A9E">
      <w:pPr>
        <w:pStyle w:val="30"/>
        <w:spacing w:before="100" w:beforeAutospacing="1" w:after="100" w:afterAutospacing="1" w:line="400" w:lineRule="exact"/>
        <w:ind w:left="0" w:right="26" w:firstLine="403"/>
        <w:rPr>
          <w:rFonts w:ascii="宋体" w:eastAsia="宋体" w:hAnsi="宋体"/>
          <w:color w:val="000000"/>
          <w:szCs w:val="24"/>
        </w:rPr>
      </w:pPr>
      <w:r>
        <w:rPr>
          <w:rFonts w:ascii="宋体" w:eastAsia="宋体" w:hAnsi="宋体" w:hint="eastAsia"/>
          <w:color w:val="000000"/>
          <w:szCs w:val="24"/>
        </w:rPr>
        <w:t>1、T日，投资者进行基金申购、赎回和转换申请，基金管理人和基金托管人分别计算基金资产净值，并进行核对；基金管理人将双方确认的或基金管理人决定采用的基金份额净值以基金份额净值公告的形式传真至相关信息披露媒介。</w:t>
      </w:r>
    </w:p>
    <w:p w:rsidR="0086656C" w:rsidRDefault="00C12A9E">
      <w:pPr>
        <w:pStyle w:val="30"/>
        <w:spacing w:before="100" w:beforeAutospacing="1" w:after="100" w:afterAutospacing="1" w:line="400" w:lineRule="exact"/>
        <w:ind w:left="0" w:right="26" w:firstLine="403"/>
        <w:rPr>
          <w:rFonts w:ascii="宋体" w:eastAsia="宋体" w:hAnsi="宋体"/>
          <w:color w:val="000000"/>
          <w:szCs w:val="24"/>
        </w:rPr>
      </w:pPr>
      <w:r>
        <w:rPr>
          <w:rFonts w:ascii="宋体" w:eastAsia="宋体" w:hAnsi="宋体" w:hint="eastAsia"/>
          <w:color w:val="000000"/>
          <w:szCs w:val="24"/>
        </w:rPr>
        <w:t>2、T+1日， 注册登记机构根据T日基金份额净值计算申购份额、赎回金额及转换份额，更新基金份额持有人数据库；并将确认的申购、赎回及转换数据向基金托管人、基金管理人传送。基金管理人、基金托管人根据确认数据进行账务处理。</w:t>
      </w:r>
    </w:p>
    <w:p w:rsidR="0086656C" w:rsidRDefault="00C12A9E">
      <w:pPr>
        <w:pStyle w:val="30"/>
        <w:spacing w:before="100" w:beforeAutospacing="1" w:after="100" w:afterAutospacing="1" w:line="400" w:lineRule="exact"/>
        <w:ind w:left="0" w:right="26" w:firstLine="403"/>
        <w:rPr>
          <w:rFonts w:ascii="宋体" w:eastAsia="宋体" w:hAnsi="宋体"/>
          <w:color w:val="000000"/>
          <w:szCs w:val="24"/>
        </w:rPr>
      </w:pPr>
      <w:r>
        <w:rPr>
          <w:rFonts w:ascii="宋体" w:eastAsia="宋体" w:hAnsi="宋体" w:hint="eastAsia"/>
          <w:color w:val="000000"/>
          <w:szCs w:val="24"/>
        </w:rPr>
        <w:t>3、基金托管账户与“基金清算账户”间实行T+2日交收申购款，T+3日交收赎回款。</w:t>
      </w:r>
    </w:p>
    <w:p w:rsidR="0086656C" w:rsidRDefault="00C12A9E">
      <w:pPr>
        <w:pStyle w:val="30"/>
        <w:spacing w:before="100" w:beforeAutospacing="1" w:after="100" w:afterAutospacing="1" w:line="400" w:lineRule="exact"/>
        <w:ind w:left="0" w:right="26" w:firstLine="403"/>
        <w:rPr>
          <w:rFonts w:ascii="宋体" w:eastAsia="宋体" w:hAnsi="宋体"/>
          <w:color w:val="000000"/>
          <w:szCs w:val="24"/>
        </w:rPr>
      </w:pPr>
      <w:r>
        <w:rPr>
          <w:rFonts w:ascii="宋体" w:eastAsia="宋体" w:hAnsi="宋体" w:hint="eastAsia"/>
          <w:color w:val="000000"/>
          <w:szCs w:val="24"/>
        </w:rPr>
        <w:t>4、基金托管账户与“基金清算账户”间的资金清算遵循“全额净额清算、净额交收”的原则，即按照托管账户当日应收资金（包括申购资金及基金转换转入款）与托管账户应付额（含赎回资金、赎回费、基金转换转出款及转换费）的差额来确定托管账户净应收额或净应付额，以此确定资金交收额。当存在托管账户净应收额时，基金管理人负责将托管账户净应收额在T+2日16:00前从“基金清算账户”划到基金托管账户；当存在托管账户净应付额时，基金托管行按管理人的划款指令将托管账户净应付额在T+3日16:00前划到“基金清算账户”。</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sz w:val="24"/>
        </w:rPr>
        <w:t>5、</w:t>
      </w:r>
      <w:r>
        <w:rPr>
          <w:rFonts w:ascii="宋体" w:eastAsia="宋体" w:hint="eastAsia"/>
          <w:color w:val="auto"/>
          <w:sz w:val="24"/>
        </w:rPr>
        <w:t>基金管理人未能按上款约定将托管账户净应收额全额、及时汇至基金托管账户，由此产生的责任应由该基金管理人承担（</w:t>
      </w:r>
      <w:r>
        <w:rPr>
          <w:rFonts w:ascii="宋体" w:eastAsia="宋体"/>
          <w:color w:val="auto"/>
          <w:sz w:val="24"/>
        </w:rPr>
        <w:t>不可抗力或基金</w:t>
      </w:r>
      <w:r>
        <w:rPr>
          <w:rFonts w:ascii="宋体" w:eastAsia="宋体" w:hint="eastAsia"/>
          <w:color w:val="auto"/>
          <w:sz w:val="24"/>
        </w:rPr>
        <w:t>管理人</w:t>
      </w:r>
      <w:r>
        <w:rPr>
          <w:rFonts w:ascii="宋体" w:eastAsia="宋体"/>
          <w:color w:val="auto"/>
          <w:sz w:val="24"/>
        </w:rPr>
        <w:t>无过错的情况除外）</w:t>
      </w:r>
      <w:r>
        <w:rPr>
          <w:rFonts w:ascii="宋体" w:eastAsia="宋体" w:hint="eastAsia"/>
          <w:color w:val="auto"/>
          <w:sz w:val="24"/>
        </w:rPr>
        <w:t>；基金托管人未能按上款约定将托管账户净应付额全额、及时汇至“基金清算账户”，由此产生的责任应由基金托管人承担（</w:t>
      </w:r>
      <w:r>
        <w:rPr>
          <w:rFonts w:ascii="宋体" w:eastAsia="宋体"/>
          <w:color w:val="auto"/>
          <w:sz w:val="24"/>
        </w:rPr>
        <w:t>不可抗力或基金托管人无过错的情况除外）</w:t>
      </w:r>
      <w:r>
        <w:rPr>
          <w:rFonts w:ascii="宋体" w:eastAsia="宋体" w:hint="eastAsia"/>
          <w:color w:val="auto"/>
          <w:sz w:val="24"/>
        </w:rPr>
        <w:t>。</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6、基金管理人应将每个开放日的申购、赎回、转换开放式基金的数据传送给基金托管人。基金管理人应对传递的申购、赎回、转换开放式基金的数据真实性负责。基金托管人应及时查收申购资金的到账情况并根据基金管理人指令及时划付赎回款项。</w:t>
      </w:r>
    </w:p>
    <w:p w:rsidR="0086656C" w:rsidRDefault="0086656C">
      <w:pPr>
        <w:pStyle w:val="a6"/>
        <w:spacing w:before="100" w:beforeAutospacing="1" w:after="100" w:afterAutospacing="1"/>
        <w:ind w:firstLine="461"/>
        <w:rPr>
          <w:rFonts w:ascii="宋体" w:eastAsia="宋体"/>
          <w:color w:val="auto"/>
          <w:sz w:val="24"/>
        </w:rPr>
      </w:pPr>
    </w:p>
    <w:p w:rsidR="0086656C" w:rsidRDefault="00C12A9E">
      <w:pPr>
        <w:pStyle w:val="1"/>
        <w:spacing w:before="100" w:beforeAutospacing="1" w:after="100" w:afterAutospacing="1" w:line="400" w:lineRule="exact"/>
        <w:ind w:firstLine="422"/>
        <w:rPr>
          <w:rFonts w:ascii="宋体" w:hAnsi="宋体"/>
          <w:sz w:val="24"/>
          <w:szCs w:val="24"/>
        </w:rPr>
      </w:pPr>
      <w:bookmarkStart w:id="10" w:name="_Toc116900103"/>
      <w:r>
        <w:rPr>
          <w:rFonts w:ascii="宋体" w:hAnsi="宋体" w:hint="eastAsia"/>
          <w:sz w:val="24"/>
          <w:szCs w:val="24"/>
        </w:rPr>
        <w:t>八、基金资产净值计算和会计核算</w:t>
      </w:r>
      <w:bookmarkEnd w:id="10"/>
    </w:p>
    <w:p w:rsidR="0086656C" w:rsidRDefault="00C12A9E">
      <w:pPr>
        <w:pStyle w:val="30"/>
        <w:spacing w:before="100" w:beforeAutospacing="1" w:after="100" w:afterAutospacing="1" w:line="400" w:lineRule="exact"/>
        <w:ind w:left="0" w:right="26" w:firstLine="403"/>
        <w:rPr>
          <w:rFonts w:ascii="宋体" w:eastAsia="宋体" w:hAnsi="宋体"/>
          <w:szCs w:val="24"/>
        </w:rPr>
      </w:pPr>
      <w:r>
        <w:rPr>
          <w:rFonts w:ascii="宋体" w:eastAsia="宋体" w:hAnsi="宋体" w:hint="eastAsia"/>
          <w:szCs w:val="24"/>
        </w:rPr>
        <w:t>（一）基金资产净值的计算和复核</w:t>
      </w:r>
    </w:p>
    <w:p w:rsidR="0086656C" w:rsidRDefault="00C12A9E">
      <w:pPr>
        <w:pStyle w:val="30"/>
        <w:spacing w:before="100" w:beforeAutospacing="1" w:after="100" w:afterAutospacing="1" w:line="400" w:lineRule="exact"/>
        <w:ind w:left="0" w:right="26" w:firstLine="403"/>
        <w:rPr>
          <w:rFonts w:ascii="宋体" w:eastAsia="宋体" w:hAnsi="宋体"/>
          <w:szCs w:val="24"/>
        </w:rPr>
      </w:pPr>
      <w:r>
        <w:rPr>
          <w:rFonts w:ascii="宋体" w:eastAsia="宋体" w:hAnsi="宋体" w:hint="eastAsia"/>
          <w:szCs w:val="24"/>
        </w:rPr>
        <w:t>1、基金资产净值是指基金资产总值减去负债后的价值。基金份额净值是指计算日基金资产净值除以计算日该基金份额总数后的价值。</w:t>
      </w:r>
    </w:p>
    <w:p w:rsidR="0086656C" w:rsidRDefault="00C12A9E">
      <w:pPr>
        <w:spacing w:before="100" w:beforeAutospacing="1" w:after="100" w:afterAutospacing="1" w:line="400" w:lineRule="exact"/>
        <w:ind w:firstLine="420"/>
        <w:rPr>
          <w:rFonts w:ascii="宋体" w:hAnsi="宋体"/>
          <w:kern w:val="0"/>
          <w:sz w:val="24"/>
        </w:rPr>
      </w:pPr>
      <w:r>
        <w:rPr>
          <w:rFonts w:ascii="宋体" w:hAnsi="宋体" w:hint="eastAsia"/>
          <w:sz w:val="24"/>
        </w:rPr>
        <w:t>2、基金管理人应每个估值日对基金财产估值，但基金管理人根据法律法规或《基金合同》的规定暂停估值时除外。估值原则应符合《基金合同》、《证券投资基金会计核算业务指引》及其他法律法规的规定。用于基金信息披露的基金净值信息由基金管理人负责计算，基金托管人复核。基金管理人应于每个估值日结束后计算得出当日的该基金份额净值，并在盖章后以双方约定的方式发送给基金托管人。基金托管人应对净值计算结果进行复核，并以双方约定的方式将复核结果传送给基金管理人</w:t>
      </w:r>
      <w:r>
        <w:rPr>
          <w:rFonts w:ascii="宋体" w:hAnsi="宋体" w:hint="eastAsia"/>
          <w:kern w:val="0"/>
          <w:sz w:val="24"/>
        </w:rPr>
        <w:t>，由基金管理人对外公布。月末、年中和年末估值复核与基金会计账目的核对同时进行。</w:t>
      </w:r>
    </w:p>
    <w:p w:rsidR="0086656C" w:rsidRDefault="00C12A9E">
      <w:pPr>
        <w:pStyle w:val="30"/>
        <w:spacing w:before="100" w:beforeAutospacing="1" w:after="100" w:afterAutospacing="1" w:line="400" w:lineRule="exact"/>
        <w:ind w:left="0" w:right="26" w:firstLine="403"/>
        <w:rPr>
          <w:rFonts w:ascii="宋体" w:eastAsia="宋体" w:hAnsi="宋体"/>
          <w:szCs w:val="24"/>
        </w:rPr>
      </w:pPr>
      <w:r>
        <w:rPr>
          <w:rFonts w:ascii="宋体" w:eastAsia="宋体" w:hAnsi="宋体" w:hint="eastAsia"/>
          <w:szCs w:val="24"/>
        </w:rPr>
        <w:t>3、当</w:t>
      </w:r>
      <w:r>
        <w:rPr>
          <w:rFonts w:ascii="宋体" w:eastAsia="宋体" w:hAnsi="宋体" w:cs="方正仿宋简体" w:hint="eastAsia"/>
          <w:szCs w:val="24"/>
        </w:rPr>
        <w:t>相关法律法规或《基金合同》规定的估值方法不能客观反映基金财产公允价值时，</w:t>
      </w:r>
      <w:r>
        <w:rPr>
          <w:rFonts w:ascii="宋体" w:eastAsia="宋体" w:hAnsi="宋体" w:hint="eastAsia"/>
          <w:szCs w:val="24"/>
        </w:rPr>
        <w:t>基金管理人可根据具体情况</w:t>
      </w:r>
      <w:r>
        <w:rPr>
          <w:rFonts w:ascii="宋体" w:eastAsia="宋体" w:hAnsi="宋体"/>
          <w:szCs w:val="24"/>
        </w:rPr>
        <w:t>，</w:t>
      </w:r>
      <w:r>
        <w:rPr>
          <w:rFonts w:ascii="宋体" w:eastAsia="宋体" w:hAnsi="宋体" w:hint="eastAsia"/>
          <w:szCs w:val="24"/>
        </w:rPr>
        <w:t>并与基金托管人商定后</w:t>
      </w:r>
      <w:r>
        <w:rPr>
          <w:rFonts w:ascii="宋体" w:eastAsia="宋体" w:hAnsi="宋体"/>
          <w:szCs w:val="24"/>
        </w:rPr>
        <w:t>，</w:t>
      </w:r>
      <w:r>
        <w:rPr>
          <w:rFonts w:ascii="宋体" w:eastAsia="宋体" w:hAnsi="宋体" w:hint="eastAsia"/>
          <w:szCs w:val="24"/>
        </w:rPr>
        <w:t>按最能反映公允价值的价格估值。</w:t>
      </w:r>
    </w:p>
    <w:p w:rsidR="0086656C" w:rsidRDefault="00C12A9E">
      <w:pPr>
        <w:pStyle w:val="30"/>
        <w:spacing w:before="100" w:beforeAutospacing="1" w:after="100" w:afterAutospacing="1" w:line="400" w:lineRule="exact"/>
        <w:ind w:left="0" w:right="26" w:firstLine="403"/>
        <w:rPr>
          <w:rFonts w:ascii="宋体" w:eastAsia="宋体" w:hAnsi="宋体" w:cs="方正仿宋简体"/>
          <w:szCs w:val="24"/>
        </w:rPr>
      </w:pPr>
      <w:r>
        <w:rPr>
          <w:rFonts w:ascii="宋体" w:eastAsia="宋体" w:hAnsi="宋体" w:hint="eastAsia"/>
          <w:szCs w:val="24"/>
        </w:rPr>
        <w:t>4、</w:t>
      </w:r>
      <w:r>
        <w:rPr>
          <w:rFonts w:ascii="宋体" w:eastAsia="宋体" w:hAnsi="宋体" w:cs="方正仿宋简体" w:hint="eastAsia"/>
          <w:szCs w:val="24"/>
        </w:rPr>
        <w:t>基金管理人、基金托管人发现基金估值违反《基金合同》订明的估值方法、程序以及相关法律法规的规定或者未能充分维护基金份额持有人利益时，双方应及时进行协商和纠正。</w:t>
      </w:r>
    </w:p>
    <w:p w:rsidR="0086656C" w:rsidRDefault="00C12A9E">
      <w:pPr>
        <w:spacing w:before="100" w:beforeAutospacing="1" w:after="100" w:afterAutospacing="1" w:line="400" w:lineRule="exact"/>
        <w:ind w:firstLine="420"/>
        <w:rPr>
          <w:rFonts w:ascii="宋体" w:hAnsi="宋体"/>
          <w:sz w:val="24"/>
        </w:rPr>
      </w:pPr>
      <w:r>
        <w:rPr>
          <w:rFonts w:ascii="宋体" w:hAnsi="宋体" w:cs="方正仿宋简体" w:hint="eastAsia"/>
          <w:sz w:val="24"/>
        </w:rPr>
        <w:t>5、</w:t>
      </w:r>
      <w:r>
        <w:rPr>
          <w:rFonts w:ascii="宋体" w:hAnsi="宋体" w:hint="eastAsia"/>
          <w:sz w:val="24"/>
        </w:rPr>
        <w:t>当基金资产的估值导致基金份额净值小数点后四位内发生差错时，视为基金份额净值估值错误。当基金份额净值出现错误时，基金管理人应当立即予以纠正，并采取合理的措施防止损失进一步扩大；当计价错误达到基金份额净值的</w:t>
      </w:r>
      <w:r>
        <w:rPr>
          <w:rFonts w:ascii="宋体" w:hAnsi="宋体"/>
          <w:sz w:val="24"/>
        </w:rPr>
        <w:t>0.</w:t>
      </w:r>
      <w:r>
        <w:rPr>
          <w:rFonts w:ascii="宋体" w:hAnsi="宋体" w:hint="eastAsia"/>
          <w:sz w:val="24"/>
        </w:rPr>
        <w:t>2</w:t>
      </w:r>
      <w:r>
        <w:rPr>
          <w:rFonts w:ascii="宋体" w:hAnsi="宋体"/>
          <w:sz w:val="24"/>
        </w:rPr>
        <w:t>5%</w:t>
      </w:r>
      <w:r>
        <w:rPr>
          <w:rFonts w:ascii="宋体" w:hAnsi="宋体" w:hint="eastAsia"/>
          <w:sz w:val="24"/>
        </w:rPr>
        <w:t>时，基金管理人应当通知基金托管人并报中国证监会备案；当计价错误达到基金份额净值的</w:t>
      </w:r>
      <w:r>
        <w:rPr>
          <w:rFonts w:ascii="宋体" w:hAnsi="宋体"/>
          <w:sz w:val="24"/>
        </w:rPr>
        <w:t>0.5%</w:t>
      </w:r>
      <w:r>
        <w:rPr>
          <w:rFonts w:ascii="宋体" w:hAnsi="宋体" w:hint="eastAsia"/>
          <w:sz w:val="24"/>
        </w:rPr>
        <w:t>时，基金管理人应当通知基金托管人，在报中国证监会备案的同时并及时进行公告。</w:t>
      </w:r>
      <w:r>
        <w:rPr>
          <w:rFonts w:ascii="宋体" w:hAnsi="宋体"/>
          <w:sz w:val="24"/>
        </w:rPr>
        <w:t>如法律法规或监管机关</w:t>
      </w:r>
      <w:r>
        <w:rPr>
          <w:rFonts w:ascii="宋体" w:hAnsi="宋体" w:hint="eastAsia"/>
          <w:sz w:val="24"/>
        </w:rPr>
        <w:t>对</w:t>
      </w:r>
      <w:r>
        <w:rPr>
          <w:rFonts w:ascii="宋体" w:hAnsi="宋体"/>
          <w:sz w:val="24"/>
        </w:rPr>
        <w:t>前述内容另有规定的，按其规定处理。</w:t>
      </w:r>
    </w:p>
    <w:p w:rsidR="0086656C" w:rsidRDefault="00C12A9E">
      <w:pPr>
        <w:pStyle w:val="30"/>
        <w:spacing w:before="100" w:beforeAutospacing="1" w:after="100" w:afterAutospacing="1" w:line="400" w:lineRule="exact"/>
        <w:ind w:left="0" w:right="26" w:firstLine="403"/>
        <w:rPr>
          <w:rFonts w:ascii="宋体" w:eastAsia="宋体" w:hAnsi="宋体" w:cs="方正仿宋简体"/>
          <w:szCs w:val="24"/>
        </w:rPr>
      </w:pPr>
      <w:r>
        <w:rPr>
          <w:rFonts w:ascii="宋体" w:eastAsia="宋体" w:hAnsi="宋体" w:cs="方正仿宋简体" w:hint="eastAsia"/>
          <w:szCs w:val="24"/>
        </w:rPr>
        <w:t>6、</w:t>
      </w:r>
      <w:r>
        <w:rPr>
          <w:rFonts w:ascii="宋体" w:eastAsia="宋体" w:hAnsi="宋体" w:hint="eastAsia"/>
          <w:szCs w:val="24"/>
        </w:rPr>
        <w:t>由于基金管理人对外公布的任何基金净值数据错误，导致该基金财产或基金份额持有人的实际损失，基金管理人应对此承担责任。若基金托管人计算的净值数据正确，则基金托管人对该损失不承担责任；若基金托管人计算的净值数</w:t>
      </w:r>
      <w:r>
        <w:rPr>
          <w:rFonts w:ascii="宋体" w:eastAsia="宋体" w:hAnsi="宋体" w:hint="eastAsia"/>
          <w:szCs w:val="24"/>
        </w:rPr>
        <w:lastRenderedPageBreak/>
        <w:t>据也不正确，则基金托管人也应承担部分未正确履行复核义务的责任。如果上述错误造成了基金财产或基金份额持有人的不当得利，且基金管理人及基金托管人已各自承担了赔偿责任，则基金管理人应负责向不当得利之主体主张返还不当得利。如果返还金额不足以弥补基金管理人和基金托管人已承担的赔偿金额，则双方按照各自赔偿金额的比例对返还金额进行分配。</w:t>
      </w:r>
    </w:p>
    <w:p w:rsidR="0086656C" w:rsidRDefault="00C12A9E">
      <w:pPr>
        <w:pStyle w:val="30"/>
        <w:spacing w:before="100" w:beforeAutospacing="1" w:after="100" w:afterAutospacing="1" w:line="400" w:lineRule="exact"/>
        <w:ind w:left="0" w:right="26" w:firstLine="403"/>
        <w:rPr>
          <w:rFonts w:ascii="宋体" w:eastAsia="宋体" w:hAnsi="宋体" w:cs="方正仿宋简体"/>
          <w:szCs w:val="24"/>
        </w:rPr>
      </w:pPr>
      <w:r>
        <w:rPr>
          <w:rFonts w:ascii="宋体" w:eastAsia="宋体" w:hAnsi="宋体" w:cs="方正仿宋简体" w:hint="eastAsia"/>
          <w:szCs w:val="24"/>
        </w:rPr>
        <w:t>7、由于证券交易所、期货交易所及其登记结算公司发送的数据错误，有关会计制度变化或由于其他不可抗力原因，基金管理人和基金托管人虽然已经采取必要、适当、合理的措施进行检查，但是未能发现该错误的，由此造成的基金资产估值错误，基金管理人和基金托管人可以免除赔偿责任。但基金管理人、基金托管人应当积极采取必要的措施减轻或消除由此造成的影响。</w:t>
      </w:r>
    </w:p>
    <w:p w:rsidR="0086656C" w:rsidRDefault="00C12A9E">
      <w:pPr>
        <w:pStyle w:val="30"/>
        <w:spacing w:before="100" w:beforeAutospacing="1" w:after="100" w:afterAutospacing="1" w:line="400" w:lineRule="exact"/>
        <w:ind w:left="0" w:right="26" w:firstLine="403"/>
        <w:rPr>
          <w:rFonts w:ascii="宋体" w:eastAsia="宋体" w:hAnsi="宋体"/>
          <w:szCs w:val="24"/>
        </w:rPr>
      </w:pPr>
      <w:r>
        <w:rPr>
          <w:rFonts w:ascii="宋体" w:eastAsia="宋体" w:hAnsi="宋体" w:hint="eastAsia"/>
          <w:szCs w:val="24"/>
        </w:rPr>
        <w:t>8、如果基金托管人的复核结果与基金管理人的计算结果存在差异，且双方经协商未能达成一致，基金管理人可以按照其对基金份额净值的计算结果对外予以公布，基金托管人可以将相关情况报中国证监会备案。</w:t>
      </w:r>
    </w:p>
    <w:p w:rsidR="0086656C" w:rsidRDefault="00C12A9E">
      <w:pPr>
        <w:pStyle w:val="30"/>
        <w:spacing w:before="100" w:beforeAutospacing="1" w:after="100" w:afterAutospacing="1" w:line="400" w:lineRule="exact"/>
        <w:ind w:left="0" w:right="26" w:firstLine="403"/>
        <w:rPr>
          <w:rFonts w:ascii="宋体" w:eastAsia="宋体" w:hAnsi="宋体"/>
          <w:szCs w:val="24"/>
        </w:rPr>
      </w:pPr>
      <w:r>
        <w:rPr>
          <w:rFonts w:ascii="宋体" w:eastAsia="宋体" w:hAnsi="宋体" w:hint="eastAsia"/>
          <w:szCs w:val="24"/>
        </w:rPr>
        <w:t>（二）基金会计核算</w:t>
      </w:r>
    </w:p>
    <w:p w:rsidR="0086656C" w:rsidRDefault="00C12A9E">
      <w:pPr>
        <w:pStyle w:val="30"/>
        <w:spacing w:before="100" w:beforeAutospacing="1" w:after="100" w:afterAutospacing="1" w:line="400" w:lineRule="exact"/>
        <w:ind w:left="0" w:right="26" w:firstLine="403"/>
        <w:rPr>
          <w:rFonts w:ascii="宋体" w:eastAsia="宋体" w:hAnsi="宋体"/>
          <w:szCs w:val="24"/>
        </w:rPr>
      </w:pPr>
      <w:r>
        <w:rPr>
          <w:rFonts w:ascii="宋体" w:eastAsia="宋体" w:hAnsi="宋体" w:hint="eastAsia"/>
          <w:szCs w:val="24"/>
        </w:rPr>
        <w:t>1、基金账册的建立</w:t>
      </w:r>
    </w:p>
    <w:p w:rsidR="0086656C" w:rsidRDefault="00C12A9E">
      <w:pPr>
        <w:pStyle w:val="30"/>
        <w:spacing w:before="100" w:beforeAutospacing="1" w:after="100" w:afterAutospacing="1" w:line="400" w:lineRule="exact"/>
        <w:ind w:left="0" w:right="26" w:firstLine="403"/>
        <w:rPr>
          <w:rFonts w:ascii="宋体" w:eastAsia="宋体" w:hAnsi="宋体"/>
          <w:szCs w:val="24"/>
        </w:rPr>
      </w:pPr>
      <w:r>
        <w:rPr>
          <w:rFonts w:ascii="宋体" w:eastAsia="宋体" w:hAnsi="宋体" w:hint="eastAsia"/>
          <w:szCs w:val="24"/>
        </w:rPr>
        <w:t>基金管理人和基金托管人在《基金合同》生效后，应按照双方约定的同一记账方法和会计处理原则，分别独立地设置、登记和保管基金的全套账册，对双方各自的账册定期进行核对，互相监督，以保证基金财产的安全。若双方对会计处理方法存在分歧，应以基金管理人的处理方法为准。</w:t>
      </w:r>
    </w:p>
    <w:p w:rsidR="0086656C" w:rsidRDefault="00C12A9E">
      <w:pPr>
        <w:pStyle w:val="30"/>
        <w:spacing w:before="100" w:beforeAutospacing="1" w:after="100" w:afterAutospacing="1" w:line="400" w:lineRule="exact"/>
        <w:ind w:left="0" w:right="26" w:firstLine="403"/>
        <w:rPr>
          <w:rFonts w:ascii="宋体" w:eastAsia="宋体" w:hAnsi="宋体"/>
          <w:szCs w:val="24"/>
        </w:rPr>
      </w:pPr>
      <w:r>
        <w:rPr>
          <w:rFonts w:ascii="宋体" w:eastAsia="宋体" w:hAnsi="宋体" w:hint="eastAsia"/>
          <w:szCs w:val="24"/>
        </w:rPr>
        <w:t>2、会计数据和财务指标的核对</w:t>
      </w:r>
    </w:p>
    <w:p w:rsidR="0086656C" w:rsidRDefault="00C12A9E">
      <w:pPr>
        <w:pStyle w:val="30"/>
        <w:spacing w:before="100" w:beforeAutospacing="1" w:after="100" w:afterAutospacing="1" w:line="400" w:lineRule="exact"/>
        <w:ind w:left="0" w:right="26" w:firstLine="403"/>
        <w:rPr>
          <w:rFonts w:ascii="宋体" w:eastAsia="宋体" w:hAnsi="宋体"/>
          <w:szCs w:val="24"/>
        </w:rPr>
      </w:pPr>
      <w:r>
        <w:rPr>
          <w:rFonts w:ascii="宋体" w:eastAsia="宋体" w:hAnsi="宋体" w:hint="eastAsia"/>
          <w:szCs w:val="24"/>
        </w:rPr>
        <w:t>基金管理人和基金托管人应定期就会计数据和财务指标进行核对。如发现存在不符，双方应及时查明原因并纠正。</w:t>
      </w:r>
    </w:p>
    <w:p w:rsidR="0086656C" w:rsidRDefault="00C12A9E">
      <w:pPr>
        <w:pStyle w:val="30"/>
        <w:spacing w:before="100" w:beforeAutospacing="1" w:after="100" w:afterAutospacing="1" w:line="400" w:lineRule="exact"/>
        <w:ind w:left="0" w:right="26" w:firstLine="403"/>
        <w:rPr>
          <w:rFonts w:ascii="宋体" w:eastAsia="宋体" w:hAnsi="宋体"/>
          <w:szCs w:val="24"/>
        </w:rPr>
      </w:pPr>
      <w:r>
        <w:rPr>
          <w:rFonts w:ascii="宋体" w:eastAsia="宋体" w:hAnsi="宋体" w:hint="eastAsia"/>
          <w:szCs w:val="24"/>
        </w:rPr>
        <w:t>3、基金财务报表和定期报告的编制和复核</w:t>
      </w:r>
    </w:p>
    <w:p w:rsidR="0086656C" w:rsidRDefault="00C12A9E">
      <w:pPr>
        <w:pStyle w:val="30"/>
        <w:spacing w:before="100" w:beforeAutospacing="1" w:after="100" w:afterAutospacing="1" w:line="400" w:lineRule="exact"/>
        <w:ind w:left="0" w:right="26" w:firstLine="403"/>
        <w:rPr>
          <w:rFonts w:ascii="宋体" w:eastAsia="宋体" w:hAnsi="宋体"/>
          <w:szCs w:val="24"/>
        </w:rPr>
      </w:pPr>
      <w:r>
        <w:rPr>
          <w:rFonts w:ascii="宋体" w:eastAsia="宋体" w:hAnsi="宋体" w:hint="eastAsia"/>
          <w:szCs w:val="24"/>
        </w:rPr>
        <w:t>基金财务报表由基金管理人和基金托管人每月分别独立编制。月度报表的编制，应于每月终了后5个工作日内完成；《基金合同》生效后，招募说明书的信息发生重大变更的，基金管理人应当在三个工作日内，更新招募说明书并登载在指定网站上。招募说明书其他信息发生变更的，基金管理人至少每年更新一次；基金产品资料概要的信息发生重大变更的，基金管理人应当在三个工作日内，更</w:t>
      </w:r>
      <w:r>
        <w:rPr>
          <w:rFonts w:ascii="宋体" w:eastAsia="宋体" w:hAnsi="宋体" w:hint="eastAsia"/>
          <w:szCs w:val="24"/>
        </w:rPr>
        <w:lastRenderedPageBreak/>
        <w:t>新基金产品资料概要并登载在指定网站及基金销售机构网站或营业网点。基金产品资料概要其他信息发生变更的，基金管理人至少每年更新一次。基金终止运作的，基金管理人不再更新招募说明书和基金产品资料概要。基金管理人应当在每年结束之日起三个月内，编制完成基金年度报告，将年度报告登载在指定网站上，并将年度报告提示性公告登载在指定报刊上。基金管理人应当在上半年结束之日起两个月内，编制完成基金中期报告，将中期报告登载在指定网站上，并将中期报告提示性公告登载在指定报刊上。基金管理人应当在季度结束之日起15个工作日内，编制完成基金季度报告，将季度报告登载在指定网站上，并将季度报告提示性公告登载在指定报刊上。基金合同生效不足两个月的，基金管理人可以不编制当期季度报告、半年度报告或者年度报告。</w:t>
      </w:r>
    </w:p>
    <w:p w:rsidR="0086656C" w:rsidRDefault="00C12A9E">
      <w:pPr>
        <w:pStyle w:val="30"/>
        <w:spacing w:before="100" w:beforeAutospacing="1" w:after="100" w:afterAutospacing="1" w:line="400" w:lineRule="exact"/>
        <w:ind w:left="0" w:right="26" w:firstLine="403"/>
        <w:rPr>
          <w:rFonts w:ascii="宋体" w:eastAsia="宋体" w:hAnsi="宋体"/>
          <w:szCs w:val="24"/>
        </w:rPr>
      </w:pPr>
      <w:r>
        <w:rPr>
          <w:rFonts w:ascii="宋体" w:eastAsia="宋体" w:hAnsi="宋体" w:hint="eastAsia"/>
          <w:szCs w:val="24"/>
        </w:rPr>
        <w:t>基金托管人在复核过程中，发现双方的报表存在不符时，基金管理人和基金托管人应共同查明原因，进行调整，调整以双方认可的账务处理方式为准；若双方无法达成一致以基金管理人的账务处理为准。核对无误后，基金托管人在基金管理人提供的报告上加盖托管业务部门公章或者出具加盖托管业务部门公章的复核意见书或进行电子确认，双方各自留存一份。如果基金管理人与基金托管人不能于应当发布公告之日之前就相关报表达成一致，基金管理人有权按照其编制的报表对外发布公告，基金托管人有权就相关情况报证监会备案。</w:t>
      </w:r>
    </w:p>
    <w:p w:rsidR="002161A4" w:rsidRPr="002161A4" w:rsidRDefault="002161A4" w:rsidP="002161A4">
      <w:pPr>
        <w:pStyle w:val="30"/>
        <w:spacing w:before="100" w:beforeAutospacing="1" w:after="100" w:afterAutospacing="1" w:line="400" w:lineRule="exact"/>
        <w:ind w:right="26" w:firstLine="403"/>
        <w:rPr>
          <w:rFonts w:ascii="宋体" w:eastAsia="宋体" w:hAnsi="宋体"/>
          <w:szCs w:val="24"/>
        </w:rPr>
      </w:pPr>
      <w:r>
        <w:rPr>
          <w:rFonts w:ascii="宋体" w:eastAsia="宋体" w:hAnsi="宋体" w:hint="eastAsia"/>
          <w:szCs w:val="24"/>
        </w:rPr>
        <w:t>（三</w:t>
      </w:r>
      <w:r w:rsidRPr="002161A4">
        <w:rPr>
          <w:rFonts w:ascii="宋体" w:eastAsia="宋体" w:hAnsi="宋体" w:hint="eastAsia"/>
          <w:szCs w:val="24"/>
        </w:rPr>
        <w:t>）实施侧袋机制期间的基金资产估值</w:t>
      </w:r>
    </w:p>
    <w:p w:rsidR="002161A4" w:rsidRDefault="002161A4" w:rsidP="002161A4">
      <w:pPr>
        <w:pStyle w:val="30"/>
        <w:spacing w:before="100" w:beforeAutospacing="1" w:after="100" w:afterAutospacing="1" w:line="400" w:lineRule="exact"/>
        <w:ind w:left="0" w:right="26" w:firstLine="403"/>
        <w:rPr>
          <w:rFonts w:ascii="宋体" w:eastAsia="宋体" w:hAnsi="宋体"/>
          <w:szCs w:val="24"/>
        </w:rPr>
      </w:pPr>
      <w:r w:rsidRPr="002161A4">
        <w:rPr>
          <w:rFonts w:ascii="宋体" w:eastAsia="宋体" w:hAnsi="宋体" w:hint="eastAsia"/>
          <w:szCs w:val="24"/>
        </w:rPr>
        <w:t>本基金实施侧袋机制的，应根据本部分的约定对主袋账户资产进行估值并披露主袋账户的基金资产净值和份额净值，暂停披露侧袋账户份额净值。</w:t>
      </w:r>
    </w:p>
    <w:p w:rsidR="0086656C" w:rsidRDefault="0086656C">
      <w:pPr>
        <w:pStyle w:val="30"/>
        <w:spacing w:before="100" w:beforeAutospacing="1" w:after="100" w:afterAutospacing="1" w:line="400" w:lineRule="exact"/>
        <w:ind w:left="0" w:right="26" w:firstLine="403"/>
        <w:rPr>
          <w:rFonts w:ascii="宋体" w:eastAsia="宋体" w:hAnsi="宋体"/>
          <w:szCs w:val="24"/>
        </w:rPr>
      </w:pPr>
    </w:p>
    <w:p w:rsidR="0086656C" w:rsidRDefault="00C12A9E">
      <w:pPr>
        <w:pStyle w:val="1"/>
        <w:spacing w:before="100" w:beforeAutospacing="1" w:after="100" w:afterAutospacing="1" w:line="400" w:lineRule="exact"/>
        <w:ind w:firstLine="422"/>
        <w:rPr>
          <w:rFonts w:ascii="宋体" w:hAnsi="宋体"/>
          <w:sz w:val="24"/>
          <w:szCs w:val="24"/>
        </w:rPr>
      </w:pPr>
      <w:bookmarkStart w:id="11" w:name="_Toc116900104"/>
      <w:r>
        <w:rPr>
          <w:rFonts w:ascii="宋体" w:hAnsi="宋体" w:hint="eastAsia"/>
          <w:sz w:val="24"/>
          <w:szCs w:val="24"/>
        </w:rPr>
        <w:t>九、基金收益分配</w:t>
      </w:r>
      <w:bookmarkEnd w:id="11"/>
    </w:p>
    <w:p w:rsidR="0086656C" w:rsidRDefault="00C12A9E">
      <w:pPr>
        <w:pStyle w:val="30"/>
        <w:spacing w:before="100" w:beforeAutospacing="1" w:after="100" w:afterAutospacing="1" w:line="400" w:lineRule="exact"/>
        <w:ind w:left="0" w:right="26" w:firstLine="403"/>
        <w:rPr>
          <w:rFonts w:ascii="宋体" w:eastAsia="宋体" w:hAnsi="宋体"/>
          <w:szCs w:val="24"/>
        </w:rPr>
      </w:pPr>
      <w:r>
        <w:rPr>
          <w:rFonts w:ascii="宋体" w:eastAsia="宋体" w:hAnsi="宋体" w:hint="eastAsia"/>
          <w:szCs w:val="24"/>
        </w:rPr>
        <w:t>（一）基金收益分配的依据</w:t>
      </w:r>
    </w:p>
    <w:p w:rsidR="0086656C" w:rsidRDefault="00C12A9E">
      <w:pPr>
        <w:pStyle w:val="30"/>
        <w:spacing w:before="100" w:beforeAutospacing="1" w:after="100" w:afterAutospacing="1" w:line="400" w:lineRule="exact"/>
        <w:ind w:left="0" w:right="26" w:firstLine="403"/>
        <w:rPr>
          <w:rFonts w:ascii="宋体" w:eastAsia="宋体" w:hAnsi="宋体"/>
          <w:szCs w:val="24"/>
        </w:rPr>
      </w:pPr>
      <w:r>
        <w:rPr>
          <w:rFonts w:ascii="宋体" w:eastAsia="宋体" w:hAnsi="宋体" w:hint="eastAsia"/>
          <w:szCs w:val="24"/>
        </w:rPr>
        <w:t>1、基金收益分配是指将该基金期末可供分配利润根据持有该基金份额的数量按比例向该基金份额持有人进行分配。期末可供分配利润采用期末资产负债表中未分配利润与未分配利润中已实现部分的孰低数。</w:t>
      </w:r>
    </w:p>
    <w:p w:rsidR="0086656C" w:rsidRDefault="00C12A9E">
      <w:pPr>
        <w:pStyle w:val="30"/>
        <w:spacing w:before="100" w:beforeAutospacing="1" w:after="100" w:afterAutospacing="1" w:line="400" w:lineRule="exact"/>
        <w:ind w:left="0" w:right="26" w:firstLine="403"/>
        <w:rPr>
          <w:rFonts w:ascii="宋体" w:eastAsia="宋体" w:hAnsi="宋体"/>
          <w:szCs w:val="24"/>
        </w:rPr>
      </w:pPr>
      <w:r>
        <w:rPr>
          <w:rFonts w:ascii="宋体" w:eastAsia="宋体" w:hAnsi="宋体" w:hint="eastAsia"/>
          <w:szCs w:val="24"/>
        </w:rPr>
        <w:t>2、收益分配应该符合《基金合同》关于收益分配原则的规定。</w:t>
      </w:r>
    </w:p>
    <w:p w:rsidR="0086656C" w:rsidRDefault="00C12A9E">
      <w:pPr>
        <w:pStyle w:val="30"/>
        <w:spacing w:before="100" w:beforeAutospacing="1" w:after="100" w:afterAutospacing="1" w:line="400" w:lineRule="exact"/>
        <w:ind w:left="0" w:right="26" w:firstLine="403"/>
        <w:rPr>
          <w:rFonts w:ascii="宋体" w:eastAsia="宋体" w:hAnsi="宋体"/>
          <w:szCs w:val="24"/>
        </w:rPr>
      </w:pPr>
      <w:r>
        <w:rPr>
          <w:rFonts w:ascii="宋体" w:eastAsia="宋体" w:hAnsi="宋体" w:hint="eastAsia"/>
          <w:szCs w:val="24"/>
        </w:rPr>
        <w:t>（二）基金收益分配的时间和程序</w:t>
      </w:r>
    </w:p>
    <w:p w:rsidR="0086656C" w:rsidRDefault="00C12A9E">
      <w:pPr>
        <w:pStyle w:val="30"/>
        <w:spacing w:before="100" w:beforeAutospacing="1" w:after="100" w:afterAutospacing="1" w:line="400" w:lineRule="exact"/>
        <w:ind w:left="0" w:right="26" w:firstLine="403"/>
        <w:rPr>
          <w:rFonts w:ascii="宋体" w:eastAsia="宋体" w:hAnsi="宋体"/>
          <w:szCs w:val="24"/>
        </w:rPr>
      </w:pPr>
      <w:r>
        <w:rPr>
          <w:rFonts w:ascii="宋体" w:eastAsia="宋体" w:hAnsi="宋体" w:hint="eastAsia"/>
          <w:szCs w:val="24"/>
        </w:rPr>
        <w:lastRenderedPageBreak/>
        <w:t>1、基金收益分配方案由基金管理人根据《基金合同》的相关规定制定。</w:t>
      </w:r>
    </w:p>
    <w:p w:rsidR="0086656C" w:rsidRDefault="00C12A9E">
      <w:pPr>
        <w:pStyle w:val="30"/>
        <w:spacing w:before="100" w:beforeAutospacing="1" w:after="100" w:afterAutospacing="1" w:line="400" w:lineRule="exact"/>
        <w:ind w:left="0" w:right="26" w:firstLine="403"/>
        <w:rPr>
          <w:rFonts w:ascii="宋体" w:eastAsia="宋体" w:hAnsi="宋体"/>
          <w:szCs w:val="24"/>
        </w:rPr>
      </w:pPr>
      <w:r>
        <w:rPr>
          <w:rFonts w:ascii="宋体" w:eastAsia="宋体" w:hAnsi="宋体" w:hint="eastAsia"/>
          <w:szCs w:val="24"/>
        </w:rPr>
        <w:t>2、基金管理人应于收益分配日之前将其制定的收益分配方案提交基金托管人复核，基金托管人应于收到收益分配方案后完成对收益分配方案的复核，并将复核意见书面通知基金管理人，复核通过后基金管理人应当按照《信息披露办法》的有关规定在指定媒介公告；如果基金管理人与基金托管人不能于收益分配日之前就收益分配方案达成一致，基金托管人有义务将收益分配方案及相关情况的说明提交中国证监会备案并书面通知基金管理人，在上述文件提交完毕之日起基金管理人有权利对外公告其拟订的收益分配方案，且基金托管人有义务协助基金管理人实施该收益分配方案，但有证据证明该方案违反法律法规及《基金合同》的除外。</w:t>
      </w:r>
    </w:p>
    <w:p w:rsidR="0086656C" w:rsidRDefault="00C12A9E">
      <w:pPr>
        <w:pStyle w:val="30"/>
        <w:spacing w:before="100" w:beforeAutospacing="1" w:after="100" w:afterAutospacing="1" w:line="400" w:lineRule="exact"/>
        <w:ind w:left="0" w:right="26" w:firstLine="403"/>
        <w:rPr>
          <w:rFonts w:ascii="宋体" w:eastAsia="宋体" w:hAnsi="宋体"/>
          <w:szCs w:val="24"/>
        </w:rPr>
      </w:pPr>
      <w:r>
        <w:rPr>
          <w:rFonts w:ascii="宋体" w:eastAsia="宋体" w:hAnsi="宋体" w:hint="eastAsia"/>
          <w:szCs w:val="24"/>
        </w:rPr>
        <w:t>3、基金收益分配可采用现金红利的方式，或者将现金红利按除息日的该基金份额净值自动转为基金份额进行再投资的方式（下称“再投资方式”），投资者可以选择两种方式中的一种；如果投资者没有明示选择，则视为选择现金红利的方式处理。</w:t>
      </w:r>
    </w:p>
    <w:p w:rsidR="0086656C" w:rsidRDefault="00C12A9E">
      <w:pPr>
        <w:pStyle w:val="30"/>
        <w:spacing w:before="100" w:beforeAutospacing="1" w:after="100" w:afterAutospacing="1" w:line="400" w:lineRule="exact"/>
        <w:ind w:left="0" w:right="26" w:firstLine="403"/>
        <w:rPr>
          <w:rFonts w:ascii="宋体" w:eastAsia="宋体" w:hAnsi="宋体"/>
          <w:szCs w:val="24"/>
        </w:rPr>
      </w:pPr>
      <w:r>
        <w:rPr>
          <w:rFonts w:ascii="宋体" w:eastAsia="宋体" w:hAnsi="宋体" w:hint="eastAsia"/>
          <w:szCs w:val="24"/>
        </w:rPr>
        <w:t>4、基金托管人根据基金管理人的收益分配方案和提供的现金红利金额的数据，在红利发放日将分红资金划入基金管理人指定账户。如果投资者选择转购基金份额，基金管理人和基金托管人则应当进行红利再投资的账务处理。</w:t>
      </w:r>
    </w:p>
    <w:p w:rsidR="002161A4" w:rsidRPr="002161A4" w:rsidRDefault="002161A4" w:rsidP="002161A4">
      <w:pPr>
        <w:pStyle w:val="30"/>
        <w:spacing w:before="100" w:beforeAutospacing="1" w:after="100" w:afterAutospacing="1" w:line="400" w:lineRule="exact"/>
        <w:ind w:right="26" w:firstLine="403"/>
        <w:rPr>
          <w:rFonts w:ascii="宋体" w:eastAsia="宋体" w:hAnsi="宋体"/>
          <w:szCs w:val="24"/>
        </w:rPr>
      </w:pPr>
      <w:r w:rsidRPr="002161A4">
        <w:rPr>
          <w:rFonts w:ascii="宋体" w:eastAsia="宋体" w:hAnsi="宋体" w:hint="eastAsia"/>
          <w:szCs w:val="24"/>
        </w:rPr>
        <w:t>（三）实施侧袋机制期间的收益分配</w:t>
      </w:r>
    </w:p>
    <w:p w:rsidR="002161A4" w:rsidRDefault="002161A4" w:rsidP="002161A4">
      <w:pPr>
        <w:pStyle w:val="30"/>
        <w:spacing w:before="100" w:beforeAutospacing="1" w:after="100" w:afterAutospacing="1" w:line="400" w:lineRule="exact"/>
        <w:ind w:left="0" w:right="26" w:firstLine="403"/>
        <w:rPr>
          <w:rFonts w:ascii="宋体" w:eastAsia="宋体" w:hAnsi="宋体"/>
          <w:szCs w:val="24"/>
        </w:rPr>
      </w:pPr>
      <w:r w:rsidRPr="002161A4">
        <w:rPr>
          <w:rFonts w:ascii="宋体" w:eastAsia="宋体" w:hAnsi="宋体" w:hint="eastAsia"/>
          <w:szCs w:val="24"/>
        </w:rPr>
        <w:t>本基金实施侧袋机制的，侧袋账户不进行收益分配。</w:t>
      </w:r>
    </w:p>
    <w:p w:rsidR="0086656C" w:rsidRDefault="0086656C">
      <w:pPr>
        <w:pStyle w:val="30"/>
        <w:spacing w:before="100" w:beforeAutospacing="1" w:after="100" w:afterAutospacing="1" w:line="400" w:lineRule="exact"/>
        <w:ind w:left="0" w:right="26" w:firstLine="403"/>
        <w:rPr>
          <w:rFonts w:ascii="宋体" w:eastAsia="宋体" w:hAnsi="宋体"/>
          <w:szCs w:val="24"/>
        </w:rPr>
      </w:pPr>
    </w:p>
    <w:p w:rsidR="0086656C" w:rsidRDefault="00C12A9E">
      <w:pPr>
        <w:pStyle w:val="1"/>
        <w:spacing w:before="100" w:beforeAutospacing="1" w:after="100" w:afterAutospacing="1" w:line="400" w:lineRule="exact"/>
        <w:ind w:firstLine="422"/>
        <w:rPr>
          <w:rFonts w:ascii="宋体" w:hAnsi="宋体"/>
          <w:sz w:val="24"/>
          <w:szCs w:val="24"/>
        </w:rPr>
      </w:pPr>
      <w:bookmarkStart w:id="12" w:name="_Hlt82414846"/>
      <w:bookmarkStart w:id="13" w:name="_Toc116900105"/>
      <w:bookmarkEnd w:id="12"/>
      <w:r>
        <w:rPr>
          <w:rFonts w:ascii="宋体" w:hAnsi="宋体" w:hint="eastAsia"/>
          <w:sz w:val="24"/>
          <w:szCs w:val="24"/>
        </w:rPr>
        <w:t>十、基金信息披露</w:t>
      </w:r>
      <w:bookmarkEnd w:id="13"/>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（一）保密义务</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基金管理人和基金托管人除为履行法律法规、《流动性风险管理规定》、《基金合同》及本协议规定的义务所必要之外，不得为其他目的使用、利用其所知悉的基金的信息，并且应当将基金的信息限制在为履行前述义务而需要了解该信息的职员范围之内。但是，如下情况不应视为基金管理人或基金托管人违反保密义务：</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lastRenderedPageBreak/>
        <w:t>1、非因基金管理人和基金托管人的原因导致保密信息被披露、泄露或公开；</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2、基金管理人和基金托管人为遵守和服从法院判决、仲裁裁决或中国证监会等监管机构的命令、决定所做出的信息披露或公开。</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3、因审计、法律等专业服务向外部专业顾问提供信息，并要求专业顾问遵守保密义务。</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（二）基金管理人和基金托管人在信息披露中的职责和信息披露程序</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1、基金管理人和基金托管人应根据相关法律法规、《基金合同》的规定各自承担相应的信息披露职责。基金管理人和基金托管人负有积极配合、互相督促、彼此监督，保证其履行按照法定方式和时限披露的义务。</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2、本基金信息披露的所有文件，包括《基金合同》和本协议规定的定期报告、临时报告、基金产品资料概要、基金净值信息公告及其他必要的公告文件，由基金管理人和基金托管人按照有关法律法规的规定予以公布。</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3、基金年度报告中的财务会计报告必须经具有从事证券、</w:t>
      </w:r>
      <w:r>
        <w:rPr>
          <w:rFonts w:ascii="宋体" w:eastAsia="宋体"/>
          <w:color w:val="auto"/>
          <w:sz w:val="24"/>
        </w:rPr>
        <w:t>期货</w:t>
      </w:r>
      <w:r>
        <w:rPr>
          <w:rFonts w:ascii="宋体" w:eastAsia="宋体" w:hint="eastAsia"/>
          <w:color w:val="auto"/>
          <w:sz w:val="24"/>
        </w:rPr>
        <w:t>相关业务资格的会计师事务所审计。</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4、本基金的信息披露，应通过中国证监会指定的全国性报刊（以下简称“指定报刊”）和基金管理人的互联网网站（以下简称“网站”）等媒介进行；基金管理人、基金托管人可以根据需要在其他公共媒介披露信息，但是其他公共媒介不得早于指定报刊和网站披露信息，并且在不同媒介上披露同一信息的内容应当一致。</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5、信息文本的存放与备查</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依法必须披露的信息发布后，基金管理人、基金托管人应当按照相关法律法规规定将信息置备于公司住所，供社会公众查阅、复制。</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基金管理人和基金托管人应保证文本的内容与所公告的内容完全一致。</w:t>
      </w:r>
    </w:p>
    <w:p w:rsidR="0086656C" w:rsidRDefault="00C12A9E">
      <w:pPr>
        <w:adjustRightInd w:val="0"/>
        <w:snapToGrid w:val="0"/>
        <w:spacing w:before="100" w:beforeAutospacing="1" w:after="100" w:afterAutospacing="1" w:line="400" w:lineRule="exact"/>
        <w:ind w:firstLineChars="200" w:firstLine="480"/>
        <w:rPr>
          <w:rFonts w:ascii="宋体" w:hAnsi="宋体"/>
          <w:sz w:val="24"/>
        </w:rPr>
      </w:pPr>
      <w:r>
        <w:rPr>
          <w:rFonts w:ascii="宋体" w:hAnsi="宋体" w:hint="eastAsia"/>
          <w:sz w:val="24"/>
        </w:rPr>
        <w:t>6、</w:t>
      </w:r>
      <w:r>
        <w:rPr>
          <w:rFonts w:ascii="宋体" w:hAnsi="宋体" w:cs="方正仿宋简体" w:hint="eastAsia"/>
          <w:sz w:val="24"/>
        </w:rPr>
        <w:t>对于因不可抗力等原因导致基金信息的暂停或延迟披露的（如暂停披露基金净值</w:t>
      </w:r>
      <w:r>
        <w:rPr>
          <w:rFonts w:ascii="宋体" w:hAnsi="宋体" w:cs="方正仿宋简体"/>
          <w:sz w:val="24"/>
        </w:rPr>
        <w:t>信息</w:t>
      </w:r>
      <w:r>
        <w:rPr>
          <w:rFonts w:ascii="宋体" w:hAnsi="宋体" w:cs="方正仿宋简体" w:hint="eastAsia"/>
          <w:sz w:val="24"/>
        </w:rPr>
        <w:t>），基金管理人应及时向中国证监会报告，并与基金托管人协商采取补救措施。不可抗力等情形消失后，基金管理人和基金托管人应及时恢复办理信息披露。</w:t>
      </w:r>
    </w:p>
    <w:p w:rsidR="0086656C" w:rsidRDefault="00C12A9E">
      <w:pPr>
        <w:pStyle w:val="a6"/>
        <w:spacing w:before="100" w:beforeAutospacing="1" w:after="100" w:afterAutospacing="1"/>
        <w:ind w:firstLineChars="200" w:firstLine="480"/>
        <w:rPr>
          <w:rFonts w:ascii="宋体" w:eastAsia="宋体" w:cs="方正仿宋简体"/>
          <w:color w:val="auto"/>
          <w:sz w:val="24"/>
        </w:rPr>
      </w:pPr>
      <w:r>
        <w:rPr>
          <w:rFonts w:ascii="宋体" w:eastAsia="宋体" w:cs="方正仿宋简体" w:hint="eastAsia"/>
          <w:color w:val="auto"/>
          <w:sz w:val="24"/>
        </w:rPr>
        <w:lastRenderedPageBreak/>
        <w:t>（三）基金托管人报告</w:t>
      </w:r>
    </w:p>
    <w:p w:rsidR="0086656C" w:rsidRDefault="00C12A9E">
      <w:pPr>
        <w:pStyle w:val="a6"/>
        <w:spacing w:before="100" w:beforeAutospacing="1" w:after="100" w:afterAutospacing="1"/>
        <w:ind w:firstLineChars="200" w:firstLine="480"/>
        <w:rPr>
          <w:rFonts w:ascii="宋体" w:eastAsia="宋体" w:cs="方正仿宋简体"/>
          <w:color w:val="auto"/>
          <w:sz w:val="24"/>
        </w:rPr>
      </w:pPr>
      <w:r>
        <w:rPr>
          <w:rFonts w:ascii="宋体" w:eastAsia="宋体" w:cs="方正仿宋简体" w:hint="eastAsia"/>
          <w:color w:val="auto"/>
          <w:sz w:val="24"/>
        </w:rPr>
        <w:t>基金托管人应按《基金法》、《运作办法》、《信息披露办法》和其他有关法律法规的规定于每个上半年度结束后两个月内、每个会计年度结束后三个月内在基金中期报告及年度报告中分别出具托管人报告。</w:t>
      </w:r>
    </w:p>
    <w:p w:rsidR="0086656C" w:rsidRDefault="0086656C">
      <w:pPr>
        <w:pStyle w:val="a6"/>
        <w:spacing w:before="100" w:beforeAutospacing="1" w:after="100" w:afterAutospacing="1"/>
        <w:ind w:firstLine="461"/>
        <w:rPr>
          <w:rFonts w:ascii="宋体" w:eastAsia="宋体"/>
          <w:color w:val="auto"/>
          <w:sz w:val="24"/>
        </w:rPr>
      </w:pPr>
    </w:p>
    <w:p w:rsidR="0086656C" w:rsidRDefault="00C12A9E">
      <w:pPr>
        <w:pStyle w:val="1"/>
        <w:spacing w:before="100" w:beforeAutospacing="1" w:after="100" w:afterAutospacing="1" w:line="400" w:lineRule="exact"/>
        <w:ind w:firstLine="422"/>
        <w:rPr>
          <w:rFonts w:ascii="宋体" w:hAnsi="宋体"/>
          <w:sz w:val="24"/>
          <w:szCs w:val="24"/>
        </w:rPr>
      </w:pPr>
      <w:bookmarkStart w:id="14" w:name="_Toc116900106"/>
      <w:r>
        <w:rPr>
          <w:rFonts w:ascii="宋体" w:hAnsi="宋体" w:hint="eastAsia"/>
          <w:sz w:val="24"/>
          <w:szCs w:val="24"/>
        </w:rPr>
        <w:t>十一、基金费用</w:t>
      </w:r>
    </w:p>
    <w:p w:rsidR="0086656C" w:rsidRDefault="00C12A9E">
      <w:pPr>
        <w:spacing w:before="100" w:beforeAutospacing="1" w:after="100" w:afterAutospacing="1" w:line="400" w:lineRule="exact"/>
        <w:ind w:right="26" w:firstLine="403"/>
        <w:rPr>
          <w:rFonts w:ascii="宋体" w:hAnsi="宋体"/>
          <w:sz w:val="24"/>
        </w:rPr>
      </w:pPr>
      <w:r>
        <w:rPr>
          <w:rFonts w:ascii="宋体" w:hAnsi="宋体" w:hint="eastAsia"/>
          <w:sz w:val="24"/>
        </w:rPr>
        <w:t>（一）基金管理人的管理费</w:t>
      </w:r>
    </w:p>
    <w:p w:rsidR="0086656C" w:rsidRDefault="00C12A9E">
      <w:pPr>
        <w:spacing w:before="100" w:beforeAutospacing="1" w:after="100" w:afterAutospacing="1" w:line="400" w:lineRule="exact"/>
        <w:ind w:right="26" w:firstLine="403"/>
        <w:rPr>
          <w:rFonts w:ascii="宋体" w:hAnsi="宋体"/>
          <w:sz w:val="24"/>
        </w:rPr>
      </w:pPr>
      <w:r>
        <w:rPr>
          <w:rFonts w:ascii="宋体" w:hAnsi="宋体" w:hint="eastAsia"/>
          <w:sz w:val="24"/>
        </w:rPr>
        <w:t>本基金的管理费按前一日基金资产净值的1.50%年费率计提。管理费的计算方法如下：</w:t>
      </w:r>
    </w:p>
    <w:p w:rsidR="0086656C" w:rsidRDefault="00C12A9E">
      <w:pPr>
        <w:spacing w:before="100" w:beforeAutospacing="1" w:after="100" w:afterAutospacing="1" w:line="400" w:lineRule="exact"/>
        <w:ind w:right="26" w:firstLine="403"/>
        <w:rPr>
          <w:rFonts w:ascii="宋体" w:hAnsi="宋体"/>
          <w:sz w:val="24"/>
        </w:rPr>
      </w:pPr>
      <w:r>
        <w:rPr>
          <w:rFonts w:ascii="宋体" w:hAnsi="宋体" w:hint="eastAsia"/>
          <w:sz w:val="24"/>
        </w:rPr>
        <w:t>H＝E×1.50%÷当年天数</w:t>
      </w:r>
    </w:p>
    <w:p w:rsidR="0086656C" w:rsidRDefault="00C12A9E">
      <w:pPr>
        <w:spacing w:before="100" w:beforeAutospacing="1" w:after="100" w:afterAutospacing="1" w:line="400" w:lineRule="exact"/>
        <w:ind w:right="26" w:firstLine="403"/>
        <w:rPr>
          <w:rFonts w:ascii="宋体" w:hAnsi="宋体"/>
          <w:sz w:val="24"/>
        </w:rPr>
      </w:pPr>
      <w:r>
        <w:rPr>
          <w:rFonts w:ascii="宋体" w:hAnsi="宋体" w:hint="eastAsia"/>
          <w:sz w:val="24"/>
        </w:rPr>
        <w:t>H为每日应计提的基金管理费</w:t>
      </w:r>
    </w:p>
    <w:p w:rsidR="0086656C" w:rsidRDefault="00C12A9E">
      <w:pPr>
        <w:spacing w:before="100" w:beforeAutospacing="1" w:after="100" w:afterAutospacing="1" w:line="400" w:lineRule="exact"/>
        <w:ind w:right="26" w:firstLine="403"/>
        <w:rPr>
          <w:rFonts w:ascii="宋体" w:hAnsi="宋体"/>
          <w:sz w:val="24"/>
        </w:rPr>
      </w:pPr>
      <w:r>
        <w:rPr>
          <w:rFonts w:ascii="宋体" w:hAnsi="宋体" w:hint="eastAsia"/>
          <w:sz w:val="24"/>
        </w:rPr>
        <w:t>E为前一日的基金资产净值</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基金管理费每日计提，逐日累计至每个月月末，按月支付。由基金托管人根据与基金管理人核对一致的财务数据，自动在次月初五个工作日内、按照指定的账户路径进行资金支付，基金管理人无需再出具资金划拨指令。若遇法定节假日、休息日或不可抗力致使无法按时支付等，支付日期顺延。</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（二）基金托管人的托管费</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本基金的托管费按前一日基金资产净值的0.25%的年费率计提。托管费的计算方法如下：</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H＝E×0.25%÷当年天数</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H为每日应计提的基金托管费</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E为前一日的基金资产净值</w:t>
      </w:r>
    </w:p>
    <w:p w:rsidR="0086656C" w:rsidRDefault="00C12A9E">
      <w:pPr>
        <w:spacing w:before="100" w:beforeAutospacing="1" w:after="100" w:afterAutospacing="1" w:line="400" w:lineRule="exact"/>
        <w:ind w:firstLine="420"/>
        <w:rPr>
          <w:rFonts w:ascii="宋体" w:hAnsi="宋体"/>
          <w:sz w:val="24"/>
        </w:rPr>
      </w:pPr>
      <w:r>
        <w:rPr>
          <w:rFonts w:ascii="宋体" w:hAnsi="宋体" w:hint="eastAsia"/>
          <w:sz w:val="24"/>
        </w:rPr>
        <w:t>基金托管费每日计提，逐日累计至每个月月末，按月支付。由基金托管人根据与基金管理人核对一致的财务数据，自动在次月初五个工作日内、按照指定的</w:t>
      </w:r>
      <w:r>
        <w:rPr>
          <w:rFonts w:ascii="宋体" w:hAnsi="宋体" w:hint="eastAsia"/>
          <w:sz w:val="24"/>
        </w:rPr>
        <w:lastRenderedPageBreak/>
        <w:t>账户路径进行资金支付，基金管理人无需再出具资金划拨指令。若遇法定节假日、休息日或不可抗力致使无法按时支付等，支付日期顺延。</w:t>
      </w:r>
    </w:p>
    <w:p w:rsidR="0086656C" w:rsidRDefault="00C12A9E">
      <w:pPr>
        <w:spacing w:before="100" w:beforeAutospacing="1" w:after="100" w:afterAutospacing="1" w:line="400" w:lineRule="exact"/>
        <w:ind w:firstLine="420"/>
        <w:rPr>
          <w:rFonts w:ascii="宋体" w:hAnsi="宋体"/>
          <w:sz w:val="24"/>
        </w:rPr>
      </w:pPr>
      <w:r>
        <w:rPr>
          <w:rFonts w:ascii="宋体" w:hAnsi="宋体" w:hint="eastAsia"/>
          <w:sz w:val="24"/>
        </w:rPr>
        <w:t>基金托管费为包含增值税的含税价款。</w:t>
      </w:r>
    </w:p>
    <w:p w:rsidR="0086656C" w:rsidRDefault="00C12A9E">
      <w:pPr>
        <w:spacing w:before="100" w:beforeAutospacing="1" w:after="100" w:afterAutospacing="1" w:line="400" w:lineRule="exact"/>
        <w:ind w:firstLine="420"/>
        <w:rPr>
          <w:rFonts w:ascii="宋体" w:hAnsi="宋体"/>
          <w:sz w:val="24"/>
        </w:rPr>
      </w:pPr>
      <w:r>
        <w:rPr>
          <w:rFonts w:ascii="宋体" w:hAnsi="宋体" w:hint="eastAsia"/>
          <w:sz w:val="24"/>
        </w:rPr>
        <w:t>（</w:t>
      </w:r>
      <w:r>
        <w:rPr>
          <w:rFonts w:ascii="宋体" w:hAnsi="宋体"/>
          <w:sz w:val="24"/>
        </w:rPr>
        <w:t>三）</w:t>
      </w:r>
      <w:r>
        <w:rPr>
          <w:rFonts w:ascii="宋体" w:hAnsi="宋体" w:hint="eastAsia"/>
          <w:sz w:val="24"/>
        </w:rPr>
        <w:t>销售服务费</w:t>
      </w:r>
    </w:p>
    <w:p w:rsidR="0086656C" w:rsidRDefault="00C12A9E">
      <w:pPr>
        <w:spacing w:before="100" w:beforeAutospacing="1" w:after="100" w:afterAutospacing="1" w:line="400" w:lineRule="exact"/>
        <w:ind w:firstLine="420"/>
        <w:rPr>
          <w:rFonts w:ascii="宋体" w:hAnsi="宋体"/>
          <w:sz w:val="24"/>
        </w:rPr>
      </w:pPr>
      <w:r>
        <w:rPr>
          <w:rFonts w:ascii="宋体" w:hAnsi="宋体" w:hint="eastAsia"/>
          <w:sz w:val="24"/>
        </w:rPr>
        <w:t>本基金A类基金份额不收取销售服务费，C类基金份额的销售服务费按前一日C类基金份额资产净值的0.40%年费率计提。计算方法如下：</w:t>
      </w:r>
    </w:p>
    <w:p w:rsidR="0086656C" w:rsidRDefault="00C12A9E">
      <w:pPr>
        <w:spacing w:before="100" w:beforeAutospacing="1" w:after="100" w:afterAutospacing="1" w:line="400" w:lineRule="exact"/>
        <w:ind w:firstLine="420"/>
        <w:rPr>
          <w:rFonts w:ascii="宋体" w:hAnsi="宋体"/>
          <w:sz w:val="24"/>
        </w:rPr>
      </w:pPr>
      <w:r>
        <w:rPr>
          <w:rFonts w:ascii="宋体" w:hAnsi="宋体" w:hint="eastAsia"/>
          <w:sz w:val="24"/>
        </w:rPr>
        <w:t>H＝E×0.40%÷当年天数</w:t>
      </w:r>
    </w:p>
    <w:p w:rsidR="0086656C" w:rsidRDefault="00C12A9E">
      <w:pPr>
        <w:spacing w:before="100" w:beforeAutospacing="1" w:after="100" w:afterAutospacing="1" w:line="400" w:lineRule="exact"/>
        <w:ind w:firstLine="420"/>
        <w:rPr>
          <w:rFonts w:ascii="宋体" w:hAnsi="宋体"/>
          <w:sz w:val="24"/>
        </w:rPr>
      </w:pPr>
      <w:r>
        <w:rPr>
          <w:rFonts w:ascii="宋体" w:hAnsi="宋体" w:hint="eastAsia"/>
          <w:sz w:val="24"/>
        </w:rPr>
        <w:t>H为C类基金份额每日应计提的销售服务费</w:t>
      </w:r>
    </w:p>
    <w:p w:rsidR="0086656C" w:rsidRDefault="00C12A9E">
      <w:pPr>
        <w:spacing w:before="100" w:beforeAutospacing="1" w:after="100" w:afterAutospacing="1" w:line="400" w:lineRule="exact"/>
        <w:ind w:firstLine="420"/>
        <w:rPr>
          <w:rFonts w:ascii="宋体" w:hAnsi="宋体"/>
          <w:sz w:val="24"/>
        </w:rPr>
      </w:pPr>
      <w:r>
        <w:rPr>
          <w:rFonts w:ascii="宋体" w:hAnsi="宋体" w:hint="eastAsia"/>
          <w:sz w:val="24"/>
        </w:rPr>
        <w:t>E为C类基金份额前一日基金资产净值</w:t>
      </w:r>
    </w:p>
    <w:p w:rsidR="0086656C" w:rsidRDefault="00C12A9E">
      <w:pPr>
        <w:spacing w:before="100" w:beforeAutospacing="1" w:after="100" w:afterAutospacing="1" w:line="400" w:lineRule="exact"/>
        <w:ind w:firstLine="420"/>
        <w:rPr>
          <w:rFonts w:ascii="宋体" w:hAnsi="宋体"/>
          <w:sz w:val="24"/>
        </w:rPr>
      </w:pPr>
      <w:r>
        <w:rPr>
          <w:rFonts w:ascii="宋体" w:hAnsi="宋体" w:hint="eastAsia"/>
          <w:sz w:val="24"/>
        </w:rPr>
        <w:t>基金销售服务费每日计提，逐日累计至每个月月末，按月支付。由基金托管人根据与基金管理人核对一致的财务数据，自动在次月初五个工作日内、按照指定的账户路径进行资金支付，基金管理人无需再出具资金划拨指令。销售服务费由注册登记机构代收，注册登记机构收到后按相关合同规定支付给基金销售机构。若遇法定节假日、休息日或不可抗力致使无法按时支付等，支付日期顺延。</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（四）经双方当事人协商一致，基金管理人或基金托管人可酌情调低该基金管理费率、托管费率或销售服务费率。</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（五）从基金财产中列支基金管理人的管理费、基金托管人的托管费之外的其他基金费用，应当依据有关法律法规、《基金合同》的规定执行。</w:t>
      </w:r>
    </w:p>
    <w:p w:rsidR="002161A4" w:rsidRDefault="002161A4" w:rsidP="002161A4">
      <w:pPr>
        <w:pStyle w:val="a6"/>
        <w:spacing w:before="100" w:beforeAutospacing="1" w:after="100" w:afterAutospacing="1"/>
        <w:ind w:firstLine="461"/>
        <w:rPr>
          <w:rFonts w:ascii="宋体" w:eastAsia="宋体"/>
          <w:color w:val="auto"/>
          <w:sz w:val="24"/>
        </w:rPr>
      </w:pPr>
      <w:r w:rsidRPr="002161A4">
        <w:rPr>
          <w:rFonts w:ascii="宋体" w:eastAsia="宋体" w:hint="eastAsia"/>
          <w:color w:val="auto"/>
          <w:sz w:val="24"/>
        </w:rPr>
        <w:t>（</w:t>
      </w:r>
      <w:r>
        <w:rPr>
          <w:rFonts w:ascii="宋体" w:eastAsia="宋体" w:hint="eastAsia"/>
          <w:color w:val="auto"/>
          <w:sz w:val="24"/>
        </w:rPr>
        <w:t>六</w:t>
      </w:r>
      <w:r w:rsidRPr="002161A4">
        <w:rPr>
          <w:rFonts w:ascii="宋体" w:eastAsia="宋体" w:hint="eastAsia"/>
          <w:color w:val="auto"/>
          <w:sz w:val="24"/>
        </w:rPr>
        <w:t>）本基金实施侧袋机制的，与侧袋账户有关的费用可以从侧袋账户中列支，但应待侧袋账户资产变现后方可列支，有关费用可酌情收取或减免，但基金管理人不得就侧袋账户资产收取管理费。</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w:t>
      </w:r>
      <w:r w:rsidR="002161A4">
        <w:rPr>
          <w:rFonts w:ascii="宋体" w:eastAsia="宋体" w:hint="eastAsia"/>
          <w:color w:val="auto"/>
          <w:sz w:val="24"/>
        </w:rPr>
        <w:t>七</w:t>
      </w:r>
      <w:r>
        <w:rPr>
          <w:rFonts w:ascii="宋体" w:eastAsia="宋体" w:hint="eastAsia"/>
          <w:color w:val="auto"/>
          <w:sz w:val="24"/>
        </w:rPr>
        <w:t>）对于</w:t>
      </w:r>
      <w:r>
        <w:rPr>
          <w:rFonts w:ascii="宋体" w:eastAsia="宋体" w:cs="方正仿宋简体" w:hint="eastAsia"/>
          <w:sz w:val="24"/>
        </w:rPr>
        <w:t>违反法律法规、</w:t>
      </w:r>
      <w:r>
        <w:rPr>
          <w:rFonts w:ascii="宋体" w:eastAsia="宋体" w:hint="eastAsia"/>
          <w:color w:val="auto"/>
          <w:sz w:val="24"/>
        </w:rPr>
        <w:t>《基金合同》</w:t>
      </w:r>
      <w:r>
        <w:rPr>
          <w:rFonts w:ascii="宋体" w:eastAsia="宋体" w:cs="方正仿宋简体" w:hint="eastAsia"/>
          <w:sz w:val="24"/>
        </w:rPr>
        <w:t>、本协议及其他有关规定</w:t>
      </w:r>
      <w:r>
        <w:rPr>
          <w:rFonts w:ascii="宋体" w:eastAsia="宋体" w:hint="eastAsia"/>
          <w:color w:val="auto"/>
          <w:sz w:val="24"/>
        </w:rPr>
        <w:t>（包括基金费用的计提方法、计提标准、支付方式等）的基金费用，不得从任何基金财产中列支。</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w:t>
      </w:r>
      <w:r w:rsidR="002161A4">
        <w:rPr>
          <w:rFonts w:ascii="宋体" w:eastAsia="宋体" w:hint="eastAsia"/>
          <w:color w:val="auto"/>
          <w:sz w:val="24"/>
        </w:rPr>
        <w:t>八</w:t>
      </w:r>
      <w:r>
        <w:rPr>
          <w:rFonts w:ascii="宋体" w:eastAsia="宋体" w:hint="eastAsia"/>
          <w:color w:val="auto"/>
          <w:sz w:val="24"/>
        </w:rPr>
        <w:t>）本基金支付给基金管理人、基金托管人的各项费用均为含税价格，具体税率适用中国税务机关的相关规定。</w:t>
      </w:r>
    </w:p>
    <w:p w:rsidR="0086656C" w:rsidRDefault="0086656C">
      <w:pPr>
        <w:pStyle w:val="a6"/>
        <w:spacing w:before="100" w:beforeAutospacing="1" w:after="100" w:afterAutospacing="1"/>
        <w:ind w:firstLine="461"/>
        <w:rPr>
          <w:rFonts w:ascii="宋体" w:eastAsia="宋体"/>
          <w:color w:val="auto"/>
          <w:sz w:val="24"/>
        </w:rPr>
      </w:pPr>
    </w:p>
    <w:p w:rsidR="0086656C" w:rsidRDefault="00C12A9E">
      <w:pPr>
        <w:pStyle w:val="1"/>
        <w:spacing w:before="100" w:beforeAutospacing="1" w:after="100" w:afterAutospacing="1" w:line="400" w:lineRule="exact"/>
        <w:ind w:firstLine="422"/>
        <w:rPr>
          <w:rFonts w:ascii="宋体" w:hAnsi="宋体"/>
          <w:sz w:val="24"/>
          <w:szCs w:val="24"/>
          <w:highlight w:val="lightGray"/>
        </w:rPr>
      </w:pPr>
      <w:bookmarkStart w:id="15" w:name="_Toc116900107"/>
      <w:bookmarkEnd w:id="14"/>
      <w:r>
        <w:rPr>
          <w:rFonts w:ascii="宋体" w:hAnsi="宋体" w:hint="eastAsia"/>
          <w:sz w:val="24"/>
          <w:szCs w:val="24"/>
        </w:rPr>
        <w:t>十二、基金份额持有人名册的保管</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基金份额持有人</w:t>
      </w:r>
      <w:bookmarkStart w:id="16" w:name="_GoBack"/>
      <w:bookmarkEnd w:id="16"/>
      <w:r>
        <w:rPr>
          <w:rFonts w:ascii="宋体" w:eastAsia="宋体" w:hint="eastAsia"/>
          <w:color w:val="auto"/>
          <w:sz w:val="24"/>
        </w:rPr>
        <w:t>名册至少应包括基金份额持有人的名称和持有的基金份额。基金份额持有人名册由基金登记机构根据基金管理人的指令编制和保管，基金管理人和基金托管人应分别保管基金份额持有人名册，基金登记机构保存期不少于20年，法律法规另有规定或有权机关另有要求的除外。如不能妥善保管，则按相关法规承担责任。</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在基金托管人要求或编制半年报和年报前，基金管理人应将有关资料送交基金托管人，不得无故拒绝或延误提供，并保证其的真实性、准确性和完整性。基金托管人不得将所保管的基金份额持有人名册用于基金托管业务以外的其他用途，并应遵守保密义务。</w:t>
      </w:r>
    </w:p>
    <w:p w:rsidR="0086656C" w:rsidRDefault="00C12A9E">
      <w:pPr>
        <w:pStyle w:val="1"/>
        <w:spacing w:before="100" w:beforeAutospacing="1" w:after="100" w:afterAutospacing="1" w:line="400" w:lineRule="exact"/>
        <w:ind w:firstLine="422"/>
        <w:rPr>
          <w:rFonts w:ascii="宋体" w:hAnsi="宋体"/>
          <w:sz w:val="24"/>
          <w:szCs w:val="24"/>
        </w:rPr>
      </w:pPr>
      <w:r>
        <w:rPr>
          <w:rFonts w:ascii="宋体" w:hAnsi="宋体" w:hint="eastAsia"/>
          <w:sz w:val="24"/>
          <w:szCs w:val="24"/>
        </w:rPr>
        <w:t>十三、基金有关文件档案的保存</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（一）</w:t>
      </w:r>
      <w:r>
        <w:rPr>
          <w:rFonts w:ascii="宋体" w:eastAsia="宋体" w:cs="方正仿宋简体" w:hint="eastAsia"/>
          <w:sz w:val="24"/>
        </w:rPr>
        <w:t>基金管理人应保存基金财产管理业务活动的记录、账册、报表和其他相关资料，基金托管人应保存基金托管业务活动的记录、账册、报表和其他相关资料，保存期限为15年。</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（二）基金管理人和基金托管人应按本协议第十条的约定对各自保存的文件和档案履行保密义务。</w:t>
      </w:r>
    </w:p>
    <w:p w:rsidR="0086656C" w:rsidRDefault="0086656C">
      <w:pPr>
        <w:spacing w:before="100" w:beforeAutospacing="1" w:after="100" w:afterAutospacing="1" w:line="400" w:lineRule="exact"/>
        <w:rPr>
          <w:rFonts w:ascii="宋体" w:hAnsi="宋体"/>
          <w:sz w:val="24"/>
        </w:rPr>
      </w:pPr>
    </w:p>
    <w:p w:rsidR="0086656C" w:rsidRDefault="00C12A9E">
      <w:pPr>
        <w:pStyle w:val="1"/>
        <w:spacing w:before="100" w:beforeAutospacing="1" w:after="100" w:afterAutospacing="1" w:line="400" w:lineRule="exact"/>
        <w:ind w:firstLine="422"/>
        <w:rPr>
          <w:rFonts w:ascii="宋体" w:hAnsi="宋体"/>
          <w:sz w:val="24"/>
          <w:szCs w:val="24"/>
        </w:rPr>
      </w:pPr>
      <w:r>
        <w:rPr>
          <w:rFonts w:ascii="宋体" w:hAnsi="宋体" w:hint="eastAsia"/>
          <w:sz w:val="24"/>
          <w:szCs w:val="24"/>
        </w:rPr>
        <w:t>十四、</w:t>
      </w:r>
      <w:bookmarkStart w:id="17" w:name="_Toc116900108"/>
      <w:bookmarkEnd w:id="15"/>
      <w:r>
        <w:rPr>
          <w:rFonts w:ascii="宋体" w:hAnsi="宋体" w:hint="eastAsia"/>
          <w:sz w:val="24"/>
          <w:szCs w:val="24"/>
        </w:rPr>
        <w:t>基金托管人和基金管理人的更换</w:t>
      </w:r>
      <w:bookmarkEnd w:id="17"/>
      <w:r>
        <w:rPr>
          <w:rFonts w:ascii="宋体" w:hAnsi="宋体" w:hint="eastAsia"/>
          <w:sz w:val="24"/>
          <w:szCs w:val="24"/>
        </w:rPr>
        <w:t xml:space="preserve"> </w:t>
      </w:r>
    </w:p>
    <w:p w:rsidR="0086656C" w:rsidRDefault="00C12A9E">
      <w:pPr>
        <w:spacing w:before="100" w:beforeAutospacing="1" w:after="100" w:afterAutospacing="1" w:line="400" w:lineRule="exact"/>
        <w:ind w:firstLine="420"/>
        <w:rPr>
          <w:rFonts w:ascii="宋体" w:hAnsi="宋体"/>
          <w:kern w:val="0"/>
          <w:sz w:val="24"/>
        </w:rPr>
      </w:pPr>
      <w:r>
        <w:rPr>
          <w:rFonts w:ascii="宋体" w:hAnsi="宋体" w:hint="eastAsia"/>
          <w:sz w:val="24"/>
        </w:rPr>
        <w:t>（一）</w:t>
      </w:r>
      <w:r>
        <w:rPr>
          <w:rFonts w:ascii="宋体" w:hAnsi="宋体"/>
          <w:kern w:val="0"/>
          <w:sz w:val="24"/>
        </w:rPr>
        <w:t>基金管理人职责终止</w:t>
      </w:r>
      <w:r>
        <w:rPr>
          <w:rFonts w:ascii="宋体" w:hAnsi="宋体" w:hint="eastAsia"/>
          <w:kern w:val="0"/>
          <w:sz w:val="24"/>
        </w:rPr>
        <w:t>后</w:t>
      </w:r>
      <w:r>
        <w:rPr>
          <w:rFonts w:ascii="宋体" w:hAnsi="宋体"/>
          <w:kern w:val="0"/>
          <w:sz w:val="24"/>
        </w:rPr>
        <w:t>，</w:t>
      </w:r>
      <w:r>
        <w:rPr>
          <w:rFonts w:ascii="宋体" w:hAnsi="宋体" w:hint="eastAsia"/>
          <w:kern w:val="0"/>
          <w:sz w:val="24"/>
        </w:rPr>
        <w:t>仍</w:t>
      </w:r>
      <w:r>
        <w:rPr>
          <w:rFonts w:ascii="宋体" w:hAnsi="宋体"/>
          <w:kern w:val="0"/>
          <w:sz w:val="24"/>
        </w:rPr>
        <w:t>应妥善保管基金管理业务资料，</w:t>
      </w:r>
      <w:r>
        <w:rPr>
          <w:rFonts w:ascii="宋体" w:hAnsi="宋体" w:hint="eastAsia"/>
          <w:kern w:val="0"/>
          <w:sz w:val="24"/>
        </w:rPr>
        <w:t>并与新任基金管理人或临时基金管理人</w:t>
      </w:r>
      <w:r>
        <w:rPr>
          <w:rFonts w:ascii="宋体" w:hAnsi="宋体"/>
          <w:kern w:val="0"/>
          <w:sz w:val="24"/>
        </w:rPr>
        <w:t>及时办理基金管理业务的移交手续。</w:t>
      </w:r>
      <w:r>
        <w:rPr>
          <w:rFonts w:ascii="宋体" w:hAnsi="宋体" w:hint="eastAsia"/>
          <w:kern w:val="0"/>
          <w:sz w:val="24"/>
        </w:rPr>
        <w:t>基金托管人应给予积极配合，并与新任基金管理人或临时基金管理人核对基金资产总值和净值。</w:t>
      </w:r>
    </w:p>
    <w:p w:rsidR="0086656C" w:rsidRDefault="00C12A9E">
      <w:pPr>
        <w:spacing w:before="100" w:beforeAutospacing="1" w:after="100" w:afterAutospacing="1" w:line="400" w:lineRule="exact"/>
        <w:ind w:firstLine="420"/>
        <w:rPr>
          <w:rFonts w:ascii="宋体" w:hAnsi="宋体"/>
          <w:kern w:val="0"/>
          <w:sz w:val="24"/>
        </w:rPr>
      </w:pPr>
      <w:r>
        <w:rPr>
          <w:rFonts w:ascii="宋体" w:hAnsi="宋体" w:hint="eastAsia"/>
          <w:sz w:val="24"/>
        </w:rPr>
        <w:t>（二）</w:t>
      </w:r>
      <w:r>
        <w:rPr>
          <w:rFonts w:ascii="宋体" w:hAnsi="宋体"/>
          <w:kern w:val="0"/>
          <w:sz w:val="24"/>
        </w:rPr>
        <w:t>基金托管人职责终止</w:t>
      </w:r>
      <w:r>
        <w:rPr>
          <w:rFonts w:ascii="宋体" w:hAnsi="宋体" w:hint="eastAsia"/>
          <w:kern w:val="0"/>
          <w:sz w:val="24"/>
        </w:rPr>
        <w:t>后</w:t>
      </w:r>
      <w:r>
        <w:rPr>
          <w:rFonts w:ascii="宋体" w:hAnsi="宋体"/>
          <w:kern w:val="0"/>
          <w:sz w:val="24"/>
        </w:rPr>
        <w:t>，</w:t>
      </w:r>
      <w:r>
        <w:rPr>
          <w:rFonts w:ascii="宋体" w:hAnsi="宋体" w:hint="eastAsia"/>
          <w:kern w:val="0"/>
          <w:sz w:val="24"/>
        </w:rPr>
        <w:t>仍</w:t>
      </w:r>
      <w:r>
        <w:rPr>
          <w:rFonts w:ascii="宋体" w:hAnsi="宋体"/>
          <w:kern w:val="0"/>
          <w:sz w:val="24"/>
        </w:rPr>
        <w:t>应妥善保管基金财产和基金托管业务资料，</w:t>
      </w:r>
      <w:r>
        <w:rPr>
          <w:rFonts w:ascii="宋体" w:hAnsi="宋体" w:hint="eastAsia"/>
          <w:kern w:val="0"/>
          <w:sz w:val="24"/>
        </w:rPr>
        <w:t>并与新任基金托管人或临时基金托管人</w:t>
      </w:r>
      <w:r>
        <w:rPr>
          <w:rFonts w:ascii="宋体" w:hAnsi="宋体"/>
          <w:kern w:val="0"/>
          <w:sz w:val="24"/>
        </w:rPr>
        <w:t>及时办理基金财产和基金托管业务的移交手续。</w:t>
      </w:r>
      <w:r>
        <w:rPr>
          <w:rFonts w:ascii="宋体" w:hAnsi="宋体" w:hint="eastAsia"/>
          <w:kern w:val="0"/>
          <w:sz w:val="24"/>
        </w:rPr>
        <w:t>基金管理人应给予积极配合，并与新任基金托管人或临时基金托管人核对基金资产总值和净值。</w:t>
      </w:r>
    </w:p>
    <w:p w:rsidR="0086656C" w:rsidRDefault="00C12A9E">
      <w:pPr>
        <w:spacing w:before="100" w:beforeAutospacing="1" w:after="100" w:afterAutospacing="1" w:line="400" w:lineRule="exact"/>
        <w:ind w:firstLineChars="200" w:firstLine="480"/>
        <w:rPr>
          <w:rFonts w:ascii="宋体" w:hAnsi="宋体"/>
          <w:kern w:val="0"/>
          <w:sz w:val="24"/>
        </w:rPr>
      </w:pPr>
      <w:r>
        <w:rPr>
          <w:rFonts w:ascii="宋体" w:hAnsi="宋体" w:hint="eastAsia"/>
          <w:kern w:val="0"/>
          <w:sz w:val="24"/>
        </w:rPr>
        <w:t>（三）其他事宜见《基金合同》的相关约定。</w:t>
      </w:r>
    </w:p>
    <w:p w:rsidR="0086656C" w:rsidRDefault="0086656C">
      <w:pPr>
        <w:spacing w:before="100" w:beforeAutospacing="1" w:after="100" w:afterAutospacing="1" w:line="400" w:lineRule="exact"/>
        <w:ind w:firstLine="540"/>
        <w:rPr>
          <w:rFonts w:ascii="宋体" w:hAnsi="宋体"/>
          <w:sz w:val="24"/>
        </w:rPr>
      </w:pPr>
    </w:p>
    <w:p w:rsidR="0086656C" w:rsidRDefault="00C12A9E">
      <w:pPr>
        <w:pStyle w:val="1"/>
        <w:spacing w:before="100" w:beforeAutospacing="1" w:after="100" w:afterAutospacing="1" w:line="400" w:lineRule="exact"/>
        <w:ind w:firstLine="422"/>
        <w:rPr>
          <w:rFonts w:ascii="宋体" w:hAnsi="宋体"/>
          <w:sz w:val="24"/>
          <w:szCs w:val="24"/>
        </w:rPr>
      </w:pPr>
      <w:bookmarkStart w:id="18" w:name="_Toc116900110"/>
      <w:r>
        <w:rPr>
          <w:rFonts w:ascii="宋体" w:hAnsi="宋体" w:hint="eastAsia"/>
          <w:sz w:val="24"/>
          <w:szCs w:val="24"/>
        </w:rPr>
        <w:t>十五、禁止行为</w:t>
      </w:r>
      <w:bookmarkEnd w:id="18"/>
    </w:p>
    <w:p w:rsidR="0086656C" w:rsidRDefault="00C12A9E">
      <w:pPr>
        <w:adjustRightInd w:val="0"/>
        <w:snapToGrid w:val="0"/>
        <w:spacing w:before="100" w:beforeAutospacing="1" w:after="100" w:afterAutospacing="1" w:line="400" w:lineRule="exact"/>
        <w:ind w:firstLineChars="200" w:firstLine="480"/>
        <w:rPr>
          <w:rFonts w:ascii="宋体" w:hAnsi="宋体"/>
          <w:sz w:val="24"/>
        </w:rPr>
      </w:pPr>
      <w:r>
        <w:rPr>
          <w:rFonts w:ascii="宋体" w:hAnsi="宋体" w:hint="eastAsia"/>
          <w:sz w:val="24"/>
        </w:rPr>
        <w:t>（一）</w:t>
      </w:r>
      <w:r>
        <w:rPr>
          <w:rFonts w:ascii="宋体" w:hAnsi="宋体" w:cs="方正仿宋简体" w:hint="eastAsia"/>
          <w:sz w:val="24"/>
        </w:rPr>
        <w:t>《基金法》第二十条、第三十八条禁止的行为。</w:t>
      </w:r>
    </w:p>
    <w:p w:rsidR="0086656C" w:rsidRDefault="00C12A9E">
      <w:pPr>
        <w:adjustRightInd w:val="0"/>
        <w:snapToGrid w:val="0"/>
        <w:spacing w:before="100" w:beforeAutospacing="1" w:after="100" w:afterAutospacing="1" w:line="400" w:lineRule="exact"/>
        <w:ind w:firstLineChars="200" w:firstLine="480"/>
        <w:rPr>
          <w:rFonts w:ascii="宋体" w:hAnsi="宋体"/>
          <w:sz w:val="24"/>
        </w:rPr>
      </w:pPr>
      <w:r>
        <w:rPr>
          <w:rFonts w:ascii="宋体" w:hAnsi="宋体" w:cs="方正仿宋简体" w:hint="eastAsia"/>
          <w:sz w:val="24"/>
        </w:rPr>
        <w:t>（二）《基金法》第七十三条禁止的投资或活动。</w:t>
      </w:r>
    </w:p>
    <w:p w:rsidR="0086656C" w:rsidRDefault="00C12A9E">
      <w:pPr>
        <w:adjustRightInd w:val="0"/>
        <w:snapToGrid w:val="0"/>
        <w:spacing w:before="100" w:beforeAutospacing="1" w:after="100" w:afterAutospacing="1" w:line="400" w:lineRule="exact"/>
        <w:ind w:firstLineChars="200" w:firstLine="480"/>
        <w:rPr>
          <w:rFonts w:ascii="宋体" w:hAnsi="宋体"/>
          <w:sz w:val="24"/>
        </w:rPr>
      </w:pPr>
      <w:r>
        <w:rPr>
          <w:rFonts w:ascii="宋体" w:hAnsi="宋体" w:cs="方正仿宋简体" w:hint="eastAsia"/>
          <w:sz w:val="24"/>
        </w:rPr>
        <w:t>（三）除根据基金管理人的指令或《基金合同》、本协议另有规定外，基金托管人不得动用或处分基金财产。</w:t>
      </w:r>
    </w:p>
    <w:p w:rsidR="0086656C" w:rsidRDefault="00C12A9E">
      <w:pPr>
        <w:adjustRightInd w:val="0"/>
        <w:snapToGrid w:val="0"/>
        <w:spacing w:before="100" w:beforeAutospacing="1" w:after="100" w:afterAutospacing="1" w:line="400" w:lineRule="exact"/>
        <w:ind w:firstLineChars="200" w:firstLine="480"/>
        <w:rPr>
          <w:rFonts w:ascii="宋体" w:hAnsi="宋体"/>
          <w:sz w:val="24"/>
        </w:rPr>
      </w:pPr>
      <w:r>
        <w:rPr>
          <w:rFonts w:ascii="宋体" w:hAnsi="宋体" w:cs="方正仿宋简体" w:hint="eastAsia"/>
          <w:sz w:val="24"/>
        </w:rPr>
        <w:t>（四）基金管理人、基金托管人的高级管理人员和其他从业人员不得相互兼职。</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（五）法律法规、《基金合同》和本协议禁止的其他行为。</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法律法规或监管部门调整上述限制的，本基金从其规定。</w:t>
      </w:r>
    </w:p>
    <w:p w:rsidR="0086656C" w:rsidRDefault="0086656C">
      <w:pPr>
        <w:pStyle w:val="a6"/>
        <w:spacing w:before="100" w:beforeAutospacing="1" w:after="100" w:afterAutospacing="1"/>
        <w:ind w:firstLine="461"/>
        <w:rPr>
          <w:rFonts w:ascii="宋体" w:eastAsia="宋体"/>
          <w:color w:val="auto"/>
          <w:sz w:val="24"/>
        </w:rPr>
      </w:pPr>
    </w:p>
    <w:p w:rsidR="0086656C" w:rsidRDefault="00C12A9E">
      <w:pPr>
        <w:pStyle w:val="1"/>
        <w:spacing w:before="100" w:beforeAutospacing="1" w:after="100" w:afterAutospacing="1" w:line="400" w:lineRule="exact"/>
        <w:ind w:firstLine="422"/>
        <w:rPr>
          <w:rFonts w:ascii="宋体" w:hAnsi="宋体"/>
          <w:sz w:val="24"/>
          <w:szCs w:val="24"/>
        </w:rPr>
      </w:pPr>
      <w:bookmarkStart w:id="19" w:name="_Toc116900111"/>
      <w:r>
        <w:rPr>
          <w:rFonts w:ascii="宋体" w:hAnsi="宋体" w:hint="eastAsia"/>
          <w:sz w:val="24"/>
          <w:szCs w:val="24"/>
        </w:rPr>
        <w:t>十六、托管协议的变更、终止与基金财产的清算</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（一）托管协议的变更</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本协议双方当事人经协商一致，可以对协议进行变更。变更后的新协议，其内容不得与《基金合同》的规定有任何冲突。变更后的新协议应当报中国证监会备案。</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（二）托管协议的终止</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发生以下情况，本托管协议应当终止：</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1、《基金合同》终止；</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2、本基金更换基金托管人；</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3、本基金更换基金管理人；</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4、发生《基金法》、《运作办法》或其他法律法规规定的终止事项。</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lastRenderedPageBreak/>
        <w:t>（三）基金财产的清算</w:t>
      </w:r>
    </w:p>
    <w:p w:rsidR="0086656C" w:rsidRDefault="00C12A9E">
      <w:pPr>
        <w:spacing w:before="100" w:beforeAutospacing="1" w:after="100" w:afterAutospacing="1" w:line="400" w:lineRule="exact"/>
        <w:ind w:firstLine="420"/>
        <w:rPr>
          <w:rFonts w:ascii="宋体" w:hAnsi="宋体"/>
          <w:color w:val="000000"/>
          <w:kern w:val="0"/>
          <w:sz w:val="24"/>
        </w:rPr>
      </w:pPr>
      <w:r>
        <w:rPr>
          <w:rFonts w:ascii="宋体" w:hAnsi="宋体" w:hint="eastAsia"/>
          <w:color w:val="000000"/>
          <w:kern w:val="0"/>
          <w:sz w:val="24"/>
        </w:rPr>
        <w:t>基金管理人和基金托管人应按照《基金合同》及有关法律法规的规定对本基金的财产进行清算。</w:t>
      </w:r>
    </w:p>
    <w:p w:rsidR="0086656C" w:rsidRDefault="0086656C">
      <w:pPr>
        <w:spacing w:before="100" w:beforeAutospacing="1" w:after="100" w:afterAutospacing="1" w:line="400" w:lineRule="exact"/>
        <w:ind w:firstLineChars="214" w:firstLine="514"/>
        <w:rPr>
          <w:rFonts w:ascii="宋体" w:hAnsi="宋体"/>
          <w:sz w:val="24"/>
        </w:rPr>
      </w:pPr>
    </w:p>
    <w:p w:rsidR="0086656C" w:rsidRDefault="00C12A9E">
      <w:pPr>
        <w:pStyle w:val="1"/>
        <w:spacing w:before="100" w:beforeAutospacing="1" w:after="100" w:afterAutospacing="1" w:line="400" w:lineRule="exact"/>
        <w:ind w:firstLine="422"/>
        <w:rPr>
          <w:rFonts w:ascii="宋体" w:hAnsi="宋体"/>
          <w:sz w:val="24"/>
          <w:szCs w:val="24"/>
        </w:rPr>
      </w:pPr>
      <w:r>
        <w:rPr>
          <w:rFonts w:ascii="宋体" w:hAnsi="宋体" w:hint="eastAsia"/>
          <w:sz w:val="24"/>
          <w:szCs w:val="24"/>
        </w:rPr>
        <w:t>十七、违约责任和责任划分</w:t>
      </w:r>
      <w:bookmarkEnd w:id="19"/>
    </w:p>
    <w:p w:rsidR="0086656C" w:rsidRDefault="00C12A9E">
      <w:pPr>
        <w:adjustRightInd w:val="0"/>
        <w:snapToGrid w:val="0"/>
        <w:spacing w:before="100" w:beforeAutospacing="1" w:after="100" w:afterAutospacing="1" w:line="400" w:lineRule="exact"/>
        <w:ind w:firstLineChars="200" w:firstLine="480"/>
        <w:rPr>
          <w:rFonts w:ascii="宋体" w:hAnsi="宋体"/>
          <w:sz w:val="24"/>
        </w:rPr>
      </w:pPr>
      <w:r>
        <w:rPr>
          <w:rFonts w:ascii="宋体" w:hAnsi="宋体" w:hint="eastAsia"/>
          <w:sz w:val="24"/>
        </w:rPr>
        <w:t>（一）</w:t>
      </w:r>
      <w:r>
        <w:rPr>
          <w:rFonts w:ascii="宋体" w:hAnsi="宋体" w:cs="方正仿宋简体" w:hint="eastAsia"/>
          <w:sz w:val="24"/>
        </w:rPr>
        <w:t>本协议当事人不履行本协议或履行本协议不符合约定的，应当承担违约责任。</w:t>
      </w:r>
    </w:p>
    <w:p w:rsidR="0086656C" w:rsidRDefault="00C12A9E">
      <w:pPr>
        <w:adjustRightInd w:val="0"/>
        <w:snapToGrid w:val="0"/>
        <w:spacing w:before="100" w:beforeAutospacing="1" w:after="100" w:afterAutospacing="1" w:line="400" w:lineRule="exact"/>
        <w:ind w:firstLineChars="200" w:firstLine="480"/>
        <w:rPr>
          <w:rFonts w:ascii="宋体" w:hAnsi="宋体" w:cs="方正仿宋简体"/>
          <w:sz w:val="24"/>
        </w:rPr>
      </w:pPr>
      <w:r>
        <w:rPr>
          <w:rFonts w:ascii="宋体" w:hAnsi="宋体" w:cs="方正仿宋简体" w:hint="eastAsia"/>
          <w:sz w:val="24"/>
        </w:rPr>
        <w:t>（二）因本协议当事人违约给基金财产或者基金份额持有人造成损害的，应当分别对各自的行为依法承担赔偿责任，因共同行为给基金财产或者基金份额持有人造成损害的，应当承担连带赔偿责任。</w:t>
      </w:r>
      <w:r>
        <w:rPr>
          <w:rFonts w:ascii="宋体" w:hAnsi="宋体" w:cs="方正仿宋简体"/>
          <w:sz w:val="24"/>
        </w:rPr>
        <w:t>对损失的赔偿，仅限于直接损失。</w:t>
      </w:r>
      <w:r>
        <w:rPr>
          <w:rFonts w:ascii="宋体" w:hAnsi="宋体" w:cs="方正仿宋简体" w:hint="eastAsia"/>
          <w:sz w:val="24"/>
        </w:rPr>
        <w:t>但是发生下列情况，当事人可以免责：</w:t>
      </w:r>
    </w:p>
    <w:p w:rsidR="0086656C" w:rsidRDefault="00C12A9E">
      <w:pPr>
        <w:adjustRightInd w:val="0"/>
        <w:snapToGrid w:val="0"/>
        <w:spacing w:before="100" w:beforeAutospacing="1" w:after="100" w:afterAutospacing="1" w:line="400" w:lineRule="exact"/>
        <w:ind w:firstLineChars="200" w:firstLine="480"/>
        <w:rPr>
          <w:rFonts w:ascii="宋体" w:hAnsi="宋体" w:cs="方正仿宋简体"/>
          <w:sz w:val="24"/>
        </w:rPr>
      </w:pPr>
      <w:r>
        <w:rPr>
          <w:rFonts w:ascii="宋体" w:hAnsi="宋体" w:cs="方正仿宋简体" w:hint="eastAsia"/>
          <w:sz w:val="24"/>
        </w:rPr>
        <w:t>1、基金管理人及基金托管人按照当时有效的法律法规或中国证监会的规定作为或不作为而造成的损失等；</w:t>
      </w:r>
    </w:p>
    <w:p w:rsidR="0086656C" w:rsidRDefault="00C12A9E">
      <w:pPr>
        <w:adjustRightInd w:val="0"/>
        <w:snapToGrid w:val="0"/>
        <w:spacing w:before="100" w:beforeAutospacing="1" w:after="100" w:afterAutospacing="1" w:line="400" w:lineRule="exact"/>
        <w:ind w:firstLineChars="200" w:firstLine="480"/>
        <w:rPr>
          <w:rFonts w:ascii="宋体" w:hAnsi="宋体" w:cs="方正仿宋简体"/>
          <w:sz w:val="24"/>
        </w:rPr>
      </w:pPr>
      <w:r>
        <w:rPr>
          <w:rFonts w:ascii="宋体" w:hAnsi="宋体" w:cs="方正仿宋简体" w:hint="eastAsia"/>
          <w:sz w:val="24"/>
        </w:rPr>
        <w:t>2、基金管理人由于按照《基金合同》规定的投资原则而行使或不行使其投资权而造成的损失等；</w:t>
      </w:r>
    </w:p>
    <w:p w:rsidR="0086656C" w:rsidRDefault="00C12A9E">
      <w:pPr>
        <w:adjustRightInd w:val="0"/>
        <w:snapToGrid w:val="0"/>
        <w:spacing w:before="100" w:beforeAutospacing="1" w:after="100" w:afterAutospacing="1" w:line="400" w:lineRule="exact"/>
        <w:ind w:firstLineChars="200" w:firstLine="480"/>
        <w:rPr>
          <w:rFonts w:ascii="宋体" w:hAnsi="宋体" w:cs="方正仿宋简体"/>
          <w:sz w:val="24"/>
        </w:rPr>
      </w:pPr>
      <w:r>
        <w:rPr>
          <w:rFonts w:ascii="宋体" w:hAnsi="宋体" w:cs="方正仿宋简体" w:hint="eastAsia"/>
          <w:sz w:val="24"/>
        </w:rPr>
        <w:t>3、不可抗力；</w:t>
      </w:r>
    </w:p>
    <w:p w:rsidR="0086656C" w:rsidRDefault="00C12A9E">
      <w:pPr>
        <w:adjustRightInd w:val="0"/>
        <w:snapToGrid w:val="0"/>
        <w:spacing w:before="100" w:beforeAutospacing="1" w:after="100" w:afterAutospacing="1" w:line="400" w:lineRule="exact"/>
        <w:ind w:firstLineChars="200" w:firstLine="480"/>
        <w:rPr>
          <w:rFonts w:ascii="宋体" w:hAnsi="宋体" w:cs="方正仿宋简体"/>
          <w:sz w:val="24"/>
        </w:rPr>
      </w:pPr>
      <w:r>
        <w:rPr>
          <w:rFonts w:ascii="宋体" w:hAnsi="宋体" w:cs="方正仿宋简体" w:hint="eastAsia"/>
          <w:sz w:val="24"/>
        </w:rPr>
        <w:t>4、基金托管人对存放或存管在基金托管人以外机构的基金资产，或交由证券公司等其他机构负责清算交收的基金资产及其收益不承担任何责任；</w:t>
      </w:r>
    </w:p>
    <w:p w:rsidR="0086656C" w:rsidRDefault="00C12A9E">
      <w:pPr>
        <w:adjustRightInd w:val="0"/>
        <w:snapToGrid w:val="0"/>
        <w:spacing w:before="100" w:beforeAutospacing="1" w:after="100" w:afterAutospacing="1" w:line="400" w:lineRule="exact"/>
        <w:ind w:firstLineChars="200" w:firstLine="480"/>
        <w:rPr>
          <w:rFonts w:ascii="宋体" w:hAnsi="宋体" w:cs="方正仿宋简体"/>
          <w:sz w:val="24"/>
        </w:rPr>
      </w:pPr>
      <w:r>
        <w:rPr>
          <w:rFonts w:ascii="宋体" w:hAnsi="宋体" w:cs="方正仿宋简体"/>
          <w:sz w:val="24"/>
        </w:rPr>
        <w:t>5</w:t>
      </w:r>
      <w:r>
        <w:rPr>
          <w:rFonts w:ascii="宋体" w:hAnsi="宋体" w:cs="方正仿宋简体" w:hint="eastAsia"/>
          <w:sz w:val="24"/>
        </w:rPr>
        <w:t>、计算机系统故障、网络故障、通讯故障、电力故障、计算机病毒攻击及其它非基金管理人、基金托管人过错造成的意外事故。</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（三）一方当事人违反本协议，给另一方当事人造成损失的，应承担赔偿责任。</w:t>
      </w:r>
    </w:p>
    <w:p w:rsidR="0086656C" w:rsidRDefault="00C12A9E">
      <w:pPr>
        <w:adjustRightInd w:val="0"/>
        <w:snapToGrid w:val="0"/>
        <w:spacing w:before="100" w:beforeAutospacing="1" w:after="100" w:afterAutospacing="1" w:line="400" w:lineRule="exact"/>
        <w:ind w:firstLineChars="200" w:firstLine="480"/>
        <w:rPr>
          <w:rFonts w:ascii="宋体" w:hAnsi="宋体"/>
          <w:sz w:val="24"/>
        </w:rPr>
      </w:pPr>
      <w:r>
        <w:rPr>
          <w:rFonts w:ascii="宋体" w:hAnsi="宋体" w:hint="eastAsia"/>
          <w:sz w:val="24"/>
        </w:rPr>
        <w:t>（四）因不可抗力不能履行本协议的，根据不可抗力的影响，违约方部分或全部免除责任，但法律另有规定的除外。当事人迟延履行后发生不可抗力的，不能免除责任。</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lastRenderedPageBreak/>
        <w:t>（五）当事人一方违约，另一方在职责范围内有义务及时采取必要的措施，尽力防止损失的扩大。</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（六）违约行为虽已发生，但本协议能够继续履行的，在最大限度地保护基金份额持有人利益的前提下，基金管理人和基金托管人应当继续履行本协议。</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（七）为明确责任，在不影响本协议本条其他规定的普遍适用性的前提下，基金管理人和基金托管人对由于如下行为造成的损失的责任承担问题，明确如下：</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1、由于下达违法、违规的指令所导致的责任，由基金管理人承担；</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 xml:space="preserve">2、指令下达人员在授权通知载明的权限范围内下达的指令所导致的责任，由基金管理人承担，即使该人员下达指令并没有获得基金管理人的实际授权（例如基金管理人在撤销或变更授权权限后未能及时通知基金托管人）； </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3、基金托管人未对指令上签名和印鉴与预留签字样本和预留印鉴进行表面真实性审核，导致基金托管人执行了应当无效的指令，基金管理人与基金托管人应根据各自过错程度承担责任；</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4、属于基金托管人实际有效控制下的基金财产（包括实物证券）在基金托管人保管期间的损坏、灭失，由此产生的责任应由该基金托管人承担；</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5、基金管理人应承担对其应收取的管理费数额计算错误的责任。如果基金托管人复核后同意基金管理人的计算结果，则基金托管人也应承担未正确履行复核义务的相应责任；</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6、基金管理人应承担对基金托管人应收取的托管费数额计算错误的责任。如果基金托管人复核后同意基金管理人的计算结果，则基金托管人也应承担未正确履行复核义务的相应责任；</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7、由于基金管理人或托管人原因导致本基金不能依据中国证券登记结算有限责任公司的业务规则及时清算的，由责任方承担由此给基金财产、基金份额持有人及受损害方造成的直接损失，若由于双方原因导致本基金不能依据中国证券登记结算有限责任公司的业务规则及时清算的，双方应按照各自的过错程度对造成的直接损失合理分担责任；</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8、</w:t>
      </w:r>
      <w:r>
        <w:rPr>
          <w:rFonts w:ascii="宋体" w:eastAsia="宋体"/>
          <w:color w:val="auto"/>
          <w:sz w:val="24"/>
        </w:rPr>
        <w:t>在资金交收日，基金资金账户资金首先用于除新股申购以外的其他资金</w:t>
      </w:r>
      <w:r>
        <w:rPr>
          <w:rFonts w:ascii="宋体" w:eastAsia="宋体"/>
          <w:color w:val="auto"/>
          <w:sz w:val="24"/>
        </w:rPr>
        <w:lastRenderedPageBreak/>
        <w:t>交收义务，交收完成后资金余额方可用于新股申购。如果因此资金不足造成新股申购失败或者新股申购不足，基金托管人不承担任何责任。如基金份额持有人因此提出赔偿要求，相关法律责任和</w:t>
      </w:r>
      <w:r>
        <w:rPr>
          <w:rFonts w:ascii="宋体" w:eastAsia="宋体" w:hint="eastAsia"/>
          <w:color w:val="auto"/>
          <w:sz w:val="24"/>
        </w:rPr>
        <w:t>直接</w:t>
      </w:r>
      <w:r>
        <w:rPr>
          <w:rFonts w:ascii="宋体" w:eastAsia="宋体"/>
          <w:color w:val="auto"/>
          <w:sz w:val="24"/>
        </w:rPr>
        <w:t>损失由基金管理人承担。</w:t>
      </w:r>
      <w:r>
        <w:rPr>
          <w:rFonts w:ascii="宋体" w:eastAsia="宋体" w:hint="eastAsia"/>
          <w:color w:val="auto"/>
          <w:sz w:val="24"/>
        </w:rPr>
        <w:t xml:space="preserve">  </w:t>
      </w:r>
    </w:p>
    <w:p w:rsidR="0086656C" w:rsidRDefault="0086656C">
      <w:pPr>
        <w:pStyle w:val="a6"/>
        <w:spacing w:before="100" w:beforeAutospacing="1" w:after="100" w:afterAutospacing="1"/>
        <w:ind w:firstLine="461"/>
        <w:rPr>
          <w:rFonts w:ascii="宋体" w:eastAsia="宋体"/>
          <w:color w:val="auto"/>
          <w:sz w:val="24"/>
        </w:rPr>
      </w:pPr>
    </w:p>
    <w:p w:rsidR="0086656C" w:rsidRDefault="00C12A9E">
      <w:pPr>
        <w:pStyle w:val="1"/>
        <w:spacing w:before="100" w:beforeAutospacing="1" w:after="100" w:afterAutospacing="1" w:line="400" w:lineRule="exact"/>
        <w:ind w:firstLine="422"/>
        <w:rPr>
          <w:rFonts w:ascii="宋体" w:hAnsi="宋体"/>
          <w:sz w:val="24"/>
          <w:szCs w:val="24"/>
        </w:rPr>
      </w:pPr>
      <w:bookmarkStart w:id="20" w:name="_Toc116900112"/>
      <w:r>
        <w:rPr>
          <w:rFonts w:ascii="宋体" w:hAnsi="宋体" w:hint="eastAsia"/>
          <w:sz w:val="24"/>
          <w:szCs w:val="24"/>
        </w:rPr>
        <w:t>十八、适用法律与争议解决</w:t>
      </w:r>
      <w:bookmarkEnd w:id="20"/>
      <w:r>
        <w:rPr>
          <w:rFonts w:ascii="宋体" w:hAnsi="宋体" w:hint="eastAsia"/>
          <w:sz w:val="24"/>
          <w:szCs w:val="24"/>
        </w:rPr>
        <w:t>方式</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（一）本协议适用中华人民共和国法律（为本协议之目的，不包括香港特别行政区、澳门特别行政区和台湾地区法律）并从其解释。</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二）基金管理人与基金托管人之间因本协议产生的或与本协议有关的争议可通过友好协商解决。但若自一方书面提出协商解决争议之日起60日内争议未能以协商方式解决的，则任何一方有权将争议提交位于北京的中国国际经济贸易仲裁委员会，并按其时有效的仲裁规则进行仲裁。仲裁裁决是终局的，对仲裁各方当事人均具有约束力。</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hint="eastAsia"/>
          <w:color w:val="auto"/>
          <w:sz w:val="24"/>
        </w:rPr>
        <w:t>（三）除争议所涉的内容之外，本协议的当事人仍应履行本协议的其他规定。</w:t>
      </w:r>
    </w:p>
    <w:p w:rsidR="0086656C" w:rsidRDefault="0086656C">
      <w:pPr>
        <w:pStyle w:val="a6"/>
        <w:spacing w:before="100" w:beforeAutospacing="1" w:after="100" w:afterAutospacing="1"/>
        <w:ind w:firstLine="461"/>
        <w:rPr>
          <w:rFonts w:ascii="宋体" w:eastAsia="宋体"/>
          <w:color w:val="auto"/>
          <w:sz w:val="24"/>
        </w:rPr>
      </w:pPr>
    </w:p>
    <w:p w:rsidR="0086656C" w:rsidRDefault="00C12A9E">
      <w:pPr>
        <w:pStyle w:val="1"/>
        <w:spacing w:before="100" w:beforeAutospacing="1" w:after="100" w:afterAutospacing="1" w:line="400" w:lineRule="exact"/>
        <w:ind w:firstLine="422"/>
        <w:rPr>
          <w:rFonts w:ascii="宋体" w:hAnsi="宋体"/>
          <w:sz w:val="24"/>
          <w:szCs w:val="24"/>
        </w:rPr>
      </w:pPr>
      <w:bookmarkStart w:id="21" w:name="_Toc116900113"/>
      <w:r>
        <w:rPr>
          <w:rFonts w:ascii="宋体" w:hAnsi="宋体" w:hint="eastAsia"/>
          <w:sz w:val="24"/>
          <w:szCs w:val="24"/>
        </w:rPr>
        <w:t>十九、托管协议的效力</w:t>
      </w:r>
      <w:bookmarkEnd w:id="21"/>
    </w:p>
    <w:p w:rsidR="0086656C" w:rsidRDefault="00C12A9E">
      <w:pPr>
        <w:adjustRightInd w:val="0"/>
        <w:snapToGrid w:val="0"/>
        <w:spacing w:before="100" w:beforeAutospacing="1" w:after="100" w:afterAutospacing="1" w:line="400" w:lineRule="exact"/>
        <w:ind w:firstLineChars="200" w:firstLine="480"/>
        <w:rPr>
          <w:rFonts w:ascii="宋体" w:hAnsi="宋体"/>
          <w:sz w:val="24"/>
        </w:rPr>
      </w:pPr>
      <w:r>
        <w:rPr>
          <w:rFonts w:ascii="宋体" w:hAnsi="宋体" w:cs="方正仿宋简体" w:hint="eastAsia"/>
          <w:sz w:val="24"/>
        </w:rPr>
        <w:t>（一）基金管理人在向中国证监会申请发售基金份额时提交的基金托管协议草案，应经托管协议双方当事人的法定代表人或授权签字人签字并加盖公章，协议当事人双方根据中国证监会的意见修改托管协议草案。托管协议以中国证监会注册的文本为正式文本。</w:t>
      </w:r>
    </w:p>
    <w:p w:rsidR="0086656C" w:rsidRDefault="00C12A9E">
      <w:pPr>
        <w:adjustRightInd w:val="0"/>
        <w:snapToGrid w:val="0"/>
        <w:spacing w:before="100" w:beforeAutospacing="1" w:after="100" w:afterAutospacing="1" w:line="400" w:lineRule="exact"/>
        <w:ind w:firstLineChars="200" w:firstLine="480"/>
        <w:rPr>
          <w:rFonts w:ascii="宋体" w:hAnsi="宋体"/>
          <w:sz w:val="24"/>
        </w:rPr>
      </w:pPr>
      <w:r>
        <w:rPr>
          <w:rFonts w:ascii="宋体" w:hAnsi="宋体" w:cs="方正仿宋简体" w:hint="eastAsia"/>
          <w:sz w:val="24"/>
        </w:rPr>
        <w:t>（二）本协议自</w:t>
      </w:r>
      <w:r>
        <w:rPr>
          <w:rFonts w:ascii="宋体" w:hAnsi="宋体" w:hint="eastAsia"/>
          <w:sz w:val="24"/>
        </w:rPr>
        <w:t>双方签署</w:t>
      </w:r>
      <w:r>
        <w:rPr>
          <w:rFonts w:ascii="宋体" w:hAnsi="宋体" w:cs="方正仿宋简体" w:hint="eastAsia"/>
          <w:sz w:val="24"/>
        </w:rPr>
        <w:t>之日起成立，自基金合同生效之日起生效。本协议的有效期自其生效之日起至基金财产清算结果报中国证监会备案并公告之日止。</w:t>
      </w:r>
    </w:p>
    <w:p w:rsidR="0086656C" w:rsidRDefault="00C12A9E">
      <w:pPr>
        <w:adjustRightInd w:val="0"/>
        <w:snapToGrid w:val="0"/>
        <w:spacing w:before="100" w:beforeAutospacing="1" w:after="100" w:afterAutospacing="1" w:line="400" w:lineRule="exact"/>
        <w:ind w:firstLineChars="200" w:firstLine="480"/>
        <w:rPr>
          <w:rFonts w:ascii="宋体" w:hAnsi="宋体"/>
          <w:sz w:val="24"/>
        </w:rPr>
      </w:pPr>
      <w:r>
        <w:rPr>
          <w:rFonts w:ascii="宋体" w:hAnsi="宋体" w:cs="方正仿宋简体" w:hint="eastAsia"/>
          <w:sz w:val="24"/>
        </w:rPr>
        <w:t>（三）本协议自生效之日起对双方当事人具有同等的法律约束力。</w:t>
      </w:r>
    </w:p>
    <w:p w:rsidR="0086656C" w:rsidRDefault="00C12A9E">
      <w:pPr>
        <w:pStyle w:val="a6"/>
        <w:spacing w:before="100" w:beforeAutospacing="1" w:after="100" w:afterAutospacing="1"/>
        <w:ind w:firstLine="461"/>
        <w:rPr>
          <w:rFonts w:ascii="宋体" w:eastAsia="宋体"/>
          <w:color w:val="auto"/>
          <w:sz w:val="24"/>
        </w:rPr>
      </w:pPr>
      <w:r>
        <w:rPr>
          <w:rFonts w:ascii="宋体" w:eastAsia="宋体" w:cs="方正仿宋简体" w:hint="eastAsia"/>
          <w:sz w:val="24"/>
        </w:rPr>
        <w:t>（四）</w:t>
      </w:r>
      <w:r>
        <w:rPr>
          <w:rFonts w:ascii="宋体" w:eastAsia="宋体" w:hint="eastAsia"/>
          <w:color w:val="auto"/>
          <w:sz w:val="24"/>
        </w:rPr>
        <w:t>本协议正本一式陆份，协议双方各执贰份，上报中国证监会和中国银监会各壹份，每份具有同等法律效力。</w:t>
      </w:r>
    </w:p>
    <w:p w:rsidR="0086656C" w:rsidRDefault="0086656C">
      <w:bookmarkStart w:id="22" w:name="_Toc116900116"/>
    </w:p>
    <w:p w:rsidR="0086656C" w:rsidRDefault="00C12A9E">
      <w:pPr>
        <w:pStyle w:val="1"/>
        <w:spacing w:before="100" w:beforeAutospacing="1" w:after="100" w:afterAutospacing="1" w:line="400" w:lineRule="exact"/>
        <w:ind w:firstLine="422"/>
        <w:rPr>
          <w:rFonts w:ascii="宋体" w:hAnsi="宋体"/>
          <w:sz w:val="24"/>
          <w:szCs w:val="24"/>
        </w:rPr>
      </w:pPr>
      <w:r>
        <w:rPr>
          <w:rFonts w:ascii="宋体" w:hAnsi="宋体"/>
          <w:sz w:val="24"/>
          <w:szCs w:val="24"/>
        </w:rPr>
        <w:lastRenderedPageBreak/>
        <w:t>二十、托管协议</w:t>
      </w:r>
      <w:bookmarkEnd w:id="22"/>
      <w:r>
        <w:rPr>
          <w:rFonts w:ascii="宋体" w:hAnsi="宋体" w:hint="eastAsia"/>
          <w:sz w:val="24"/>
          <w:szCs w:val="24"/>
        </w:rPr>
        <w:t>的签订</w:t>
      </w:r>
    </w:p>
    <w:p w:rsidR="0086656C" w:rsidRDefault="00C12A9E">
      <w:pPr>
        <w:pStyle w:val="a6"/>
        <w:spacing w:before="100" w:beforeAutospacing="1" w:after="100" w:afterAutospacing="1"/>
        <w:ind w:firstLine="461"/>
        <w:rPr>
          <w:rFonts w:ascii="宋体" w:eastAsia="宋体"/>
          <w:sz w:val="24"/>
        </w:rPr>
      </w:pPr>
      <w:r>
        <w:rPr>
          <w:rFonts w:ascii="宋体" w:eastAsia="宋体" w:hint="eastAsia"/>
          <w:color w:val="auto"/>
          <w:sz w:val="24"/>
        </w:rPr>
        <w:t>见签署页。</w:t>
      </w:r>
    </w:p>
    <w:p w:rsidR="0086656C" w:rsidRDefault="00C12A9E">
      <w:pPr>
        <w:pStyle w:val="a6"/>
        <w:spacing w:before="100" w:beforeAutospacing="1" w:after="100" w:afterAutospacing="1"/>
        <w:ind w:firstLine="461"/>
        <w:rPr>
          <w:rFonts w:ascii="宋体" w:eastAsia="宋体"/>
          <w:sz w:val="24"/>
        </w:rPr>
      </w:pPr>
      <w:r>
        <w:rPr>
          <w:rFonts w:ascii="宋体" w:eastAsia="宋体" w:hint="eastAsia"/>
          <w:sz w:val="24"/>
        </w:rPr>
        <w:t>（以下无正文）</w:t>
      </w:r>
    </w:p>
    <w:p w:rsidR="0086656C" w:rsidRDefault="00C12A9E">
      <w:pPr>
        <w:pStyle w:val="a6"/>
        <w:spacing w:before="100" w:beforeAutospacing="1" w:after="100" w:afterAutospacing="1"/>
        <w:ind w:firstLine="461"/>
        <w:rPr>
          <w:rFonts w:ascii="宋体" w:eastAsia="宋体"/>
          <w:sz w:val="24"/>
        </w:rPr>
      </w:pPr>
      <w:r>
        <w:rPr>
          <w:rFonts w:ascii="宋体" w:eastAsia="宋体"/>
          <w:sz w:val="24"/>
        </w:rPr>
        <w:br w:type="page"/>
      </w:r>
      <w:r>
        <w:rPr>
          <w:rFonts w:ascii="宋体" w:eastAsia="宋体" w:hint="eastAsia"/>
          <w:sz w:val="24"/>
        </w:rPr>
        <w:lastRenderedPageBreak/>
        <w:t>（本页为《广发</w:t>
      </w:r>
      <w:r w:rsidR="00AE6DAB">
        <w:rPr>
          <w:rFonts w:ascii="宋体" w:eastAsia="宋体" w:hint="eastAsia"/>
          <w:sz w:val="24"/>
        </w:rPr>
        <w:t>医药健康</w:t>
      </w:r>
      <w:r>
        <w:rPr>
          <w:rFonts w:ascii="宋体" w:eastAsia="宋体" w:hint="eastAsia"/>
          <w:sz w:val="24"/>
        </w:rPr>
        <w:t>混合型证券投资基金托管协议》签署页，无正文）</w:t>
      </w:r>
    </w:p>
    <w:p w:rsidR="0086656C" w:rsidRDefault="00C12A9E">
      <w:pPr>
        <w:pStyle w:val="Web"/>
        <w:spacing w:line="400" w:lineRule="exact"/>
        <w:rPr>
          <w:color w:val="000000"/>
          <w:kern w:val="2"/>
        </w:rPr>
      </w:pPr>
      <w:r>
        <w:rPr>
          <w:color w:val="000000"/>
          <w:kern w:val="2"/>
        </w:rPr>
        <w:t xml:space="preserve">　　</w:t>
      </w:r>
    </w:p>
    <w:p w:rsidR="0086656C" w:rsidRDefault="00C12A9E">
      <w:pPr>
        <w:pStyle w:val="Web"/>
        <w:spacing w:line="400" w:lineRule="exact"/>
        <w:ind w:firstLine="403"/>
        <w:rPr>
          <w:b/>
        </w:rPr>
      </w:pPr>
      <w:r>
        <w:rPr>
          <w:b/>
        </w:rPr>
        <w:t>基金托管人</w:t>
      </w:r>
      <w:r>
        <w:rPr>
          <w:rFonts w:hint="eastAsia"/>
          <w:b/>
        </w:rPr>
        <w:t>:中国银行股份有限公司</w:t>
      </w:r>
    </w:p>
    <w:p w:rsidR="0086656C" w:rsidRDefault="0086656C">
      <w:pPr>
        <w:pStyle w:val="Web"/>
        <w:spacing w:line="400" w:lineRule="exact"/>
        <w:ind w:firstLine="403"/>
        <w:rPr>
          <w:b/>
        </w:rPr>
      </w:pPr>
    </w:p>
    <w:p w:rsidR="0086656C" w:rsidRDefault="00C12A9E">
      <w:pPr>
        <w:pStyle w:val="Web"/>
        <w:spacing w:line="400" w:lineRule="exact"/>
        <w:ind w:firstLine="403"/>
        <w:rPr>
          <w:b/>
        </w:rPr>
      </w:pPr>
      <w:r>
        <w:rPr>
          <w:b/>
        </w:rPr>
        <w:t>法定代表人</w:t>
      </w:r>
      <w:r>
        <w:rPr>
          <w:rFonts w:hint="eastAsia"/>
          <w:b/>
        </w:rPr>
        <w:t>或授权签字人：</w:t>
      </w:r>
    </w:p>
    <w:p w:rsidR="0086656C" w:rsidRDefault="0086656C">
      <w:pPr>
        <w:pStyle w:val="Web"/>
        <w:spacing w:line="400" w:lineRule="exact"/>
        <w:ind w:firstLine="420"/>
        <w:rPr>
          <w:b/>
        </w:rPr>
      </w:pPr>
    </w:p>
    <w:p w:rsidR="0086656C" w:rsidRDefault="0086656C">
      <w:pPr>
        <w:pStyle w:val="Web"/>
        <w:spacing w:line="400" w:lineRule="exact"/>
        <w:ind w:firstLine="420"/>
        <w:rPr>
          <w:b/>
        </w:rPr>
      </w:pPr>
    </w:p>
    <w:p w:rsidR="0086656C" w:rsidRDefault="00C12A9E">
      <w:pPr>
        <w:pStyle w:val="Web"/>
        <w:spacing w:line="400" w:lineRule="exact"/>
        <w:ind w:firstLine="403"/>
        <w:rPr>
          <w:b/>
        </w:rPr>
      </w:pPr>
      <w:r>
        <w:rPr>
          <w:b/>
        </w:rPr>
        <w:t>签订日：</w:t>
      </w:r>
      <w:r>
        <w:rPr>
          <w:rFonts w:hint="eastAsia"/>
          <w:b/>
        </w:rPr>
        <w:tab/>
      </w:r>
    </w:p>
    <w:p w:rsidR="0086656C" w:rsidRDefault="00C12A9E">
      <w:pPr>
        <w:pStyle w:val="Web"/>
        <w:spacing w:line="400" w:lineRule="exact"/>
        <w:ind w:firstLine="420"/>
        <w:rPr>
          <w:b/>
        </w:rPr>
      </w:pPr>
      <w:r>
        <w:rPr>
          <w:b/>
        </w:rPr>
        <w:t xml:space="preserve">签订地：　</w:t>
      </w:r>
    </w:p>
    <w:p w:rsidR="0086656C" w:rsidRDefault="0086656C">
      <w:pPr>
        <w:pStyle w:val="Web"/>
        <w:spacing w:line="400" w:lineRule="exact"/>
        <w:ind w:firstLine="540"/>
        <w:rPr>
          <w:b/>
        </w:rPr>
      </w:pPr>
    </w:p>
    <w:p w:rsidR="0086656C" w:rsidRDefault="0086656C">
      <w:pPr>
        <w:pStyle w:val="Web"/>
        <w:spacing w:line="400" w:lineRule="exact"/>
        <w:ind w:firstLine="540"/>
        <w:rPr>
          <w:b/>
        </w:rPr>
      </w:pPr>
    </w:p>
    <w:p w:rsidR="0086656C" w:rsidRDefault="0086656C">
      <w:pPr>
        <w:pStyle w:val="Web"/>
        <w:spacing w:line="400" w:lineRule="exact"/>
        <w:ind w:firstLine="403"/>
        <w:rPr>
          <w:b/>
        </w:rPr>
      </w:pPr>
    </w:p>
    <w:p w:rsidR="0086656C" w:rsidRDefault="00C12A9E">
      <w:pPr>
        <w:spacing w:before="100" w:beforeAutospacing="1" w:after="100" w:afterAutospacing="1" w:line="400" w:lineRule="exact"/>
        <w:ind w:firstLine="403"/>
        <w:rPr>
          <w:rFonts w:ascii="宋体" w:hAnsi="宋体"/>
          <w:b/>
          <w:sz w:val="24"/>
        </w:rPr>
      </w:pPr>
      <w:r>
        <w:rPr>
          <w:rFonts w:ascii="宋体" w:hAnsi="宋体"/>
          <w:b/>
          <w:sz w:val="24"/>
        </w:rPr>
        <w:t>基金管理人：</w:t>
      </w:r>
      <w:r>
        <w:rPr>
          <w:rFonts w:ascii="宋体" w:hAnsi="宋体" w:hint="eastAsia"/>
          <w:b/>
          <w:sz w:val="24"/>
        </w:rPr>
        <w:t>广发基金管理有限公司</w:t>
      </w:r>
    </w:p>
    <w:p w:rsidR="0086656C" w:rsidRDefault="0086656C">
      <w:pPr>
        <w:pStyle w:val="Web"/>
        <w:spacing w:line="400" w:lineRule="exact"/>
        <w:rPr>
          <w:b/>
        </w:rPr>
      </w:pPr>
    </w:p>
    <w:p w:rsidR="0086656C" w:rsidRDefault="00C12A9E">
      <w:pPr>
        <w:pStyle w:val="Web"/>
        <w:spacing w:line="400" w:lineRule="exact"/>
        <w:ind w:firstLine="403"/>
        <w:rPr>
          <w:b/>
        </w:rPr>
      </w:pPr>
      <w:r>
        <w:rPr>
          <w:b/>
        </w:rPr>
        <w:t>法定代表人</w:t>
      </w:r>
      <w:r>
        <w:rPr>
          <w:rFonts w:hint="eastAsia"/>
          <w:b/>
        </w:rPr>
        <w:t xml:space="preserve">或授权签字人： </w:t>
      </w:r>
    </w:p>
    <w:p w:rsidR="0086656C" w:rsidRDefault="0086656C">
      <w:pPr>
        <w:pStyle w:val="Web"/>
        <w:spacing w:line="400" w:lineRule="exact"/>
        <w:ind w:firstLine="420"/>
        <w:rPr>
          <w:b/>
        </w:rPr>
      </w:pPr>
    </w:p>
    <w:p w:rsidR="0086656C" w:rsidRDefault="0086656C">
      <w:pPr>
        <w:pStyle w:val="Web"/>
        <w:spacing w:line="400" w:lineRule="exact"/>
        <w:ind w:firstLine="420"/>
        <w:rPr>
          <w:b/>
        </w:rPr>
      </w:pPr>
    </w:p>
    <w:p w:rsidR="0086656C" w:rsidRDefault="00C12A9E">
      <w:pPr>
        <w:pStyle w:val="Web"/>
        <w:spacing w:line="400" w:lineRule="exact"/>
        <w:ind w:firstLine="420"/>
        <w:rPr>
          <w:b/>
        </w:rPr>
      </w:pPr>
      <w:r>
        <w:rPr>
          <w:b/>
        </w:rPr>
        <w:t>签订日：</w:t>
      </w:r>
    </w:p>
    <w:p w:rsidR="0086656C" w:rsidRDefault="00C12A9E">
      <w:pPr>
        <w:pStyle w:val="Web"/>
        <w:spacing w:line="400" w:lineRule="exact"/>
        <w:ind w:firstLine="403"/>
        <w:rPr>
          <w:b/>
        </w:rPr>
      </w:pPr>
      <w:r>
        <w:rPr>
          <w:b/>
        </w:rPr>
        <w:t xml:space="preserve">签订地：　</w:t>
      </w:r>
      <w:r>
        <w:rPr>
          <w:rFonts w:hint="eastAsia"/>
          <w:b/>
        </w:rPr>
        <w:tab/>
      </w:r>
    </w:p>
    <w:p w:rsidR="0086656C" w:rsidRDefault="0086656C">
      <w:pPr>
        <w:pStyle w:val="a6"/>
        <w:spacing w:before="100" w:beforeAutospacing="1" w:after="100" w:afterAutospacing="1"/>
        <w:ind w:firstLine="463"/>
        <w:rPr>
          <w:rFonts w:ascii="宋体" w:eastAsia="宋体"/>
          <w:b/>
          <w:color w:val="auto"/>
          <w:sz w:val="24"/>
        </w:rPr>
      </w:pPr>
    </w:p>
    <w:sectPr w:rsidR="0086656C">
      <w:headerReference w:type="default" r:id="rId7"/>
      <w:footerReference w:type="even" r:id="rId8"/>
      <w:footerReference w:type="default" r:id="rId9"/>
      <w:type w:val="continuous"/>
      <w:pgSz w:w="11906" w:h="16838"/>
      <w:pgMar w:top="1440" w:right="1800" w:bottom="1440" w:left="1800" w:header="851" w:footer="992" w:gutter="0"/>
      <w:pgNumType w:start="1"/>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4D58" w:rsidRDefault="00624D58">
      <w:r>
        <w:separator/>
      </w:r>
    </w:p>
  </w:endnote>
  <w:endnote w:type="continuationSeparator" w:id="0">
    <w:p w:rsidR="00624D58" w:rsidRDefault="00624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长城仿宋">
    <w:altName w:val="黑体"/>
    <w:charset w:val="86"/>
    <w:family w:val="modern"/>
    <w:pitch w:val="default"/>
    <w:sig w:usb0="00000000" w:usb1="00000000" w:usb2="00000010" w:usb3="00000000" w:csb0="00040000" w:csb1="00000000"/>
  </w:font>
  <w:font w:name="方正仿宋简体">
    <w:altName w:val="宋体"/>
    <w:charset w:val="86"/>
    <w:family w:val="auto"/>
    <w:pitch w:val="default"/>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656C" w:rsidRDefault="00C12A9E">
    <w:pPr>
      <w:pStyle w:val="a9"/>
      <w:framePr w:wrap="around" w:vAnchor="text" w:hAnchor="margin" w:xAlign="right" w:y="1"/>
      <w:rPr>
        <w:rStyle w:val="ac"/>
      </w:rPr>
    </w:pPr>
    <w:r>
      <w:fldChar w:fldCharType="begin"/>
    </w:r>
    <w:r>
      <w:rPr>
        <w:rStyle w:val="ac"/>
      </w:rPr>
      <w:instrText xml:space="preserve">PAGE  </w:instrText>
    </w:r>
    <w:r>
      <w:fldChar w:fldCharType="end"/>
    </w:r>
  </w:p>
  <w:p w:rsidR="0086656C" w:rsidRDefault="0086656C">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656C" w:rsidRDefault="00C12A9E">
    <w:pPr>
      <w:pStyle w:val="a9"/>
      <w:jc w:val="center"/>
    </w:pPr>
    <w:r>
      <w:fldChar w:fldCharType="begin"/>
    </w:r>
    <w:r>
      <w:instrText>PAGE   \* MERGEFORMAT</w:instrText>
    </w:r>
    <w:r>
      <w:fldChar w:fldCharType="separate"/>
    </w:r>
    <w:r w:rsidR="00BD4EEB" w:rsidRPr="00BD4EEB">
      <w:rPr>
        <w:noProof/>
        <w:lang w:val="zh-CN"/>
      </w:rPr>
      <w:t>30</w:t>
    </w:r>
    <w:r>
      <w:fldChar w:fldCharType="end"/>
    </w:r>
  </w:p>
  <w:p w:rsidR="0086656C" w:rsidRDefault="0086656C">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4D58" w:rsidRDefault="00624D58">
      <w:r>
        <w:separator/>
      </w:r>
    </w:p>
  </w:footnote>
  <w:footnote w:type="continuationSeparator" w:id="0">
    <w:p w:rsidR="00624D58" w:rsidRDefault="00624D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656C" w:rsidRDefault="00C12A9E">
    <w:pPr>
      <w:pStyle w:val="aa"/>
      <w:wordWrap w:val="0"/>
      <w:jc w:val="right"/>
    </w:pPr>
    <w:r>
      <w:t>托管协议</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2"/>
  <w:drawingGridVerticalSpacing w:val="3"/>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76BE"/>
    <w:rsid w:val="00004D8F"/>
    <w:rsid w:val="00005400"/>
    <w:rsid w:val="000154B1"/>
    <w:rsid w:val="000173BD"/>
    <w:rsid w:val="00021F4E"/>
    <w:rsid w:val="000223B0"/>
    <w:rsid w:val="00022F5B"/>
    <w:rsid w:val="00024F9F"/>
    <w:rsid w:val="00027A8B"/>
    <w:rsid w:val="00031BE4"/>
    <w:rsid w:val="000373C8"/>
    <w:rsid w:val="00040A2B"/>
    <w:rsid w:val="00045293"/>
    <w:rsid w:val="00046E26"/>
    <w:rsid w:val="0004799F"/>
    <w:rsid w:val="00053D35"/>
    <w:rsid w:val="00056250"/>
    <w:rsid w:val="0006445C"/>
    <w:rsid w:val="000650FF"/>
    <w:rsid w:val="00070854"/>
    <w:rsid w:val="00072204"/>
    <w:rsid w:val="000730D5"/>
    <w:rsid w:val="00081420"/>
    <w:rsid w:val="00081477"/>
    <w:rsid w:val="0008188D"/>
    <w:rsid w:val="00085508"/>
    <w:rsid w:val="00097DC5"/>
    <w:rsid w:val="000A13CA"/>
    <w:rsid w:val="000A4483"/>
    <w:rsid w:val="000B0297"/>
    <w:rsid w:val="000B6AA2"/>
    <w:rsid w:val="000C7AD1"/>
    <w:rsid w:val="000D10A2"/>
    <w:rsid w:val="000D15B1"/>
    <w:rsid w:val="000E2CE1"/>
    <w:rsid w:val="000F5377"/>
    <w:rsid w:val="00104752"/>
    <w:rsid w:val="001075B3"/>
    <w:rsid w:val="001104D9"/>
    <w:rsid w:val="00115292"/>
    <w:rsid w:val="00117C8D"/>
    <w:rsid w:val="00117FC5"/>
    <w:rsid w:val="00121EF0"/>
    <w:rsid w:val="00130D5E"/>
    <w:rsid w:val="00131080"/>
    <w:rsid w:val="00134323"/>
    <w:rsid w:val="00134E02"/>
    <w:rsid w:val="001355A8"/>
    <w:rsid w:val="00136AF2"/>
    <w:rsid w:val="00136D62"/>
    <w:rsid w:val="001400FE"/>
    <w:rsid w:val="00140367"/>
    <w:rsid w:val="00143859"/>
    <w:rsid w:val="00150188"/>
    <w:rsid w:val="00150901"/>
    <w:rsid w:val="00151241"/>
    <w:rsid w:val="00151BB2"/>
    <w:rsid w:val="001526D1"/>
    <w:rsid w:val="001542EE"/>
    <w:rsid w:val="00154B1C"/>
    <w:rsid w:val="00156130"/>
    <w:rsid w:val="001629C5"/>
    <w:rsid w:val="0016648D"/>
    <w:rsid w:val="00170620"/>
    <w:rsid w:val="00170C8A"/>
    <w:rsid w:val="00173DEE"/>
    <w:rsid w:val="001741D0"/>
    <w:rsid w:val="00185399"/>
    <w:rsid w:val="001919B0"/>
    <w:rsid w:val="001A2E28"/>
    <w:rsid w:val="001A6C2B"/>
    <w:rsid w:val="001C0C1E"/>
    <w:rsid w:val="001C27A7"/>
    <w:rsid w:val="001C27DE"/>
    <w:rsid w:val="001C55DC"/>
    <w:rsid w:val="001D0D38"/>
    <w:rsid w:val="001D2CDE"/>
    <w:rsid w:val="001D6057"/>
    <w:rsid w:val="001E0A08"/>
    <w:rsid w:val="001E133D"/>
    <w:rsid w:val="001E1932"/>
    <w:rsid w:val="001E201C"/>
    <w:rsid w:val="001E592E"/>
    <w:rsid w:val="001F4C7C"/>
    <w:rsid w:val="001F5038"/>
    <w:rsid w:val="001F60D9"/>
    <w:rsid w:val="001F6BA5"/>
    <w:rsid w:val="001F7F00"/>
    <w:rsid w:val="00202069"/>
    <w:rsid w:val="002024CB"/>
    <w:rsid w:val="0020778B"/>
    <w:rsid w:val="00210D7D"/>
    <w:rsid w:val="002161A4"/>
    <w:rsid w:val="002169F9"/>
    <w:rsid w:val="002212AE"/>
    <w:rsid w:val="0022137C"/>
    <w:rsid w:val="00222F93"/>
    <w:rsid w:val="00223047"/>
    <w:rsid w:val="00227C20"/>
    <w:rsid w:val="00230BA1"/>
    <w:rsid w:val="002313EF"/>
    <w:rsid w:val="00237371"/>
    <w:rsid w:val="00237FC5"/>
    <w:rsid w:val="00243C92"/>
    <w:rsid w:val="002468D5"/>
    <w:rsid w:val="00252987"/>
    <w:rsid w:val="0025577A"/>
    <w:rsid w:val="00261B0B"/>
    <w:rsid w:val="00262182"/>
    <w:rsid w:val="00273992"/>
    <w:rsid w:val="0027634A"/>
    <w:rsid w:val="00277AC0"/>
    <w:rsid w:val="0028046F"/>
    <w:rsid w:val="00281354"/>
    <w:rsid w:val="002819F4"/>
    <w:rsid w:val="002845F1"/>
    <w:rsid w:val="00286871"/>
    <w:rsid w:val="002877DB"/>
    <w:rsid w:val="00287AE1"/>
    <w:rsid w:val="002947CB"/>
    <w:rsid w:val="00296AAD"/>
    <w:rsid w:val="002A1F51"/>
    <w:rsid w:val="002A1FFD"/>
    <w:rsid w:val="002A392E"/>
    <w:rsid w:val="002B1780"/>
    <w:rsid w:val="002B655F"/>
    <w:rsid w:val="002C328E"/>
    <w:rsid w:val="002C5760"/>
    <w:rsid w:val="002C7975"/>
    <w:rsid w:val="002C7A50"/>
    <w:rsid w:val="002D2C38"/>
    <w:rsid w:val="002D5685"/>
    <w:rsid w:val="002E08AB"/>
    <w:rsid w:val="002E18D2"/>
    <w:rsid w:val="002E3393"/>
    <w:rsid w:val="002E41B5"/>
    <w:rsid w:val="002E53CC"/>
    <w:rsid w:val="002F0B44"/>
    <w:rsid w:val="002F146B"/>
    <w:rsid w:val="002F40E3"/>
    <w:rsid w:val="00306643"/>
    <w:rsid w:val="00306DA8"/>
    <w:rsid w:val="00310E46"/>
    <w:rsid w:val="00312010"/>
    <w:rsid w:val="00312161"/>
    <w:rsid w:val="00312DC1"/>
    <w:rsid w:val="00316331"/>
    <w:rsid w:val="00321A40"/>
    <w:rsid w:val="00321B00"/>
    <w:rsid w:val="0032409B"/>
    <w:rsid w:val="003247B7"/>
    <w:rsid w:val="003263AE"/>
    <w:rsid w:val="00327E44"/>
    <w:rsid w:val="0033063E"/>
    <w:rsid w:val="00330997"/>
    <w:rsid w:val="003322FE"/>
    <w:rsid w:val="0033282F"/>
    <w:rsid w:val="0033302B"/>
    <w:rsid w:val="0033514F"/>
    <w:rsid w:val="00336055"/>
    <w:rsid w:val="00336293"/>
    <w:rsid w:val="0033739D"/>
    <w:rsid w:val="00337800"/>
    <w:rsid w:val="0034410E"/>
    <w:rsid w:val="00345145"/>
    <w:rsid w:val="003478EE"/>
    <w:rsid w:val="00347AD9"/>
    <w:rsid w:val="00350619"/>
    <w:rsid w:val="00351E29"/>
    <w:rsid w:val="0035240A"/>
    <w:rsid w:val="003564F7"/>
    <w:rsid w:val="0035711B"/>
    <w:rsid w:val="003572B7"/>
    <w:rsid w:val="00360A72"/>
    <w:rsid w:val="00362C2B"/>
    <w:rsid w:val="00366AA9"/>
    <w:rsid w:val="0036753F"/>
    <w:rsid w:val="003710C4"/>
    <w:rsid w:val="003710F8"/>
    <w:rsid w:val="00372309"/>
    <w:rsid w:val="00373DEF"/>
    <w:rsid w:val="0037482B"/>
    <w:rsid w:val="003801E2"/>
    <w:rsid w:val="00381A18"/>
    <w:rsid w:val="00382C99"/>
    <w:rsid w:val="00387AB9"/>
    <w:rsid w:val="00391678"/>
    <w:rsid w:val="00397BA9"/>
    <w:rsid w:val="003A17EA"/>
    <w:rsid w:val="003A2461"/>
    <w:rsid w:val="003A2ED7"/>
    <w:rsid w:val="003A3B11"/>
    <w:rsid w:val="003A52E0"/>
    <w:rsid w:val="003B3D67"/>
    <w:rsid w:val="003C1101"/>
    <w:rsid w:val="003C2482"/>
    <w:rsid w:val="003D033F"/>
    <w:rsid w:val="003D329A"/>
    <w:rsid w:val="003D3359"/>
    <w:rsid w:val="003D6254"/>
    <w:rsid w:val="003D6A79"/>
    <w:rsid w:val="003E0B40"/>
    <w:rsid w:val="003E3208"/>
    <w:rsid w:val="003E5136"/>
    <w:rsid w:val="003E7A82"/>
    <w:rsid w:val="003F506E"/>
    <w:rsid w:val="003F76BE"/>
    <w:rsid w:val="0040191F"/>
    <w:rsid w:val="00407B11"/>
    <w:rsid w:val="00407C37"/>
    <w:rsid w:val="0041327F"/>
    <w:rsid w:val="0041455F"/>
    <w:rsid w:val="00415CF9"/>
    <w:rsid w:val="00420578"/>
    <w:rsid w:val="00422F0D"/>
    <w:rsid w:val="004265D0"/>
    <w:rsid w:val="00432CC6"/>
    <w:rsid w:val="00434689"/>
    <w:rsid w:val="00434EB2"/>
    <w:rsid w:val="00437BCC"/>
    <w:rsid w:val="00437D0E"/>
    <w:rsid w:val="0044418A"/>
    <w:rsid w:val="004441B8"/>
    <w:rsid w:val="00447CA1"/>
    <w:rsid w:val="00447E25"/>
    <w:rsid w:val="004510F6"/>
    <w:rsid w:val="00451623"/>
    <w:rsid w:val="00451CC7"/>
    <w:rsid w:val="004574F6"/>
    <w:rsid w:val="004577D6"/>
    <w:rsid w:val="00461180"/>
    <w:rsid w:val="00461749"/>
    <w:rsid w:val="00467137"/>
    <w:rsid w:val="00471518"/>
    <w:rsid w:val="00472029"/>
    <w:rsid w:val="004776F5"/>
    <w:rsid w:val="004777E0"/>
    <w:rsid w:val="004777EA"/>
    <w:rsid w:val="00480715"/>
    <w:rsid w:val="00484D0E"/>
    <w:rsid w:val="00494C86"/>
    <w:rsid w:val="004B05D4"/>
    <w:rsid w:val="004B082B"/>
    <w:rsid w:val="004B1997"/>
    <w:rsid w:val="004B5D49"/>
    <w:rsid w:val="004C10F5"/>
    <w:rsid w:val="004C26DB"/>
    <w:rsid w:val="004C2EEA"/>
    <w:rsid w:val="004C5725"/>
    <w:rsid w:val="004E1CEE"/>
    <w:rsid w:val="004E293F"/>
    <w:rsid w:val="004E45A3"/>
    <w:rsid w:val="004E5518"/>
    <w:rsid w:val="004F1396"/>
    <w:rsid w:val="004F13E7"/>
    <w:rsid w:val="004F4214"/>
    <w:rsid w:val="004F4338"/>
    <w:rsid w:val="00500461"/>
    <w:rsid w:val="00500A25"/>
    <w:rsid w:val="00501E65"/>
    <w:rsid w:val="005059DE"/>
    <w:rsid w:val="005131E8"/>
    <w:rsid w:val="00513E25"/>
    <w:rsid w:val="00517A8A"/>
    <w:rsid w:val="00526501"/>
    <w:rsid w:val="00526DFE"/>
    <w:rsid w:val="005318BA"/>
    <w:rsid w:val="00533ED9"/>
    <w:rsid w:val="005428AF"/>
    <w:rsid w:val="00545BEC"/>
    <w:rsid w:val="00545CA2"/>
    <w:rsid w:val="00546A60"/>
    <w:rsid w:val="00547F06"/>
    <w:rsid w:val="00550D41"/>
    <w:rsid w:val="00557771"/>
    <w:rsid w:val="00561D33"/>
    <w:rsid w:val="0056260F"/>
    <w:rsid w:val="00562FD2"/>
    <w:rsid w:val="00565045"/>
    <w:rsid w:val="00566037"/>
    <w:rsid w:val="00567836"/>
    <w:rsid w:val="00573C2F"/>
    <w:rsid w:val="00575B13"/>
    <w:rsid w:val="005801D8"/>
    <w:rsid w:val="0058032A"/>
    <w:rsid w:val="0058205C"/>
    <w:rsid w:val="00583E7F"/>
    <w:rsid w:val="005852D2"/>
    <w:rsid w:val="00587E55"/>
    <w:rsid w:val="00592B54"/>
    <w:rsid w:val="00592D9A"/>
    <w:rsid w:val="0059429C"/>
    <w:rsid w:val="005A0F7F"/>
    <w:rsid w:val="005A11C5"/>
    <w:rsid w:val="005A1608"/>
    <w:rsid w:val="005A2A8D"/>
    <w:rsid w:val="005B1304"/>
    <w:rsid w:val="005B1431"/>
    <w:rsid w:val="005B320E"/>
    <w:rsid w:val="005B5FB7"/>
    <w:rsid w:val="005C0A67"/>
    <w:rsid w:val="005C0C33"/>
    <w:rsid w:val="005C5CFB"/>
    <w:rsid w:val="005D266C"/>
    <w:rsid w:val="005D3A53"/>
    <w:rsid w:val="005D4815"/>
    <w:rsid w:val="005D5A84"/>
    <w:rsid w:val="005D70F7"/>
    <w:rsid w:val="005E0815"/>
    <w:rsid w:val="005E1F75"/>
    <w:rsid w:val="005E6183"/>
    <w:rsid w:val="005E67A0"/>
    <w:rsid w:val="005F0C13"/>
    <w:rsid w:val="005F1CC3"/>
    <w:rsid w:val="005F272C"/>
    <w:rsid w:val="005F5915"/>
    <w:rsid w:val="00601F3C"/>
    <w:rsid w:val="006023E5"/>
    <w:rsid w:val="00602C6B"/>
    <w:rsid w:val="00604155"/>
    <w:rsid w:val="00604168"/>
    <w:rsid w:val="00605E5B"/>
    <w:rsid w:val="0060600F"/>
    <w:rsid w:val="00606510"/>
    <w:rsid w:val="00606DDF"/>
    <w:rsid w:val="006121E6"/>
    <w:rsid w:val="0061251F"/>
    <w:rsid w:val="00612D20"/>
    <w:rsid w:val="00613050"/>
    <w:rsid w:val="006151E4"/>
    <w:rsid w:val="00616F86"/>
    <w:rsid w:val="0061782D"/>
    <w:rsid w:val="00620624"/>
    <w:rsid w:val="00621B60"/>
    <w:rsid w:val="00623B30"/>
    <w:rsid w:val="0062453D"/>
    <w:rsid w:val="00624D58"/>
    <w:rsid w:val="0062708F"/>
    <w:rsid w:val="006300E1"/>
    <w:rsid w:val="00630B5D"/>
    <w:rsid w:val="00634BFB"/>
    <w:rsid w:val="00637EE8"/>
    <w:rsid w:val="00640B39"/>
    <w:rsid w:val="00642B0F"/>
    <w:rsid w:val="006458E6"/>
    <w:rsid w:val="00647510"/>
    <w:rsid w:val="006513A6"/>
    <w:rsid w:val="006524C9"/>
    <w:rsid w:val="0065529F"/>
    <w:rsid w:val="00655FDB"/>
    <w:rsid w:val="006575F2"/>
    <w:rsid w:val="0066110D"/>
    <w:rsid w:val="006611E5"/>
    <w:rsid w:val="00663A8C"/>
    <w:rsid w:val="00663B08"/>
    <w:rsid w:val="00671805"/>
    <w:rsid w:val="006822BB"/>
    <w:rsid w:val="00683044"/>
    <w:rsid w:val="00683DAD"/>
    <w:rsid w:val="006843CC"/>
    <w:rsid w:val="00686DCE"/>
    <w:rsid w:val="006A094B"/>
    <w:rsid w:val="006A1FBE"/>
    <w:rsid w:val="006B0778"/>
    <w:rsid w:val="006C2FE1"/>
    <w:rsid w:val="006C7C4B"/>
    <w:rsid w:val="006D5042"/>
    <w:rsid w:val="006D686B"/>
    <w:rsid w:val="006E0EB2"/>
    <w:rsid w:val="006E5412"/>
    <w:rsid w:val="006E5E72"/>
    <w:rsid w:val="006F6181"/>
    <w:rsid w:val="006F76D3"/>
    <w:rsid w:val="007001F9"/>
    <w:rsid w:val="00702E40"/>
    <w:rsid w:val="0070465C"/>
    <w:rsid w:val="00705EE4"/>
    <w:rsid w:val="00706418"/>
    <w:rsid w:val="0070778E"/>
    <w:rsid w:val="00713AA8"/>
    <w:rsid w:val="007140BB"/>
    <w:rsid w:val="00717065"/>
    <w:rsid w:val="007219B0"/>
    <w:rsid w:val="00723E33"/>
    <w:rsid w:val="007265D5"/>
    <w:rsid w:val="007310B9"/>
    <w:rsid w:val="00741835"/>
    <w:rsid w:val="00742619"/>
    <w:rsid w:val="00744F12"/>
    <w:rsid w:val="00744FCC"/>
    <w:rsid w:val="00747146"/>
    <w:rsid w:val="007501C9"/>
    <w:rsid w:val="007544C1"/>
    <w:rsid w:val="00760028"/>
    <w:rsid w:val="007605B8"/>
    <w:rsid w:val="0076068D"/>
    <w:rsid w:val="00765E70"/>
    <w:rsid w:val="00765E78"/>
    <w:rsid w:val="0077005B"/>
    <w:rsid w:val="00770AB2"/>
    <w:rsid w:val="00770D75"/>
    <w:rsid w:val="00776945"/>
    <w:rsid w:val="007815EA"/>
    <w:rsid w:val="00787095"/>
    <w:rsid w:val="007908A5"/>
    <w:rsid w:val="00791330"/>
    <w:rsid w:val="00791C88"/>
    <w:rsid w:val="00795AE7"/>
    <w:rsid w:val="00797671"/>
    <w:rsid w:val="007A6326"/>
    <w:rsid w:val="007B260F"/>
    <w:rsid w:val="007B29E8"/>
    <w:rsid w:val="007B33F3"/>
    <w:rsid w:val="007B3FEC"/>
    <w:rsid w:val="007C1E3C"/>
    <w:rsid w:val="007D5292"/>
    <w:rsid w:val="007D7751"/>
    <w:rsid w:val="00803057"/>
    <w:rsid w:val="0080341C"/>
    <w:rsid w:val="0080626E"/>
    <w:rsid w:val="00810E68"/>
    <w:rsid w:val="0081307D"/>
    <w:rsid w:val="00821AEC"/>
    <w:rsid w:val="008279A6"/>
    <w:rsid w:val="0083356F"/>
    <w:rsid w:val="00841BD0"/>
    <w:rsid w:val="008522CE"/>
    <w:rsid w:val="008559D5"/>
    <w:rsid w:val="00861143"/>
    <w:rsid w:val="00863252"/>
    <w:rsid w:val="0086656C"/>
    <w:rsid w:val="008669CD"/>
    <w:rsid w:val="00871997"/>
    <w:rsid w:val="0087507D"/>
    <w:rsid w:val="00880E99"/>
    <w:rsid w:val="0088223F"/>
    <w:rsid w:val="00886986"/>
    <w:rsid w:val="00887BB0"/>
    <w:rsid w:val="00890B8D"/>
    <w:rsid w:val="008916D1"/>
    <w:rsid w:val="008944C7"/>
    <w:rsid w:val="0089669B"/>
    <w:rsid w:val="00896FA6"/>
    <w:rsid w:val="008A1DB5"/>
    <w:rsid w:val="008A5569"/>
    <w:rsid w:val="008A5F3F"/>
    <w:rsid w:val="008B2CE7"/>
    <w:rsid w:val="008B38F5"/>
    <w:rsid w:val="008C10E7"/>
    <w:rsid w:val="008C1110"/>
    <w:rsid w:val="008D0D07"/>
    <w:rsid w:val="008D15DD"/>
    <w:rsid w:val="008D29B5"/>
    <w:rsid w:val="008D46CB"/>
    <w:rsid w:val="008D5BFD"/>
    <w:rsid w:val="008D6F89"/>
    <w:rsid w:val="008D75B9"/>
    <w:rsid w:val="008E3210"/>
    <w:rsid w:val="008E3D73"/>
    <w:rsid w:val="008E7AA7"/>
    <w:rsid w:val="008F00EC"/>
    <w:rsid w:val="008F00FC"/>
    <w:rsid w:val="008F283C"/>
    <w:rsid w:val="008F33C7"/>
    <w:rsid w:val="008F350B"/>
    <w:rsid w:val="008F4F84"/>
    <w:rsid w:val="008F5E0C"/>
    <w:rsid w:val="008F75D1"/>
    <w:rsid w:val="008F7B24"/>
    <w:rsid w:val="0090065F"/>
    <w:rsid w:val="00900FD1"/>
    <w:rsid w:val="00913DEC"/>
    <w:rsid w:val="00916782"/>
    <w:rsid w:val="00924178"/>
    <w:rsid w:val="0092749F"/>
    <w:rsid w:val="00933830"/>
    <w:rsid w:val="00933FE7"/>
    <w:rsid w:val="00935556"/>
    <w:rsid w:val="009357DA"/>
    <w:rsid w:val="00943AC1"/>
    <w:rsid w:val="00943B73"/>
    <w:rsid w:val="00945640"/>
    <w:rsid w:val="00946A26"/>
    <w:rsid w:val="00950242"/>
    <w:rsid w:val="00951358"/>
    <w:rsid w:val="00957DEB"/>
    <w:rsid w:val="00973CFA"/>
    <w:rsid w:val="00977B8E"/>
    <w:rsid w:val="00987AF5"/>
    <w:rsid w:val="00990602"/>
    <w:rsid w:val="00991E95"/>
    <w:rsid w:val="0099756D"/>
    <w:rsid w:val="009A2718"/>
    <w:rsid w:val="009A6F8B"/>
    <w:rsid w:val="009B2051"/>
    <w:rsid w:val="009B2749"/>
    <w:rsid w:val="009B2B56"/>
    <w:rsid w:val="009B3A14"/>
    <w:rsid w:val="009B6343"/>
    <w:rsid w:val="009B65DC"/>
    <w:rsid w:val="009B7A1C"/>
    <w:rsid w:val="009B7F8A"/>
    <w:rsid w:val="009C249F"/>
    <w:rsid w:val="009C395D"/>
    <w:rsid w:val="009C426B"/>
    <w:rsid w:val="009C543F"/>
    <w:rsid w:val="009C6225"/>
    <w:rsid w:val="009C69EB"/>
    <w:rsid w:val="009D4F7B"/>
    <w:rsid w:val="009D7BE1"/>
    <w:rsid w:val="009E059E"/>
    <w:rsid w:val="009E1C2F"/>
    <w:rsid w:val="009E2B06"/>
    <w:rsid w:val="009F101B"/>
    <w:rsid w:val="009F1905"/>
    <w:rsid w:val="009F4B82"/>
    <w:rsid w:val="009F6EE6"/>
    <w:rsid w:val="00A009CA"/>
    <w:rsid w:val="00A01661"/>
    <w:rsid w:val="00A02926"/>
    <w:rsid w:val="00A03C34"/>
    <w:rsid w:val="00A06573"/>
    <w:rsid w:val="00A07079"/>
    <w:rsid w:val="00A108A9"/>
    <w:rsid w:val="00A114B9"/>
    <w:rsid w:val="00A11D0E"/>
    <w:rsid w:val="00A16A4D"/>
    <w:rsid w:val="00A2283C"/>
    <w:rsid w:val="00A23810"/>
    <w:rsid w:val="00A25363"/>
    <w:rsid w:val="00A268BA"/>
    <w:rsid w:val="00A27B4D"/>
    <w:rsid w:val="00A30D27"/>
    <w:rsid w:val="00A32619"/>
    <w:rsid w:val="00A347A9"/>
    <w:rsid w:val="00A34D07"/>
    <w:rsid w:val="00A352EA"/>
    <w:rsid w:val="00A35EE7"/>
    <w:rsid w:val="00A37BB3"/>
    <w:rsid w:val="00A569F2"/>
    <w:rsid w:val="00A56EDD"/>
    <w:rsid w:val="00A5724D"/>
    <w:rsid w:val="00A60690"/>
    <w:rsid w:val="00A61478"/>
    <w:rsid w:val="00A70C67"/>
    <w:rsid w:val="00A723C5"/>
    <w:rsid w:val="00A812BD"/>
    <w:rsid w:val="00A813DA"/>
    <w:rsid w:val="00A81895"/>
    <w:rsid w:val="00A81DBC"/>
    <w:rsid w:val="00A85408"/>
    <w:rsid w:val="00A858CF"/>
    <w:rsid w:val="00A91E37"/>
    <w:rsid w:val="00A930DD"/>
    <w:rsid w:val="00A95EB8"/>
    <w:rsid w:val="00A968CF"/>
    <w:rsid w:val="00A97CDB"/>
    <w:rsid w:val="00AA08BA"/>
    <w:rsid w:val="00AA59F3"/>
    <w:rsid w:val="00AB1761"/>
    <w:rsid w:val="00AB37AD"/>
    <w:rsid w:val="00AC72B7"/>
    <w:rsid w:val="00AD1533"/>
    <w:rsid w:val="00AD17A9"/>
    <w:rsid w:val="00AD27CE"/>
    <w:rsid w:val="00AD2ED5"/>
    <w:rsid w:val="00AE1B33"/>
    <w:rsid w:val="00AE33EC"/>
    <w:rsid w:val="00AE6DAB"/>
    <w:rsid w:val="00B03564"/>
    <w:rsid w:val="00B10167"/>
    <w:rsid w:val="00B10179"/>
    <w:rsid w:val="00B1280D"/>
    <w:rsid w:val="00B12D6B"/>
    <w:rsid w:val="00B137FE"/>
    <w:rsid w:val="00B14D82"/>
    <w:rsid w:val="00B16204"/>
    <w:rsid w:val="00B16D18"/>
    <w:rsid w:val="00B23D64"/>
    <w:rsid w:val="00B25572"/>
    <w:rsid w:val="00B25BA2"/>
    <w:rsid w:val="00B27C70"/>
    <w:rsid w:val="00B412FA"/>
    <w:rsid w:val="00B4536A"/>
    <w:rsid w:val="00B52186"/>
    <w:rsid w:val="00B53C57"/>
    <w:rsid w:val="00B55710"/>
    <w:rsid w:val="00B56179"/>
    <w:rsid w:val="00B57850"/>
    <w:rsid w:val="00B611A1"/>
    <w:rsid w:val="00B61DD8"/>
    <w:rsid w:val="00B679AF"/>
    <w:rsid w:val="00B71C52"/>
    <w:rsid w:val="00B8017C"/>
    <w:rsid w:val="00B80F49"/>
    <w:rsid w:val="00B815AC"/>
    <w:rsid w:val="00B82F2F"/>
    <w:rsid w:val="00B859D1"/>
    <w:rsid w:val="00B96942"/>
    <w:rsid w:val="00B97E65"/>
    <w:rsid w:val="00BA2D56"/>
    <w:rsid w:val="00BA3051"/>
    <w:rsid w:val="00BA3F10"/>
    <w:rsid w:val="00BA6182"/>
    <w:rsid w:val="00BD1893"/>
    <w:rsid w:val="00BD2E56"/>
    <w:rsid w:val="00BD4EEB"/>
    <w:rsid w:val="00BD7C96"/>
    <w:rsid w:val="00BE0A23"/>
    <w:rsid w:val="00BE0F15"/>
    <w:rsid w:val="00BE2A0D"/>
    <w:rsid w:val="00BF0DF5"/>
    <w:rsid w:val="00BF170A"/>
    <w:rsid w:val="00BF3523"/>
    <w:rsid w:val="00C00BE8"/>
    <w:rsid w:val="00C020F1"/>
    <w:rsid w:val="00C0714E"/>
    <w:rsid w:val="00C12A9E"/>
    <w:rsid w:val="00C138B1"/>
    <w:rsid w:val="00C14EF3"/>
    <w:rsid w:val="00C1538A"/>
    <w:rsid w:val="00C2092C"/>
    <w:rsid w:val="00C21E76"/>
    <w:rsid w:val="00C229F4"/>
    <w:rsid w:val="00C24D23"/>
    <w:rsid w:val="00C2567D"/>
    <w:rsid w:val="00C25719"/>
    <w:rsid w:val="00C36308"/>
    <w:rsid w:val="00C40982"/>
    <w:rsid w:val="00C500DE"/>
    <w:rsid w:val="00C613B1"/>
    <w:rsid w:val="00C718FE"/>
    <w:rsid w:val="00C72C65"/>
    <w:rsid w:val="00C73C41"/>
    <w:rsid w:val="00C764CF"/>
    <w:rsid w:val="00C80AC2"/>
    <w:rsid w:val="00C80D34"/>
    <w:rsid w:val="00C81513"/>
    <w:rsid w:val="00C816B1"/>
    <w:rsid w:val="00C83B89"/>
    <w:rsid w:val="00C84305"/>
    <w:rsid w:val="00C86597"/>
    <w:rsid w:val="00C9178C"/>
    <w:rsid w:val="00C921D5"/>
    <w:rsid w:val="00CA0A74"/>
    <w:rsid w:val="00CA17FA"/>
    <w:rsid w:val="00CA23C3"/>
    <w:rsid w:val="00CA3637"/>
    <w:rsid w:val="00CA6E81"/>
    <w:rsid w:val="00CA73D9"/>
    <w:rsid w:val="00CA7AB0"/>
    <w:rsid w:val="00CB0E26"/>
    <w:rsid w:val="00CB0FCF"/>
    <w:rsid w:val="00CB5A22"/>
    <w:rsid w:val="00CC636E"/>
    <w:rsid w:val="00CD0DAB"/>
    <w:rsid w:val="00CD75D3"/>
    <w:rsid w:val="00CE0B0E"/>
    <w:rsid w:val="00CE10BD"/>
    <w:rsid w:val="00CE6082"/>
    <w:rsid w:val="00CE7223"/>
    <w:rsid w:val="00CE7C68"/>
    <w:rsid w:val="00CF07E3"/>
    <w:rsid w:val="00CF286B"/>
    <w:rsid w:val="00CF3864"/>
    <w:rsid w:val="00CF5CD8"/>
    <w:rsid w:val="00D05193"/>
    <w:rsid w:val="00D054F3"/>
    <w:rsid w:val="00D101CB"/>
    <w:rsid w:val="00D11020"/>
    <w:rsid w:val="00D245DF"/>
    <w:rsid w:val="00D25E86"/>
    <w:rsid w:val="00D32806"/>
    <w:rsid w:val="00D40112"/>
    <w:rsid w:val="00D402BC"/>
    <w:rsid w:val="00D41172"/>
    <w:rsid w:val="00D427B4"/>
    <w:rsid w:val="00D43F94"/>
    <w:rsid w:val="00D578B2"/>
    <w:rsid w:val="00D66AC0"/>
    <w:rsid w:val="00D70171"/>
    <w:rsid w:val="00D732D1"/>
    <w:rsid w:val="00D751CD"/>
    <w:rsid w:val="00D823F3"/>
    <w:rsid w:val="00D82E53"/>
    <w:rsid w:val="00D84067"/>
    <w:rsid w:val="00D86D9E"/>
    <w:rsid w:val="00D879D7"/>
    <w:rsid w:val="00D93350"/>
    <w:rsid w:val="00D9435A"/>
    <w:rsid w:val="00D974E1"/>
    <w:rsid w:val="00DA3426"/>
    <w:rsid w:val="00DA3C45"/>
    <w:rsid w:val="00DA7246"/>
    <w:rsid w:val="00DB011D"/>
    <w:rsid w:val="00DB5596"/>
    <w:rsid w:val="00DC0146"/>
    <w:rsid w:val="00DC2D81"/>
    <w:rsid w:val="00DC2D88"/>
    <w:rsid w:val="00DC5890"/>
    <w:rsid w:val="00DC747A"/>
    <w:rsid w:val="00DC7724"/>
    <w:rsid w:val="00DD0F7E"/>
    <w:rsid w:val="00DD4D7B"/>
    <w:rsid w:val="00DD57C9"/>
    <w:rsid w:val="00DE11C6"/>
    <w:rsid w:val="00DE143E"/>
    <w:rsid w:val="00DE3AE1"/>
    <w:rsid w:val="00DE6334"/>
    <w:rsid w:val="00DE7757"/>
    <w:rsid w:val="00DF09AB"/>
    <w:rsid w:val="00DF0B77"/>
    <w:rsid w:val="00DF1FA6"/>
    <w:rsid w:val="00DF4CC3"/>
    <w:rsid w:val="00DF7195"/>
    <w:rsid w:val="00E03263"/>
    <w:rsid w:val="00E056DB"/>
    <w:rsid w:val="00E0700A"/>
    <w:rsid w:val="00E07CA9"/>
    <w:rsid w:val="00E14EC7"/>
    <w:rsid w:val="00E16401"/>
    <w:rsid w:val="00E2101D"/>
    <w:rsid w:val="00E2482A"/>
    <w:rsid w:val="00E26A7C"/>
    <w:rsid w:val="00E30028"/>
    <w:rsid w:val="00E302A8"/>
    <w:rsid w:val="00E3045A"/>
    <w:rsid w:val="00E32376"/>
    <w:rsid w:val="00E33002"/>
    <w:rsid w:val="00E34125"/>
    <w:rsid w:val="00E34FD7"/>
    <w:rsid w:val="00E40576"/>
    <w:rsid w:val="00E40D74"/>
    <w:rsid w:val="00E41D25"/>
    <w:rsid w:val="00E47223"/>
    <w:rsid w:val="00E533AE"/>
    <w:rsid w:val="00E567E9"/>
    <w:rsid w:val="00E56E98"/>
    <w:rsid w:val="00E63506"/>
    <w:rsid w:val="00E67191"/>
    <w:rsid w:val="00E72060"/>
    <w:rsid w:val="00E76C85"/>
    <w:rsid w:val="00E84159"/>
    <w:rsid w:val="00E84A8B"/>
    <w:rsid w:val="00E8652A"/>
    <w:rsid w:val="00E90DBC"/>
    <w:rsid w:val="00E9116A"/>
    <w:rsid w:val="00E96D66"/>
    <w:rsid w:val="00E974DE"/>
    <w:rsid w:val="00EA15CF"/>
    <w:rsid w:val="00EA1808"/>
    <w:rsid w:val="00EA2783"/>
    <w:rsid w:val="00EA27D0"/>
    <w:rsid w:val="00EA6A13"/>
    <w:rsid w:val="00EB15F2"/>
    <w:rsid w:val="00EB385A"/>
    <w:rsid w:val="00EB3D20"/>
    <w:rsid w:val="00EB7103"/>
    <w:rsid w:val="00EC3FB4"/>
    <w:rsid w:val="00EC4166"/>
    <w:rsid w:val="00EC57BC"/>
    <w:rsid w:val="00EC609A"/>
    <w:rsid w:val="00EC7A58"/>
    <w:rsid w:val="00ED162E"/>
    <w:rsid w:val="00ED2950"/>
    <w:rsid w:val="00ED3A81"/>
    <w:rsid w:val="00ED5946"/>
    <w:rsid w:val="00EE30C6"/>
    <w:rsid w:val="00EE35C9"/>
    <w:rsid w:val="00EE545F"/>
    <w:rsid w:val="00EE5834"/>
    <w:rsid w:val="00EE7AA6"/>
    <w:rsid w:val="00EF015B"/>
    <w:rsid w:val="00EF1205"/>
    <w:rsid w:val="00EF1C90"/>
    <w:rsid w:val="00EF2A1F"/>
    <w:rsid w:val="00EF360C"/>
    <w:rsid w:val="00EF48A1"/>
    <w:rsid w:val="00EF4A1E"/>
    <w:rsid w:val="00EF5006"/>
    <w:rsid w:val="00EF5D1C"/>
    <w:rsid w:val="00F00DBC"/>
    <w:rsid w:val="00F018A4"/>
    <w:rsid w:val="00F14FD4"/>
    <w:rsid w:val="00F16C61"/>
    <w:rsid w:val="00F16EDD"/>
    <w:rsid w:val="00F171A9"/>
    <w:rsid w:val="00F17E64"/>
    <w:rsid w:val="00F24438"/>
    <w:rsid w:val="00F2444D"/>
    <w:rsid w:val="00F273D4"/>
    <w:rsid w:val="00F3016C"/>
    <w:rsid w:val="00F336BB"/>
    <w:rsid w:val="00F44DDF"/>
    <w:rsid w:val="00F45CB9"/>
    <w:rsid w:val="00F4767C"/>
    <w:rsid w:val="00F56EA4"/>
    <w:rsid w:val="00F65E26"/>
    <w:rsid w:val="00F65E6A"/>
    <w:rsid w:val="00F66299"/>
    <w:rsid w:val="00F67C73"/>
    <w:rsid w:val="00F72660"/>
    <w:rsid w:val="00F73514"/>
    <w:rsid w:val="00F737AE"/>
    <w:rsid w:val="00F769C4"/>
    <w:rsid w:val="00F80195"/>
    <w:rsid w:val="00F80720"/>
    <w:rsid w:val="00F81E6C"/>
    <w:rsid w:val="00F82674"/>
    <w:rsid w:val="00F86784"/>
    <w:rsid w:val="00F93B79"/>
    <w:rsid w:val="00F951C2"/>
    <w:rsid w:val="00F96803"/>
    <w:rsid w:val="00FA5025"/>
    <w:rsid w:val="00FA7E2B"/>
    <w:rsid w:val="00FB1E9E"/>
    <w:rsid w:val="00FB4993"/>
    <w:rsid w:val="00FC2C7F"/>
    <w:rsid w:val="00FC55AC"/>
    <w:rsid w:val="00FD0134"/>
    <w:rsid w:val="00FD1818"/>
    <w:rsid w:val="00FD5BFA"/>
    <w:rsid w:val="00FE5AAF"/>
    <w:rsid w:val="00FF214F"/>
    <w:rsid w:val="00FF3F72"/>
    <w:rsid w:val="00FF4B3C"/>
    <w:rsid w:val="070C7D33"/>
    <w:rsid w:val="17794946"/>
    <w:rsid w:val="42B048E4"/>
    <w:rsid w:val="6A754DEF"/>
    <w:rsid w:val="74E020BC"/>
    <w:rsid w:val="77B83A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FDB522-AB63-4B59-A184-CFA42DDFE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qFormat="1"/>
    <w:lsdException w:name="toc 2" w:semiHidden="1" w:qFormat="1"/>
    <w:lsdException w:name="toc 3" w:semiHidden="1"/>
    <w:lsdException w:name="toc 4" w:qFormat="1"/>
    <w:lsdException w:name="toc 5" w:semiHidden="1"/>
    <w:lsdException w:name="toc 6" w:semiHidden="1" w:qFormat="1"/>
    <w:lsdException w:name="toc 7" w:semiHidden="1" w:qFormat="1"/>
    <w:lsdException w:name="toc 8" w:semiHidden="1"/>
    <w:lsdException w:name="toc 9" w:semiHidden="1"/>
    <w:lsdException w:name="annotation text" w:qFormat="1"/>
    <w:lsdException w:name="footer" w:uiPriority="99" w:qFormat="1"/>
    <w:lsdException w:name="caption" w:semiHidden="1" w:unhideWhenUsed="1" w:qFormat="1"/>
    <w:lsdException w:name="Title" w:qFormat="1"/>
    <w:lsdException w:name="Default Paragraph Font" w:semiHidden="1"/>
    <w:lsdException w:name="Subtitle" w:qFormat="1"/>
    <w:lsdException w:name="Body Text Indent 2" w:qFormat="1"/>
    <w:lsdException w:name="Body Text Indent 3"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kern w:val="44"/>
      <w:sz w:val="4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semiHidden/>
    <w:qFormat/>
    <w:pPr>
      <w:ind w:leftChars="1200" w:left="2520"/>
    </w:pPr>
  </w:style>
  <w:style w:type="paragraph" w:styleId="a3">
    <w:name w:val="Normal Indent"/>
    <w:basedOn w:val="a"/>
    <w:pPr>
      <w:ind w:firstLine="420"/>
    </w:pPr>
    <w:rPr>
      <w:szCs w:val="20"/>
    </w:rPr>
  </w:style>
  <w:style w:type="paragraph" w:styleId="a4">
    <w:name w:val="Document Map"/>
    <w:basedOn w:val="a"/>
    <w:semiHidden/>
    <w:pPr>
      <w:shd w:val="clear" w:color="auto" w:fill="000080"/>
    </w:pPr>
  </w:style>
  <w:style w:type="paragraph" w:styleId="a5">
    <w:name w:val="annotation text"/>
    <w:basedOn w:val="a"/>
    <w:link w:val="Char"/>
    <w:qFormat/>
    <w:pPr>
      <w:jc w:val="left"/>
    </w:pPr>
  </w:style>
  <w:style w:type="paragraph" w:styleId="a6">
    <w:name w:val="Body Text Indent"/>
    <w:basedOn w:val="a"/>
    <w:pPr>
      <w:spacing w:line="400" w:lineRule="exact"/>
      <w:ind w:firstLineChars="192" w:firstLine="538"/>
    </w:pPr>
    <w:rPr>
      <w:rFonts w:ascii="仿宋_GB2312" w:eastAsia="仿宋_GB2312" w:hAnsi="宋体"/>
      <w:color w:val="000000"/>
      <w:sz w:val="28"/>
    </w:rPr>
  </w:style>
  <w:style w:type="paragraph" w:styleId="5">
    <w:name w:val="toc 5"/>
    <w:basedOn w:val="a"/>
    <w:next w:val="a"/>
    <w:semiHidden/>
    <w:pPr>
      <w:ind w:leftChars="800" w:left="1680"/>
    </w:pPr>
  </w:style>
  <w:style w:type="paragraph" w:styleId="3">
    <w:name w:val="toc 3"/>
    <w:basedOn w:val="a"/>
    <w:next w:val="a"/>
    <w:semiHidden/>
    <w:pPr>
      <w:ind w:leftChars="400" w:left="840"/>
    </w:pPr>
  </w:style>
  <w:style w:type="paragraph" w:styleId="a7">
    <w:name w:val="Plain Text"/>
    <w:basedOn w:val="a"/>
    <w:rPr>
      <w:rFonts w:ascii="宋体" w:hAnsi="Courier New"/>
      <w:szCs w:val="21"/>
    </w:rPr>
  </w:style>
  <w:style w:type="paragraph" w:styleId="8">
    <w:name w:val="toc 8"/>
    <w:basedOn w:val="a"/>
    <w:next w:val="a"/>
    <w:semiHidden/>
    <w:pPr>
      <w:ind w:leftChars="1400" w:left="2940"/>
    </w:pPr>
  </w:style>
  <w:style w:type="paragraph" w:styleId="2">
    <w:name w:val="Body Text Indent 2"/>
    <w:basedOn w:val="a"/>
    <w:qFormat/>
    <w:pPr>
      <w:tabs>
        <w:tab w:val="left" w:pos="540"/>
      </w:tabs>
      <w:ind w:left="540" w:firstLine="540"/>
    </w:pPr>
    <w:rPr>
      <w:rFonts w:eastAsia="长城仿宋"/>
      <w:sz w:val="24"/>
      <w:szCs w:val="20"/>
    </w:rPr>
  </w:style>
  <w:style w:type="paragraph" w:styleId="a8">
    <w:name w:val="Balloon Text"/>
    <w:basedOn w:val="a"/>
    <w:semiHidden/>
    <w:rPr>
      <w:sz w:val="18"/>
      <w:szCs w:val="18"/>
    </w:rPr>
  </w:style>
  <w:style w:type="paragraph" w:styleId="a9">
    <w:name w:val="footer"/>
    <w:basedOn w:val="a"/>
    <w:link w:val="Char0"/>
    <w:uiPriority w:val="99"/>
    <w:qFormat/>
    <w:pPr>
      <w:tabs>
        <w:tab w:val="center" w:pos="4153"/>
        <w:tab w:val="right" w:pos="8306"/>
      </w:tabs>
      <w:snapToGrid w:val="0"/>
      <w:jc w:val="left"/>
    </w:pPr>
    <w:rPr>
      <w:sz w:val="18"/>
      <w:szCs w:val="18"/>
    </w:rPr>
  </w:style>
  <w:style w:type="paragraph" w:styleId="aa">
    <w:name w:val="header"/>
    <w:basedOn w:val="a"/>
    <w:pPr>
      <w:pBdr>
        <w:bottom w:val="single" w:sz="6" w:space="1" w:color="auto"/>
      </w:pBdr>
      <w:tabs>
        <w:tab w:val="center" w:pos="4153"/>
        <w:tab w:val="right" w:pos="8306"/>
      </w:tabs>
      <w:snapToGrid w:val="0"/>
      <w:jc w:val="center"/>
    </w:pPr>
    <w:rPr>
      <w:sz w:val="18"/>
      <w:szCs w:val="18"/>
    </w:rPr>
  </w:style>
  <w:style w:type="paragraph" w:styleId="10">
    <w:name w:val="toc 1"/>
    <w:basedOn w:val="a"/>
    <w:next w:val="a"/>
    <w:semiHidden/>
    <w:qFormat/>
  </w:style>
  <w:style w:type="paragraph" w:styleId="4">
    <w:name w:val="toc 4"/>
    <w:basedOn w:val="a"/>
    <w:next w:val="a"/>
    <w:qFormat/>
    <w:pPr>
      <w:ind w:leftChars="600" w:left="1260"/>
    </w:pPr>
  </w:style>
  <w:style w:type="paragraph" w:styleId="6">
    <w:name w:val="toc 6"/>
    <w:basedOn w:val="a"/>
    <w:next w:val="a"/>
    <w:semiHidden/>
    <w:qFormat/>
    <w:pPr>
      <w:ind w:leftChars="1000" w:left="2100"/>
    </w:pPr>
  </w:style>
  <w:style w:type="paragraph" w:styleId="30">
    <w:name w:val="Body Text Indent 3"/>
    <w:basedOn w:val="a"/>
    <w:qFormat/>
    <w:pPr>
      <w:ind w:left="360" w:firstLine="540"/>
    </w:pPr>
    <w:rPr>
      <w:rFonts w:eastAsia="长城仿宋"/>
      <w:sz w:val="24"/>
      <w:szCs w:val="20"/>
    </w:rPr>
  </w:style>
  <w:style w:type="paragraph" w:styleId="20">
    <w:name w:val="toc 2"/>
    <w:basedOn w:val="a"/>
    <w:next w:val="a"/>
    <w:semiHidden/>
    <w:qFormat/>
    <w:pPr>
      <w:ind w:leftChars="200" w:left="420"/>
    </w:pPr>
  </w:style>
  <w:style w:type="paragraph" w:styleId="9">
    <w:name w:val="toc 9"/>
    <w:basedOn w:val="a"/>
    <w:next w:val="a"/>
    <w:semiHidden/>
    <w:pPr>
      <w:ind w:leftChars="1600" w:left="3360"/>
    </w:pPr>
  </w:style>
  <w:style w:type="paragraph" w:styleId="21">
    <w:name w:val="Body Text 2"/>
    <w:basedOn w:val="a"/>
    <w:pPr>
      <w:spacing w:after="120" w:line="480" w:lineRule="auto"/>
    </w:pPr>
  </w:style>
  <w:style w:type="paragraph" w:styleId="ab">
    <w:name w:val="annotation subject"/>
    <w:basedOn w:val="a5"/>
    <w:next w:val="a5"/>
    <w:link w:val="Char1"/>
    <w:qFormat/>
    <w:rPr>
      <w:b/>
      <w:bCs/>
    </w:rPr>
  </w:style>
  <w:style w:type="character" w:styleId="ac">
    <w:name w:val="page number"/>
    <w:basedOn w:val="a0"/>
  </w:style>
  <w:style w:type="character" w:styleId="ad">
    <w:name w:val="Hyperlink"/>
    <w:rPr>
      <w:color w:val="0000FF"/>
      <w:u w:val="single"/>
    </w:rPr>
  </w:style>
  <w:style w:type="character" w:styleId="ae">
    <w:name w:val="annotation reference"/>
    <w:rPr>
      <w:sz w:val="21"/>
      <w:szCs w:val="21"/>
    </w:rPr>
  </w:style>
  <w:style w:type="paragraph" w:customStyle="1" w:styleId="Char2">
    <w:name w:val="Char"/>
    <w:basedOn w:val="a"/>
    <w:qFormat/>
  </w:style>
  <w:style w:type="paragraph" w:customStyle="1" w:styleId="Style29">
    <w:name w:val="_Style 29"/>
    <w:uiPriority w:val="99"/>
    <w:semiHidden/>
    <w:rPr>
      <w:kern w:val="2"/>
      <w:sz w:val="21"/>
      <w:szCs w:val="24"/>
    </w:rPr>
  </w:style>
  <w:style w:type="paragraph" w:customStyle="1" w:styleId="Web">
    <w:name w:val="普通 (Web)"/>
    <w:basedOn w:val="a"/>
    <w:qFormat/>
    <w:pPr>
      <w:widowControl/>
      <w:spacing w:before="100" w:beforeAutospacing="1" w:after="100" w:afterAutospacing="1"/>
      <w:jc w:val="left"/>
    </w:pPr>
    <w:rPr>
      <w:rFonts w:ascii="宋体" w:hAnsi="宋体"/>
      <w:kern w:val="0"/>
      <w:sz w:val="24"/>
    </w:rPr>
  </w:style>
  <w:style w:type="paragraph" w:customStyle="1" w:styleId="CharChar">
    <w:name w:val="Char Char"/>
    <w:basedOn w:val="a"/>
    <w:rPr>
      <w:szCs w:val="20"/>
    </w:rPr>
  </w:style>
  <w:style w:type="character" w:customStyle="1" w:styleId="Char">
    <w:name w:val="批注文字 Char"/>
    <w:link w:val="a5"/>
    <w:rPr>
      <w:kern w:val="2"/>
      <w:sz w:val="21"/>
      <w:szCs w:val="24"/>
    </w:rPr>
  </w:style>
  <w:style w:type="character" w:customStyle="1" w:styleId="Char0">
    <w:name w:val="页脚 Char"/>
    <w:link w:val="a9"/>
    <w:uiPriority w:val="99"/>
    <w:qFormat/>
    <w:rPr>
      <w:kern w:val="2"/>
      <w:sz w:val="18"/>
      <w:szCs w:val="18"/>
    </w:rPr>
  </w:style>
  <w:style w:type="character" w:customStyle="1" w:styleId="Char1">
    <w:name w:val="批注主题 Char"/>
    <w:link w:val="ab"/>
    <w:qFormat/>
    <w:rPr>
      <w:b/>
      <w:bCs/>
      <w:kern w:val="2"/>
      <w:sz w:val="21"/>
      <w:szCs w:val="24"/>
    </w:rPr>
  </w:style>
  <w:style w:type="character" w:customStyle="1" w:styleId="unnamed11">
    <w:name w:val="unnamed11"/>
    <w:qFormat/>
    <w:rPr>
      <w:rFonts w:ascii="宋体" w:eastAsia="宋体" w:hAnsi="宋体" w:hint="eastAsia"/>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2947</Words>
  <Characters>16804</Characters>
  <Application>Microsoft Office Word</Application>
  <DocSecurity>0</DocSecurity>
  <Lines>140</Lines>
  <Paragraphs>39</Paragraphs>
  <ScaleCrop>false</ScaleCrop>
  <Company>EastHome</Company>
  <LinksUpToDate>false</LinksUpToDate>
  <CharactersWithSpaces>19712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金鹰成份股优选证券投资基金托管协议</dc:title>
  <dc:creator>user</dc:creator>
  <cp:lastModifiedBy>陈莉</cp:lastModifiedBy>
  <cp:revision>2</cp:revision>
  <cp:lastPrinted>2020-03-12T07:41:00Z</cp:lastPrinted>
  <dcterms:created xsi:type="dcterms:W3CDTF">2020-08-26T05:41:00Z</dcterms:created>
  <dcterms:modified xsi:type="dcterms:W3CDTF">2020-08-26T05:41:00Z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2052-11.1.0.8799</vt:lpwstr>
  </property>
</Properties>
</file>