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0F7AA" w14:textId="77777777" w:rsidR="00ED45CB" w:rsidRDefault="00ED45CB">
      <w:pPr>
        <w:jc w:val="center"/>
        <w:rPr>
          <w:rFonts w:ascii="宋体" w:hAnsi="宋体"/>
          <w:b/>
          <w:sz w:val="44"/>
          <w:szCs w:val="44"/>
        </w:rPr>
      </w:pPr>
    </w:p>
    <w:p w14:paraId="1FBA13EB" w14:textId="77777777" w:rsidR="00ED45CB" w:rsidRDefault="00ED45CB">
      <w:pPr>
        <w:jc w:val="center"/>
        <w:rPr>
          <w:rFonts w:ascii="宋体" w:hAnsi="宋体"/>
          <w:b/>
          <w:sz w:val="44"/>
          <w:szCs w:val="44"/>
        </w:rPr>
      </w:pPr>
    </w:p>
    <w:p w14:paraId="409AEC12" w14:textId="77777777" w:rsidR="00ED45CB" w:rsidRDefault="00ED45CB">
      <w:pPr>
        <w:jc w:val="center"/>
        <w:rPr>
          <w:rFonts w:ascii="宋体" w:hAnsi="宋体"/>
          <w:b/>
          <w:sz w:val="44"/>
          <w:szCs w:val="44"/>
        </w:rPr>
      </w:pPr>
    </w:p>
    <w:p w14:paraId="125F563E" w14:textId="77777777" w:rsidR="00ED45CB" w:rsidRDefault="00703CCA">
      <w:pPr>
        <w:adjustRightInd w:val="0"/>
        <w:snapToGrid w:val="0"/>
        <w:spacing w:line="360" w:lineRule="auto"/>
        <w:jc w:val="center"/>
        <w:rPr>
          <w:rFonts w:ascii="宋体" w:hAnsi="宋体"/>
          <w:b/>
          <w:sz w:val="44"/>
          <w:szCs w:val="44"/>
        </w:rPr>
      </w:pPr>
      <w:r>
        <w:rPr>
          <w:rFonts w:ascii="宋体" w:hAnsi="宋体" w:hint="eastAsia"/>
          <w:b/>
          <w:sz w:val="44"/>
          <w:szCs w:val="44"/>
        </w:rPr>
        <w:t>博时黄金交易型开放式证券投资基金</w:t>
      </w:r>
    </w:p>
    <w:p w14:paraId="6E7C4AFB" w14:textId="77777777" w:rsidR="00ED45CB" w:rsidRDefault="00703CCA">
      <w:pPr>
        <w:adjustRightInd w:val="0"/>
        <w:snapToGrid w:val="0"/>
        <w:spacing w:line="360" w:lineRule="auto"/>
        <w:jc w:val="center"/>
        <w:rPr>
          <w:rFonts w:ascii="宋体" w:hAnsi="宋体"/>
          <w:b/>
          <w:sz w:val="44"/>
          <w:szCs w:val="44"/>
        </w:rPr>
      </w:pPr>
      <w:r>
        <w:rPr>
          <w:rFonts w:ascii="宋体" w:hAnsi="宋体" w:hint="eastAsia"/>
          <w:b/>
          <w:sz w:val="44"/>
          <w:szCs w:val="44"/>
        </w:rPr>
        <w:t>联接</w:t>
      </w:r>
      <w:proofErr w:type="gramStart"/>
      <w:r>
        <w:rPr>
          <w:rFonts w:ascii="宋体" w:hAnsi="宋体" w:hint="eastAsia"/>
          <w:b/>
          <w:sz w:val="44"/>
          <w:szCs w:val="44"/>
        </w:rPr>
        <w:t>基金基金</w:t>
      </w:r>
      <w:proofErr w:type="gramEnd"/>
      <w:r>
        <w:rPr>
          <w:rFonts w:ascii="宋体" w:hAnsi="宋体" w:hint="eastAsia"/>
          <w:b/>
          <w:sz w:val="44"/>
          <w:szCs w:val="44"/>
        </w:rPr>
        <w:t>合同</w:t>
      </w:r>
    </w:p>
    <w:p w14:paraId="315583CF" w14:textId="77777777" w:rsidR="00ED45CB" w:rsidRDefault="00ED45CB">
      <w:pPr>
        <w:rPr>
          <w:rFonts w:ascii="宋体" w:hAnsi="宋体"/>
          <w:sz w:val="30"/>
          <w:szCs w:val="30"/>
        </w:rPr>
      </w:pPr>
    </w:p>
    <w:p w14:paraId="38AE6328" w14:textId="77777777" w:rsidR="00ED45CB" w:rsidRDefault="00ED45CB">
      <w:pPr>
        <w:rPr>
          <w:rFonts w:ascii="宋体" w:hAnsi="宋体"/>
          <w:sz w:val="30"/>
          <w:szCs w:val="30"/>
        </w:rPr>
      </w:pPr>
    </w:p>
    <w:p w14:paraId="151ECFE6" w14:textId="77777777" w:rsidR="00ED45CB" w:rsidRDefault="00ED45CB">
      <w:pPr>
        <w:rPr>
          <w:rFonts w:ascii="宋体" w:hAnsi="宋体"/>
          <w:sz w:val="30"/>
          <w:szCs w:val="30"/>
        </w:rPr>
      </w:pPr>
    </w:p>
    <w:p w14:paraId="5A1A6047" w14:textId="77777777" w:rsidR="00ED45CB" w:rsidRDefault="00ED45CB">
      <w:pPr>
        <w:rPr>
          <w:rFonts w:ascii="宋体" w:hAnsi="宋体"/>
          <w:sz w:val="30"/>
          <w:szCs w:val="30"/>
        </w:rPr>
      </w:pPr>
    </w:p>
    <w:p w14:paraId="40EC66B3" w14:textId="77777777" w:rsidR="00ED45CB" w:rsidRDefault="00ED45CB">
      <w:pPr>
        <w:rPr>
          <w:rFonts w:ascii="宋体" w:hAnsi="宋体"/>
          <w:sz w:val="30"/>
          <w:szCs w:val="30"/>
        </w:rPr>
      </w:pPr>
    </w:p>
    <w:p w14:paraId="482CB1E0" w14:textId="77777777" w:rsidR="00ED45CB" w:rsidRDefault="00ED45CB">
      <w:pPr>
        <w:rPr>
          <w:rFonts w:ascii="宋体" w:hAnsi="宋体"/>
          <w:sz w:val="30"/>
          <w:szCs w:val="30"/>
        </w:rPr>
      </w:pPr>
    </w:p>
    <w:p w14:paraId="75B0B7D6" w14:textId="77777777" w:rsidR="00ED45CB" w:rsidRDefault="00ED45CB">
      <w:pPr>
        <w:rPr>
          <w:rFonts w:ascii="宋体" w:hAnsi="宋体"/>
          <w:sz w:val="30"/>
          <w:szCs w:val="30"/>
        </w:rPr>
      </w:pPr>
    </w:p>
    <w:p w14:paraId="1789884D" w14:textId="77777777" w:rsidR="00ED45CB" w:rsidRDefault="00703CCA">
      <w:pPr>
        <w:jc w:val="center"/>
        <w:rPr>
          <w:rFonts w:ascii="宋体" w:hAnsi="宋体"/>
          <w:b/>
          <w:sz w:val="30"/>
          <w:szCs w:val="30"/>
        </w:rPr>
      </w:pPr>
      <w:r>
        <w:rPr>
          <w:rFonts w:ascii="宋体" w:hAnsi="宋体" w:hint="eastAsia"/>
          <w:b/>
          <w:sz w:val="30"/>
          <w:szCs w:val="30"/>
        </w:rPr>
        <w:t>基金管理人：博时基金管理有限公司</w:t>
      </w:r>
    </w:p>
    <w:p w14:paraId="123EB9AF" w14:textId="77777777" w:rsidR="00ED45CB" w:rsidRDefault="00703CCA">
      <w:pPr>
        <w:jc w:val="center"/>
        <w:rPr>
          <w:rFonts w:ascii="宋体" w:hAnsi="宋体"/>
          <w:b/>
          <w:sz w:val="30"/>
          <w:szCs w:val="30"/>
        </w:rPr>
      </w:pPr>
      <w:r>
        <w:rPr>
          <w:rFonts w:ascii="宋体" w:hAnsi="宋体" w:hint="eastAsia"/>
          <w:b/>
          <w:sz w:val="30"/>
          <w:szCs w:val="30"/>
        </w:rPr>
        <w:t>基金托管人：中国银行股份有限公司</w:t>
      </w:r>
    </w:p>
    <w:p w14:paraId="0B661B89" w14:textId="77777777" w:rsidR="00ED45CB" w:rsidRDefault="00ED45CB">
      <w:pPr>
        <w:spacing w:line="360" w:lineRule="auto"/>
        <w:rPr>
          <w:rFonts w:ascii="宋体" w:hAnsi="宋体"/>
          <w:b/>
          <w:caps/>
          <w:sz w:val="30"/>
          <w:szCs w:val="30"/>
        </w:rPr>
      </w:pPr>
    </w:p>
    <w:p w14:paraId="673B09A5" w14:textId="77777777" w:rsidR="00ED45CB" w:rsidRDefault="00ED45CB">
      <w:pPr>
        <w:spacing w:line="360" w:lineRule="auto"/>
        <w:rPr>
          <w:rFonts w:ascii="宋体" w:hAnsi="宋体"/>
          <w:b/>
          <w:caps/>
          <w:sz w:val="30"/>
          <w:szCs w:val="30"/>
        </w:rPr>
      </w:pPr>
    </w:p>
    <w:p w14:paraId="5EEDE597" w14:textId="77777777" w:rsidR="00ED45CB" w:rsidRDefault="00ED45CB">
      <w:pPr>
        <w:spacing w:line="360" w:lineRule="auto"/>
        <w:rPr>
          <w:rFonts w:ascii="宋体" w:hAnsi="宋体"/>
          <w:b/>
          <w:caps/>
          <w:sz w:val="30"/>
          <w:szCs w:val="30"/>
        </w:rPr>
      </w:pPr>
    </w:p>
    <w:p w14:paraId="678DCC36" w14:textId="78B4F02F" w:rsidR="00ED45CB" w:rsidRDefault="009C0E45">
      <w:pPr>
        <w:spacing w:line="360" w:lineRule="auto"/>
        <w:jc w:val="center"/>
        <w:rPr>
          <w:rFonts w:ascii="宋体" w:hAnsi="宋体"/>
          <w:b/>
          <w:caps/>
          <w:sz w:val="24"/>
        </w:rPr>
        <w:sectPr w:rsidR="00ED45CB">
          <w:headerReference w:type="default" r:id="rId9"/>
          <w:footerReference w:type="default" r:id="rId10"/>
          <w:pgSz w:w="11906" w:h="16838"/>
          <w:pgMar w:top="1440" w:right="1800" w:bottom="1440" w:left="1800" w:header="851" w:footer="992" w:gutter="0"/>
          <w:pgNumType w:start="1"/>
          <w:cols w:space="425"/>
          <w:docGrid w:type="lines" w:linePitch="312"/>
        </w:sectPr>
      </w:pPr>
      <w:r w:rsidRPr="009C0E45">
        <w:rPr>
          <w:rFonts w:ascii="宋体" w:hAnsi="宋体" w:hint="eastAsia"/>
          <w:b/>
          <w:caps/>
          <w:sz w:val="30"/>
          <w:szCs w:val="30"/>
        </w:rPr>
        <w:t>二○一九年十二月</w:t>
      </w:r>
    </w:p>
    <w:p w14:paraId="45E02535" w14:textId="77777777" w:rsidR="00ED45CB" w:rsidRDefault="00703CCA">
      <w:pPr>
        <w:spacing w:line="336" w:lineRule="auto"/>
        <w:jc w:val="center"/>
        <w:outlineLvl w:val="0"/>
        <w:rPr>
          <w:rFonts w:ascii="Arial" w:hAnsi="Arial" w:cs="Arial"/>
          <w:b/>
          <w:szCs w:val="21"/>
        </w:rPr>
      </w:pPr>
      <w:bookmarkStart w:id="0" w:name="_Toc122336538"/>
      <w:bookmarkStart w:id="1" w:name="_Toc344308260"/>
      <w:r>
        <w:rPr>
          <w:rFonts w:ascii="宋体" w:hAnsi="宋体" w:hint="eastAsia"/>
          <w:b/>
          <w:sz w:val="30"/>
          <w:szCs w:val="30"/>
        </w:rPr>
        <w:lastRenderedPageBreak/>
        <w:t>目  录</w:t>
      </w:r>
      <w:bookmarkEnd w:id="0"/>
      <w:bookmarkEnd w:id="1"/>
      <w:r>
        <w:rPr>
          <w:rFonts w:ascii="Arial" w:hAnsi="Arial" w:cs="Arial"/>
          <w:smallCaps/>
          <w:szCs w:val="21"/>
        </w:rPr>
        <w:fldChar w:fldCharType="begin"/>
      </w:r>
      <w:r>
        <w:rPr>
          <w:rFonts w:ascii="Arial" w:hAnsi="Arial" w:cs="Arial"/>
          <w:smallCaps/>
          <w:szCs w:val="21"/>
        </w:rPr>
        <w:instrText xml:space="preserve"> TOC \o "1-3" \h \z \u </w:instrText>
      </w:r>
      <w:r>
        <w:rPr>
          <w:rFonts w:ascii="Arial" w:hAnsi="Arial" w:cs="Arial"/>
          <w:smallCaps/>
          <w:szCs w:val="21"/>
        </w:rPr>
        <w:fldChar w:fldCharType="separate"/>
      </w:r>
    </w:p>
    <w:p w14:paraId="43004A2E"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61" w:history="1">
        <w:r w:rsidR="00703CCA">
          <w:rPr>
            <w:rStyle w:val="af"/>
            <w:rFonts w:ascii="Arial" w:hAnsi="宋体" w:cs="Arial"/>
            <w:sz w:val="21"/>
            <w:szCs w:val="21"/>
          </w:rPr>
          <w:t>一、前言</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_Toc344308261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1</w:t>
        </w:r>
        <w:r w:rsidR="00703CCA">
          <w:rPr>
            <w:rFonts w:ascii="Arial" w:hAnsi="Arial" w:cs="Arial"/>
            <w:sz w:val="21"/>
            <w:szCs w:val="21"/>
          </w:rPr>
          <w:fldChar w:fldCharType="end"/>
        </w:r>
      </w:hyperlink>
    </w:p>
    <w:p w14:paraId="7D2A9E13"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62" w:history="1">
        <w:r w:rsidR="00703CCA">
          <w:rPr>
            <w:rStyle w:val="af"/>
            <w:rFonts w:ascii="Arial" w:hAnsi="宋体" w:cs="Arial"/>
            <w:sz w:val="21"/>
            <w:szCs w:val="21"/>
          </w:rPr>
          <w:t>二、释义</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_Toc344308262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2</w:t>
        </w:r>
        <w:r w:rsidR="00703CCA">
          <w:rPr>
            <w:rFonts w:ascii="Arial" w:hAnsi="Arial" w:cs="Arial"/>
            <w:sz w:val="21"/>
            <w:szCs w:val="21"/>
          </w:rPr>
          <w:fldChar w:fldCharType="end"/>
        </w:r>
      </w:hyperlink>
    </w:p>
    <w:p w14:paraId="66FF3729"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63" w:history="1">
        <w:r w:rsidR="00703CCA">
          <w:rPr>
            <w:rStyle w:val="af"/>
            <w:rFonts w:ascii="Arial" w:hAnsi="宋体" w:cs="Arial"/>
            <w:sz w:val="21"/>
            <w:szCs w:val="21"/>
          </w:rPr>
          <w:t>三、基金的基本情况</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_Toc344308263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6</w:t>
        </w:r>
        <w:r w:rsidR="00703CCA">
          <w:rPr>
            <w:rFonts w:ascii="Arial" w:hAnsi="Arial" w:cs="Arial"/>
            <w:sz w:val="21"/>
            <w:szCs w:val="21"/>
          </w:rPr>
          <w:fldChar w:fldCharType="end"/>
        </w:r>
      </w:hyperlink>
    </w:p>
    <w:p w14:paraId="67F40E43"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64" w:history="1">
        <w:r w:rsidR="00703CCA">
          <w:rPr>
            <w:rStyle w:val="af"/>
            <w:rFonts w:ascii="Arial" w:hAnsi="宋体" w:cs="Arial"/>
            <w:sz w:val="21"/>
            <w:szCs w:val="21"/>
          </w:rPr>
          <w:t>四、基金份额的发售与认购</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_Toc344308264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8</w:t>
        </w:r>
        <w:r w:rsidR="00703CCA">
          <w:rPr>
            <w:rFonts w:ascii="Arial" w:hAnsi="Arial" w:cs="Arial"/>
            <w:sz w:val="21"/>
            <w:szCs w:val="21"/>
          </w:rPr>
          <w:fldChar w:fldCharType="end"/>
        </w:r>
      </w:hyperlink>
    </w:p>
    <w:p w14:paraId="18D40F89"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65" w:history="1">
        <w:r w:rsidR="00703CCA">
          <w:rPr>
            <w:rStyle w:val="af"/>
            <w:rFonts w:ascii="Arial" w:hAnsi="宋体" w:cs="Arial"/>
            <w:sz w:val="21"/>
            <w:szCs w:val="21"/>
          </w:rPr>
          <w:t>五、基金的备案</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_Toc344308265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9</w:t>
        </w:r>
        <w:r w:rsidR="00703CCA">
          <w:rPr>
            <w:rFonts w:ascii="Arial" w:hAnsi="Arial" w:cs="Arial"/>
            <w:sz w:val="21"/>
            <w:szCs w:val="21"/>
          </w:rPr>
          <w:fldChar w:fldCharType="end"/>
        </w:r>
      </w:hyperlink>
    </w:p>
    <w:p w14:paraId="1A64C387"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66" w:history="1">
        <w:r w:rsidR="00703CCA">
          <w:rPr>
            <w:rStyle w:val="af"/>
            <w:rFonts w:ascii="Arial" w:hAnsi="宋体" w:cs="Arial"/>
            <w:sz w:val="21"/>
            <w:szCs w:val="21"/>
          </w:rPr>
          <w:t>六、基金份额的申购、赎回与转换</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_Toc344308266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10</w:t>
        </w:r>
        <w:r w:rsidR="00703CCA">
          <w:rPr>
            <w:rFonts w:ascii="Arial" w:hAnsi="Arial" w:cs="Arial"/>
            <w:sz w:val="21"/>
            <w:szCs w:val="21"/>
          </w:rPr>
          <w:fldChar w:fldCharType="end"/>
        </w:r>
      </w:hyperlink>
    </w:p>
    <w:p w14:paraId="26ADD3D5"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67" w:history="1">
        <w:r w:rsidR="00703CCA">
          <w:rPr>
            <w:rStyle w:val="af"/>
            <w:rFonts w:ascii="Arial" w:hAnsi="宋体" w:cs="Arial"/>
            <w:sz w:val="21"/>
            <w:szCs w:val="21"/>
          </w:rPr>
          <w:t>七、基金的非交易过户、转托管、冻结与质押</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_Toc344308267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15</w:t>
        </w:r>
        <w:r w:rsidR="00703CCA">
          <w:rPr>
            <w:rFonts w:ascii="Arial" w:hAnsi="Arial" w:cs="Arial"/>
            <w:sz w:val="21"/>
            <w:szCs w:val="21"/>
          </w:rPr>
          <w:fldChar w:fldCharType="end"/>
        </w:r>
      </w:hyperlink>
    </w:p>
    <w:p w14:paraId="75A45849"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68" w:history="1">
        <w:r w:rsidR="00703CCA">
          <w:rPr>
            <w:rStyle w:val="af"/>
            <w:rFonts w:ascii="Arial" w:hAnsi="宋体" w:cs="Arial"/>
            <w:sz w:val="21"/>
            <w:szCs w:val="21"/>
          </w:rPr>
          <w:t>八、基金合同当事人及其权利义务</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_Toc344308268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16</w:t>
        </w:r>
        <w:r w:rsidR="00703CCA">
          <w:rPr>
            <w:rFonts w:ascii="Arial" w:hAnsi="Arial" w:cs="Arial"/>
            <w:sz w:val="21"/>
            <w:szCs w:val="21"/>
          </w:rPr>
          <w:fldChar w:fldCharType="end"/>
        </w:r>
      </w:hyperlink>
    </w:p>
    <w:p w14:paraId="3CDBD46B"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69" w:history="1">
        <w:r w:rsidR="00703CCA">
          <w:rPr>
            <w:rStyle w:val="af"/>
            <w:rFonts w:ascii="Arial" w:hAnsi="宋体" w:cs="Arial"/>
            <w:sz w:val="21"/>
            <w:szCs w:val="21"/>
          </w:rPr>
          <w:t>九、基金份额持有人大会</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_Toc344308269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21</w:t>
        </w:r>
        <w:r w:rsidR="00703CCA">
          <w:rPr>
            <w:rFonts w:ascii="Arial" w:hAnsi="Arial" w:cs="Arial"/>
            <w:sz w:val="21"/>
            <w:szCs w:val="21"/>
          </w:rPr>
          <w:fldChar w:fldCharType="end"/>
        </w:r>
      </w:hyperlink>
    </w:p>
    <w:p w14:paraId="5870D5ED"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70" w:history="1">
        <w:r w:rsidR="00703CCA">
          <w:rPr>
            <w:rStyle w:val="af"/>
            <w:rFonts w:ascii="Arial" w:hAnsi="宋体" w:cs="Arial"/>
            <w:sz w:val="21"/>
            <w:szCs w:val="21"/>
          </w:rPr>
          <w:t>十、基金管理人、基金托管人的更换条件和程序</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_Toc344308270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27</w:t>
        </w:r>
        <w:r w:rsidR="00703CCA">
          <w:rPr>
            <w:rFonts w:ascii="Arial" w:hAnsi="Arial" w:cs="Arial"/>
            <w:sz w:val="21"/>
            <w:szCs w:val="21"/>
          </w:rPr>
          <w:fldChar w:fldCharType="end"/>
        </w:r>
      </w:hyperlink>
    </w:p>
    <w:p w14:paraId="7BCBC2C1"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71" w:history="1">
        <w:r w:rsidR="00703CCA">
          <w:rPr>
            <w:rStyle w:val="af"/>
            <w:rFonts w:ascii="Arial" w:hAnsi="宋体" w:cs="Arial"/>
            <w:sz w:val="21"/>
            <w:szCs w:val="21"/>
          </w:rPr>
          <w:t>十一、基金的托管</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_Toc344308271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29</w:t>
        </w:r>
        <w:r w:rsidR="00703CCA">
          <w:rPr>
            <w:rFonts w:ascii="Arial" w:hAnsi="Arial" w:cs="Arial"/>
            <w:sz w:val="21"/>
            <w:szCs w:val="21"/>
          </w:rPr>
          <w:fldChar w:fldCharType="end"/>
        </w:r>
      </w:hyperlink>
    </w:p>
    <w:p w14:paraId="52FB6843"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72" w:history="1">
        <w:r w:rsidR="00703CCA">
          <w:rPr>
            <w:rStyle w:val="af"/>
            <w:rFonts w:ascii="Arial" w:hAnsi="宋体" w:cs="Arial"/>
            <w:sz w:val="21"/>
            <w:szCs w:val="21"/>
          </w:rPr>
          <w:t>十二、基金的销售</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_Toc344308272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30</w:t>
        </w:r>
        <w:r w:rsidR="00703CCA">
          <w:rPr>
            <w:rFonts w:ascii="Arial" w:hAnsi="Arial" w:cs="Arial"/>
            <w:sz w:val="21"/>
            <w:szCs w:val="21"/>
          </w:rPr>
          <w:fldChar w:fldCharType="end"/>
        </w:r>
      </w:hyperlink>
    </w:p>
    <w:p w14:paraId="11DBBFD0"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73" w:history="1">
        <w:r w:rsidR="00703CCA">
          <w:rPr>
            <w:rStyle w:val="af"/>
            <w:rFonts w:ascii="Arial" w:hAnsi="宋体" w:cs="Arial"/>
            <w:sz w:val="21"/>
            <w:szCs w:val="21"/>
          </w:rPr>
          <w:t>十三、基金份额的注册登记</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_Toc344308273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31</w:t>
        </w:r>
        <w:r w:rsidR="00703CCA">
          <w:rPr>
            <w:rFonts w:ascii="Arial" w:hAnsi="Arial" w:cs="Arial"/>
            <w:sz w:val="21"/>
            <w:szCs w:val="21"/>
          </w:rPr>
          <w:fldChar w:fldCharType="end"/>
        </w:r>
      </w:hyperlink>
    </w:p>
    <w:p w14:paraId="365A5080"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74" w:history="1">
        <w:r w:rsidR="00703CCA">
          <w:rPr>
            <w:rStyle w:val="af"/>
            <w:rFonts w:ascii="Arial" w:hAnsi="宋体" w:cs="Arial"/>
            <w:sz w:val="21"/>
            <w:szCs w:val="21"/>
          </w:rPr>
          <w:t>十四、基金的投资</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_Toc344308274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32</w:t>
        </w:r>
        <w:r w:rsidR="00703CCA">
          <w:rPr>
            <w:rFonts w:ascii="Arial" w:hAnsi="Arial" w:cs="Arial"/>
            <w:sz w:val="21"/>
            <w:szCs w:val="21"/>
          </w:rPr>
          <w:fldChar w:fldCharType="end"/>
        </w:r>
      </w:hyperlink>
    </w:p>
    <w:p w14:paraId="41CF1258"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75" w:history="1">
        <w:r w:rsidR="00703CCA">
          <w:rPr>
            <w:rStyle w:val="af"/>
            <w:rFonts w:ascii="Arial" w:hAnsi="宋体" w:cs="Arial"/>
            <w:sz w:val="21"/>
            <w:szCs w:val="21"/>
          </w:rPr>
          <w:t>十五、基金的融资、融券</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_Toc344308275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38</w:t>
        </w:r>
        <w:r w:rsidR="00703CCA">
          <w:rPr>
            <w:rFonts w:ascii="Arial" w:hAnsi="Arial" w:cs="Arial"/>
            <w:sz w:val="21"/>
            <w:szCs w:val="21"/>
          </w:rPr>
          <w:fldChar w:fldCharType="end"/>
        </w:r>
      </w:hyperlink>
    </w:p>
    <w:p w14:paraId="3FFF9DA0"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76" w:history="1">
        <w:r w:rsidR="00703CCA">
          <w:rPr>
            <w:rStyle w:val="af"/>
            <w:rFonts w:ascii="Arial" w:hAnsi="宋体" w:cs="Arial"/>
            <w:sz w:val="21"/>
            <w:szCs w:val="21"/>
          </w:rPr>
          <w:t>十六、基金的财产</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_Toc344308276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39</w:t>
        </w:r>
        <w:r w:rsidR="00703CCA">
          <w:rPr>
            <w:rFonts w:ascii="Arial" w:hAnsi="Arial" w:cs="Arial"/>
            <w:sz w:val="21"/>
            <w:szCs w:val="21"/>
          </w:rPr>
          <w:fldChar w:fldCharType="end"/>
        </w:r>
      </w:hyperlink>
    </w:p>
    <w:p w14:paraId="4C4ECCEE"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77" w:history="1">
        <w:r w:rsidR="00703CCA">
          <w:rPr>
            <w:rStyle w:val="af"/>
            <w:rFonts w:ascii="Arial" w:hAnsi="宋体" w:cs="Arial"/>
            <w:sz w:val="21"/>
            <w:szCs w:val="21"/>
          </w:rPr>
          <w:t>十七、基金资产的估值</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_Toc344308277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40</w:t>
        </w:r>
        <w:r w:rsidR="00703CCA">
          <w:rPr>
            <w:rFonts w:ascii="Arial" w:hAnsi="Arial" w:cs="Arial"/>
            <w:sz w:val="21"/>
            <w:szCs w:val="21"/>
          </w:rPr>
          <w:fldChar w:fldCharType="end"/>
        </w:r>
      </w:hyperlink>
    </w:p>
    <w:p w14:paraId="06189D15"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78" w:history="1">
        <w:r w:rsidR="00703CCA">
          <w:rPr>
            <w:rStyle w:val="af"/>
            <w:rFonts w:ascii="Arial" w:hAnsi="宋体" w:cs="Arial"/>
            <w:sz w:val="21"/>
            <w:szCs w:val="21"/>
          </w:rPr>
          <w:t>十八、基金费用与税收</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_Toc344308278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43</w:t>
        </w:r>
        <w:r w:rsidR="00703CCA">
          <w:rPr>
            <w:rFonts w:ascii="Arial" w:hAnsi="Arial" w:cs="Arial"/>
            <w:sz w:val="21"/>
            <w:szCs w:val="21"/>
          </w:rPr>
          <w:fldChar w:fldCharType="end"/>
        </w:r>
      </w:hyperlink>
    </w:p>
    <w:p w14:paraId="794EE134"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79" w:history="1">
        <w:r w:rsidR="00703CCA">
          <w:rPr>
            <w:rStyle w:val="af"/>
            <w:rFonts w:ascii="Arial" w:hAnsi="宋体" w:cs="Arial"/>
            <w:sz w:val="21"/>
            <w:szCs w:val="21"/>
          </w:rPr>
          <w:t>十九、基金收益与分配</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_Toc344308279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45</w:t>
        </w:r>
        <w:r w:rsidR="00703CCA">
          <w:rPr>
            <w:rFonts w:ascii="Arial" w:hAnsi="Arial" w:cs="Arial"/>
            <w:sz w:val="21"/>
            <w:szCs w:val="21"/>
          </w:rPr>
          <w:fldChar w:fldCharType="end"/>
        </w:r>
      </w:hyperlink>
    </w:p>
    <w:p w14:paraId="62227908"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80" w:history="1">
        <w:r w:rsidR="00703CCA">
          <w:rPr>
            <w:rStyle w:val="af"/>
            <w:rFonts w:ascii="Arial" w:hAnsi="宋体" w:cs="Arial"/>
            <w:sz w:val="21"/>
            <w:szCs w:val="21"/>
          </w:rPr>
          <w:t>二十、基金的会计与审计</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_Toc344308280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46</w:t>
        </w:r>
        <w:r w:rsidR="00703CCA">
          <w:rPr>
            <w:rFonts w:ascii="Arial" w:hAnsi="Arial" w:cs="Arial"/>
            <w:sz w:val="21"/>
            <w:szCs w:val="21"/>
          </w:rPr>
          <w:fldChar w:fldCharType="end"/>
        </w:r>
      </w:hyperlink>
    </w:p>
    <w:p w14:paraId="5F8A0C89"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81" w:history="1">
        <w:r w:rsidR="00703CCA">
          <w:rPr>
            <w:rStyle w:val="af"/>
            <w:rFonts w:ascii="Arial" w:hAnsi="宋体" w:cs="Arial"/>
            <w:sz w:val="21"/>
            <w:szCs w:val="21"/>
          </w:rPr>
          <w:t>二十一、基金的信息披露</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_Toc344308281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47</w:t>
        </w:r>
        <w:r w:rsidR="00703CCA">
          <w:rPr>
            <w:rFonts w:ascii="Arial" w:hAnsi="Arial" w:cs="Arial"/>
            <w:sz w:val="21"/>
            <w:szCs w:val="21"/>
          </w:rPr>
          <w:fldChar w:fldCharType="end"/>
        </w:r>
      </w:hyperlink>
    </w:p>
    <w:p w14:paraId="4E0FBB6F"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82" w:history="1">
        <w:r w:rsidR="00703CCA">
          <w:rPr>
            <w:rStyle w:val="af"/>
            <w:rFonts w:ascii="Arial" w:hAnsi="宋体" w:cs="Arial"/>
            <w:sz w:val="21"/>
            <w:szCs w:val="21"/>
          </w:rPr>
          <w:t>二十二</w:t>
        </w:r>
        <w:r w:rsidR="00703CCA">
          <w:rPr>
            <w:rStyle w:val="af"/>
            <w:rFonts w:ascii="Arial" w:hAnsi="Arial" w:cs="Arial"/>
            <w:sz w:val="21"/>
            <w:szCs w:val="21"/>
          </w:rPr>
          <w:t xml:space="preserve">  </w:t>
        </w:r>
        <w:r w:rsidR="00703CCA">
          <w:rPr>
            <w:rStyle w:val="af"/>
            <w:rFonts w:ascii="Arial" w:hAnsi="宋体" w:cs="Arial"/>
            <w:sz w:val="21"/>
            <w:szCs w:val="21"/>
          </w:rPr>
          <w:t>基金的业务规则</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_Toc344308282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50</w:t>
        </w:r>
        <w:r w:rsidR="00703CCA">
          <w:rPr>
            <w:rFonts w:ascii="Arial" w:hAnsi="Arial" w:cs="Arial"/>
            <w:sz w:val="21"/>
            <w:szCs w:val="21"/>
          </w:rPr>
          <w:fldChar w:fldCharType="end"/>
        </w:r>
      </w:hyperlink>
    </w:p>
    <w:p w14:paraId="4C967F18"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83" w:history="1">
        <w:r w:rsidR="00703CCA">
          <w:rPr>
            <w:rStyle w:val="af"/>
            <w:rFonts w:ascii="Arial" w:hAnsi="宋体" w:cs="Arial"/>
            <w:sz w:val="21"/>
            <w:szCs w:val="21"/>
          </w:rPr>
          <w:t>二十三、基金合同的变更、终止与基金财产的清算</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_Toc344308283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51</w:t>
        </w:r>
        <w:r w:rsidR="00703CCA">
          <w:rPr>
            <w:rFonts w:ascii="Arial" w:hAnsi="Arial" w:cs="Arial"/>
            <w:sz w:val="21"/>
            <w:szCs w:val="21"/>
          </w:rPr>
          <w:fldChar w:fldCharType="end"/>
        </w:r>
      </w:hyperlink>
    </w:p>
    <w:p w14:paraId="44969987"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84" w:history="1">
        <w:r w:rsidR="00703CCA">
          <w:rPr>
            <w:rStyle w:val="af"/>
            <w:rFonts w:ascii="Arial" w:hAnsi="宋体" w:cs="Arial"/>
            <w:sz w:val="21"/>
            <w:szCs w:val="21"/>
          </w:rPr>
          <w:t>二十四、违约责任</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_Toc344308284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53</w:t>
        </w:r>
        <w:r w:rsidR="00703CCA">
          <w:rPr>
            <w:rFonts w:ascii="Arial" w:hAnsi="Arial" w:cs="Arial"/>
            <w:sz w:val="21"/>
            <w:szCs w:val="21"/>
          </w:rPr>
          <w:fldChar w:fldCharType="end"/>
        </w:r>
      </w:hyperlink>
    </w:p>
    <w:p w14:paraId="608CB9C4"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85" w:history="1">
        <w:r w:rsidR="00703CCA">
          <w:rPr>
            <w:rStyle w:val="af"/>
            <w:rFonts w:ascii="Arial" w:hAnsi="宋体" w:cs="Arial"/>
            <w:sz w:val="21"/>
            <w:szCs w:val="21"/>
          </w:rPr>
          <w:t>二十五、争议的处理</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_Toc344308285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54</w:t>
        </w:r>
        <w:r w:rsidR="00703CCA">
          <w:rPr>
            <w:rFonts w:ascii="Arial" w:hAnsi="Arial" w:cs="Arial"/>
            <w:sz w:val="21"/>
            <w:szCs w:val="21"/>
          </w:rPr>
          <w:fldChar w:fldCharType="end"/>
        </w:r>
      </w:hyperlink>
    </w:p>
    <w:p w14:paraId="11BF795C"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86" w:history="1">
        <w:r w:rsidR="00703CCA">
          <w:rPr>
            <w:rStyle w:val="af"/>
            <w:rFonts w:ascii="Arial" w:hAnsi="宋体" w:cs="Arial"/>
            <w:sz w:val="21"/>
            <w:szCs w:val="21"/>
          </w:rPr>
          <w:t>二十六、基金合同的效力</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_Toc344308286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55</w:t>
        </w:r>
        <w:r w:rsidR="00703CCA">
          <w:rPr>
            <w:rFonts w:ascii="Arial" w:hAnsi="Arial" w:cs="Arial"/>
            <w:sz w:val="21"/>
            <w:szCs w:val="21"/>
          </w:rPr>
          <w:fldChar w:fldCharType="end"/>
        </w:r>
      </w:hyperlink>
    </w:p>
    <w:p w14:paraId="799F7A23" w14:textId="77777777" w:rsidR="00ED45CB" w:rsidRDefault="0052042B">
      <w:pPr>
        <w:pStyle w:val="21"/>
        <w:tabs>
          <w:tab w:val="right" w:leader="dot" w:pos="8296"/>
        </w:tabs>
        <w:spacing w:line="336" w:lineRule="auto"/>
        <w:rPr>
          <w:rFonts w:ascii="Arial" w:hAnsi="Arial" w:cs="Arial"/>
          <w:smallCaps w:val="0"/>
          <w:sz w:val="21"/>
          <w:szCs w:val="21"/>
        </w:rPr>
      </w:pPr>
      <w:hyperlink w:anchor="_Toc344308287" w:history="1">
        <w:r w:rsidR="00703CCA">
          <w:rPr>
            <w:rStyle w:val="af"/>
            <w:rFonts w:ascii="Arial" w:hAnsi="宋体" w:cs="Arial"/>
            <w:sz w:val="21"/>
            <w:szCs w:val="21"/>
          </w:rPr>
          <w:t>二十七、基金合同摘要</w:t>
        </w:r>
        <w:r w:rsidR="00703CCA">
          <w:rPr>
            <w:rFonts w:ascii="Arial" w:hAnsi="Arial" w:cs="Arial"/>
            <w:sz w:val="21"/>
            <w:szCs w:val="21"/>
          </w:rPr>
          <w:tab/>
        </w:r>
        <w:r w:rsidR="00703CCA">
          <w:rPr>
            <w:rFonts w:ascii="Arial" w:hAnsi="Arial" w:cs="Arial"/>
            <w:sz w:val="21"/>
            <w:szCs w:val="21"/>
          </w:rPr>
          <w:fldChar w:fldCharType="begin"/>
        </w:r>
        <w:r w:rsidR="00703CCA">
          <w:rPr>
            <w:rFonts w:ascii="Arial" w:hAnsi="Arial" w:cs="Arial"/>
            <w:sz w:val="21"/>
            <w:szCs w:val="21"/>
          </w:rPr>
          <w:instrText xml:space="preserve"> PAGEREF _Toc344308287 \h </w:instrText>
        </w:r>
        <w:r w:rsidR="00703CCA">
          <w:rPr>
            <w:rFonts w:ascii="Arial" w:hAnsi="Arial" w:cs="Arial"/>
            <w:sz w:val="21"/>
            <w:szCs w:val="21"/>
          </w:rPr>
        </w:r>
        <w:r w:rsidR="00703CCA">
          <w:rPr>
            <w:rFonts w:ascii="Arial" w:hAnsi="Arial" w:cs="Arial"/>
            <w:sz w:val="21"/>
            <w:szCs w:val="21"/>
          </w:rPr>
          <w:fldChar w:fldCharType="separate"/>
        </w:r>
        <w:r w:rsidR="00703CCA">
          <w:rPr>
            <w:rFonts w:ascii="Arial" w:hAnsi="Arial" w:cs="Arial"/>
            <w:sz w:val="21"/>
            <w:szCs w:val="21"/>
          </w:rPr>
          <w:t>56</w:t>
        </w:r>
        <w:r w:rsidR="00703CCA">
          <w:rPr>
            <w:rFonts w:ascii="Arial" w:hAnsi="Arial" w:cs="Arial"/>
            <w:sz w:val="21"/>
            <w:szCs w:val="21"/>
          </w:rPr>
          <w:fldChar w:fldCharType="end"/>
        </w:r>
      </w:hyperlink>
    </w:p>
    <w:p w14:paraId="761D87FF" w14:textId="77777777" w:rsidR="00ED45CB" w:rsidRDefault="00703CCA">
      <w:pPr>
        <w:spacing w:before="100" w:beforeAutospacing="1" w:after="100" w:afterAutospacing="1" w:line="336" w:lineRule="auto"/>
        <w:rPr>
          <w:rFonts w:ascii="Arial" w:hAnsi="Arial" w:cs="Arial"/>
          <w:smallCaps/>
          <w:szCs w:val="21"/>
        </w:rPr>
      </w:pPr>
      <w:r>
        <w:rPr>
          <w:rFonts w:ascii="Arial" w:hAnsi="Arial" w:cs="Arial"/>
          <w:smallCaps/>
          <w:szCs w:val="21"/>
        </w:rPr>
        <w:fldChar w:fldCharType="end"/>
      </w:r>
    </w:p>
    <w:p w14:paraId="65F7486E" w14:textId="77777777" w:rsidR="00ED45CB" w:rsidRDefault="00ED45CB">
      <w:pPr>
        <w:spacing w:before="100" w:beforeAutospacing="1" w:after="100" w:afterAutospacing="1" w:line="240" w:lineRule="exact"/>
        <w:rPr>
          <w:rFonts w:ascii="Arial" w:hAnsi="Arial" w:cs="Arial"/>
          <w:smallCaps/>
          <w:szCs w:val="21"/>
        </w:rPr>
        <w:sectPr w:rsidR="00ED45CB">
          <w:footerReference w:type="default" r:id="rId11"/>
          <w:pgSz w:w="11906" w:h="16838"/>
          <w:pgMar w:top="1440" w:right="1800" w:bottom="1440" w:left="1800" w:header="851" w:footer="992" w:gutter="0"/>
          <w:pgNumType w:start="1"/>
          <w:cols w:space="425"/>
          <w:docGrid w:type="lines" w:linePitch="312"/>
        </w:sectPr>
      </w:pPr>
    </w:p>
    <w:p w14:paraId="5AA29B78" w14:textId="77777777" w:rsidR="00ED45CB" w:rsidRDefault="00ED45CB">
      <w:pPr>
        <w:spacing w:before="100" w:beforeAutospacing="1" w:after="100" w:afterAutospacing="1" w:line="400" w:lineRule="exact"/>
        <w:rPr>
          <w:rFonts w:ascii="宋体" w:hAnsi="宋体"/>
          <w:szCs w:val="21"/>
        </w:rPr>
      </w:pPr>
    </w:p>
    <w:p w14:paraId="2B333FEF"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2" w:name="_Toc344308261"/>
      <w:bookmarkStart w:id="3" w:name="_Toc88037836"/>
      <w:bookmarkStart w:id="4" w:name="_Toc122336539"/>
      <w:r>
        <w:rPr>
          <w:rFonts w:ascii="宋体" w:eastAsia="宋体" w:hAnsi="宋体" w:hint="eastAsia"/>
          <w:sz w:val="24"/>
          <w:szCs w:val="24"/>
        </w:rPr>
        <w:t>一、前言</w:t>
      </w:r>
      <w:bookmarkEnd w:id="2"/>
      <w:bookmarkEnd w:id="3"/>
      <w:bookmarkEnd w:id="4"/>
    </w:p>
    <w:p w14:paraId="68287888" w14:textId="77777777" w:rsidR="00ED45CB" w:rsidRDefault="00703CCA">
      <w:pPr>
        <w:adjustRightInd w:val="0"/>
        <w:snapToGrid w:val="0"/>
        <w:spacing w:line="360" w:lineRule="auto"/>
        <w:ind w:firstLineChars="200" w:firstLine="420"/>
        <w:rPr>
          <w:rFonts w:ascii="宋体" w:hAnsi="宋体"/>
          <w:szCs w:val="21"/>
        </w:rPr>
      </w:pPr>
      <w:r>
        <w:rPr>
          <w:rFonts w:ascii="宋体" w:hAnsi="宋体" w:hint="eastAsia"/>
          <w:szCs w:val="21"/>
        </w:rPr>
        <w:t>（一）订立《博时黄金交易型开放式证券投资基金联接基金基金合同》（以下简称“本基金合同”）的目的、依据和原则</w:t>
      </w:r>
    </w:p>
    <w:p w14:paraId="73A4E8E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、订立本基金合同的目的</w:t>
      </w:r>
    </w:p>
    <w:p w14:paraId="1887A430" w14:textId="77777777" w:rsidR="00ED45CB" w:rsidRDefault="00703CCA">
      <w:pPr>
        <w:adjustRightInd w:val="0"/>
        <w:snapToGrid w:val="0"/>
        <w:spacing w:line="360" w:lineRule="auto"/>
        <w:ind w:firstLineChars="200" w:firstLine="420"/>
        <w:rPr>
          <w:rFonts w:ascii="宋体" w:hAnsi="宋体"/>
          <w:kern w:val="0"/>
          <w:szCs w:val="21"/>
        </w:rPr>
      </w:pPr>
      <w:r>
        <w:rPr>
          <w:rFonts w:ascii="Arial" w:hAnsi="宋体" w:cs="Arial"/>
          <w:kern w:val="0"/>
          <w:szCs w:val="21"/>
        </w:rPr>
        <w:t>订立本基金合同的目的是明确本基金合同当事人的权利义务、规范</w:t>
      </w:r>
      <w:r>
        <w:rPr>
          <w:rFonts w:ascii="Arial" w:hAnsi="宋体" w:cs="Arial"/>
          <w:szCs w:val="21"/>
        </w:rPr>
        <w:t>博时黄金交易型开放式证券投资基金</w:t>
      </w:r>
      <w:r>
        <w:rPr>
          <w:rFonts w:ascii="宋体" w:hAnsi="宋体" w:hint="eastAsia"/>
          <w:szCs w:val="21"/>
        </w:rPr>
        <w:t>联接基金</w:t>
      </w:r>
      <w:r>
        <w:rPr>
          <w:rFonts w:ascii="宋体" w:hAnsi="宋体" w:hint="eastAsia"/>
          <w:kern w:val="0"/>
          <w:szCs w:val="21"/>
        </w:rPr>
        <w:t>（以下简称“本基金”）的运作，保护基金份额持有人的合法权益。</w:t>
      </w:r>
    </w:p>
    <w:p w14:paraId="26B276D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、订立本基金合同的依据</w:t>
      </w:r>
    </w:p>
    <w:p w14:paraId="2784FE4D" w14:textId="54F4738A"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订立本基金合同的依据是《中华人民共和国民法通则》、《中华人民共和国合同法》、《中华人民共和国证券投资基金法》（以下简称《基金法》）、《证券投资基金运作管理办法》（以下简称《运作办法》）、《公开募集证券投资基金信息披露管理办法》（以下简称《信息披露办法》）、《公开募集开放式证券投资基金流动性风险管理规定》（以下简称“《流动性风险管理规定》”）和《证券投资基金销售管理办法》（以下简称《销售办法》）及其他法律法规的有关规定。</w:t>
      </w:r>
    </w:p>
    <w:p w14:paraId="341CA9A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、订立本基金合同的原则</w:t>
      </w:r>
    </w:p>
    <w:p w14:paraId="4AA5A27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订立本基金合同的原则是平等自愿、诚实信用、充分保护基金份额持有人的合法权益。</w:t>
      </w:r>
    </w:p>
    <w:p w14:paraId="4F579D6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（二）本基金由基金管理人依照《基金法》、本基金合同和其他有关法律法规规定募集，并经中国证券监督管理委员会</w:t>
      </w:r>
      <w:r>
        <w:rPr>
          <w:rFonts w:ascii="Arial" w:hAnsi="Arial" w:cs="Arial" w:hint="eastAsia"/>
          <w:kern w:val="0"/>
          <w:szCs w:val="21"/>
        </w:rPr>
        <w:t>(</w:t>
      </w:r>
      <w:r>
        <w:rPr>
          <w:rFonts w:ascii="Arial" w:hAnsi="Arial" w:cs="Arial" w:hint="eastAsia"/>
          <w:kern w:val="0"/>
          <w:szCs w:val="21"/>
        </w:rPr>
        <w:t>以下简称“中国证监会”</w:t>
      </w:r>
      <w:r>
        <w:rPr>
          <w:rFonts w:ascii="Arial" w:hAnsi="Arial" w:cs="Arial" w:hint="eastAsia"/>
          <w:kern w:val="0"/>
          <w:szCs w:val="21"/>
        </w:rPr>
        <w:t>)</w:t>
      </w:r>
      <w:r>
        <w:rPr>
          <w:rFonts w:ascii="Arial" w:hAnsi="Arial" w:cs="Arial" w:hint="eastAsia"/>
          <w:kern w:val="0"/>
          <w:szCs w:val="21"/>
        </w:rPr>
        <w:t>核准。中国证监会对本基金</w:t>
      </w:r>
      <w:proofErr w:type="gramStart"/>
      <w:r>
        <w:rPr>
          <w:rFonts w:ascii="Arial" w:hAnsi="Arial" w:cs="Arial" w:hint="eastAsia"/>
          <w:kern w:val="0"/>
          <w:szCs w:val="21"/>
        </w:rPr>
        <w:t>募</w:t>
      </w:r>
      <w:proofErr w:type="gramEnd"/>
      <w:r>
        <w:rPr>
          <w:rFonts w:ascii="Arial" w:hAnsi="Arial" w:cs="Arial" w:hint="eastAsia"/>
          <w:kern w:val="0"/>
          <w:szCs w:val="21"/>
        </w:rPr>
        <w:t>集的核准，并不表明其对本基金的价值和收益做出实质性判断或保证，也不表明投资于本基金没有风险。</w:t>
      </w:r>
    </w:p>
    <w:p w14:paraId="6F3E6C4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基金管理人依照恪尽职守、诚实信用、谨慎勤勉的原则管理和运用基金财产，但由于证券投资具有一定的风险，因此不保证投资于本基金一定盈利，也不保证基金份额持有人的最低收益。</w:t>
      </w:r>
    </w:p>
    <w:p w14:paraId="48CBF2C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本基金合同是约定本基金合同当事人之间基本权利义务的法律文件，其他与本基金相关的涉及本基金合同当事人之间权利义务关系的任何文件或表述，如与本基金合同有冲突，均以本基金合同为准。本基金合同的当事人包括基金管理人、基金托管人和基金份额持有人。基金投资者自依本基金合同取得本</w:t>
      </w:r>
      <w:proofErr w:type="gramStart"/>
      <w:r>
        <w:rPr>
          <w:rFonts w:ascii="Arial" w:hAnsi="Arial" w:cs="Arial" w:hint="eastAsia"/>
          <w:kern w:val="0"/>
          <w:szCs w:val="21"/>
        </w:rPr>
        <w:t>基金基金</w:t>
      </w:r>
      <w:proofErr w:type="gramEnd"/>
      <w:r>
        <w:rPr>
          <w:rFonts w:ascii="Arial" w:hAnsi="Arial" w:cs="Arial" w:hint="eastAsia"/>
          <w:kern w:val="0"/>
          <w:szCs w:val="21"/>
        </w:rPr>
        <w:t>份额，即成为基金份额持有人和本基金合同的当事人，其持有基金份额的行为本身即表明其对本基金合同的承认和接受。基金份额持有人作为本基金合同当事人并不以在本基金合同上书面签章为必要条件。本基金合同的当事人按照《基金法》、本基金合同及其他有关法律法规规定享有权利、承担义务。</w:t>
      </w:r>
    </w:p>
    <w:p w14:paraId="532D64D4" w14:textId="77777777" w:rsidR="00ED45CB" w:rsidRDefault="00703CCA">
      <w:pPr>
        <w:adjustRightInd w:val="0"/>
        <w:snapToGrid w:val="0"/>
        <w:spacing w:line="360" w:lineRule="auto"/>
        <w:ind w:firstLineChars="200" w:firstLine="420"/>
        <w:rPr>
          <w:rFonts w:ascii="宋体" w:hAnsi="宋体"/>
          <w:szCs w:val="21"/>
        </w:rPr>
      </w:pPr>
      <w:r>
        <w:rPr>
          <w:rFonts w:ascii="宋体" w:hAnsi="宋体" w:hint="eastAsia"/>
          <w:szCs w:val="21"/>
        </w:rPr>
        <w:t>基金合同生效后，若因法律法规的修改或新法律法规的颁布施行导致基金合同的内容与届时有效的法律法规的强制性规定不一致，应当以届时有效的法律法规的规定为准</w:t>
      </w:r>
      <w:r>
        <w:rPr>
          <w:rFonts w:ascii="宋体" w:hAnsi="宋体"/>
          <w:szCs w:val="21"/>
        </w:rPr>
        <w:t>。</w:t>
      </w:r>
    </w:p>
    <w:p w14:paraId="0F81FD20" w14:textId="77777777" w:rsidR="00ED45CB" w:rsidRDefault="00703CCA">
      <w:pPr>
        <w:adjustRightInd w:val="0"/>
        <w:snapToGrid w:val="0"/>
        <w:spacing w:line="360" w:lineRule="auto"/>
        <w:ind w:firstLineChars="200" w:firstLine="420"/>
        <w:rPr>
          <w:rFonts w:ascii="宋体" w:hAnsi="宋体"/>
          <w:szCs w:val="21"/>
        </w:rPr>
      </w:pPr>
      <w:r>
        <w:rPr>
          <w:rFonts w:ascii="宋体" w:hAnsi="宋体" w:hint="eastAsia"/>
          <w:szCs w:val="21"/>
        </w:rPr>
        <w:t>投资者应当认真阅读基金合同、基金招募说明书、基金产品资料概要等信息披露文件，</w:t>
      </w:r>
      <w:r>
        <w:rPr>
          <w:rFonts w:ascii="宋体" w:hAnsi="宋体" w:hint="eastAsia"/>
          <w:szCs w:val="21"/>
        </w:rPr>
        <w:lastRenderedPageBreak/>
        <w:t>自主判断基金的投资价值，自主做出投资决策，自行承担投资风险。</w:t>
      </w:r>
    </w:p>
    <w:p w14:paraId="08D85B84" w14:textId="77777777" w:rsidR="00ED45CB" w:rsidRDefault="00703CCA">
      <w:pPr>
        <w:adjustRightInd w:val="0"/>
        <w:snapToGrid w:val="0"/>
        <w:spacing w:line="360" w:lineRule="auto"/>
        <w:ind w:firstLineChars="200" w:firstLine="420"/>
        <w:rPr>
          <w:rFonts w:ascii="宋体" w:hAnsi="宋体"/>
          <w:szCs w:val="21"/>
        </w:rPr>
      </w:pPr>
      <w:r>
        <w:rPr>
          <w:rFonts w:ascii="Arial" w:hAnsi="Arial" w:cs="Arial" w:hint="eastAsia"/>
          <w:kern w:val="0"/>
          <w:szCs w:val="21"/>
        </w:rPr>
        <w:t>本基金合同约定的基金产品资料概要编制、披露与更新的要求，将不晚于</w:t>
      </w:r>
      <w:r>
        <w:rPr>
          <w:rFonts w:ascii="Arial" w:hAnsi="Arial" w:cs="Arial" w:hint="eastAsia"/>
          <w:kern w:val="0"/>
          <w:szCs w:val="21"/>
        </w:rPr>
        <w:t>2020</w:t>
      </w:r>
      <w:r>
        <w:rPr>
          <w:rFonts w:ascii="Arial" w:hAnsi="Arial" w:cs="Arial" w:hint="eastAsia"/>
          <w:kern w:val="0"/>
          <w:szCs w:val="21"/>
        </w:rPr>
        <w:t>年</w:t>
      </w:r>
      <w:r>
        <w:rPr>
          <w:rFonts w:ascii="Arial" w:hAnsi="Arial" w:cs="Arial" w:hint="eastAsia"/>
          <w:kern w:val="0"/>
          <w:szCs w:val="21"/>
        </w:rPr>
        <w:t>9</w:t>
      </w:r>
      <w:r>
        <w:rPr>
          <w:rFonts w:ascii="Arial" w:hAnsi="Arial" w:cs="Arial" w:hint="eastAsia"/>
          <w:kern w:val="0"/>
          <w:szCs w:val="21"/>
        </w:rPr>
        <w:t>月</w:t>
      </w:r>
      <w:r>
        <w:rPr>
          <w:rFonts w:ascii="Arial" w:hAnsi="Arial" w:cs="Arial" w:hint="eastAsia"/>
          <w:kern w:val="0"/>
          <w:szCs w:val="21"/>
        </w:rPr>
        <w:t>1</w:t>
      </w:r>
      <w:r>
        <w:rPr>
          <w:rFonts w:ascii="Arial" w:hAnsi="Arial" w:cs="Arial" w:hint="eastAsia"/>
          <w:kern w:val="0"/>
          <w:szCs w:val="21"/>
        </w:rPr>
        <w:t>日</w:t>
      </w:r>
      <w:r>
        <w:rPr>
          <w:rFonts w:ascii="Arial" w:hAnsi="Arial" w:cs="Arial" w:hint="eastAsia"/>
          <w:kern w:val="0"/>
          <w:szCs w:val="21"/>
        </w:rPr>
        <w:t xml:space="preserve"> </w:t>
      </w:r>
      <w:r>
        <w:rPr>
          <w:rFonts w:ascii="Arial" w:hAnsi="Arial" w:cs="Arial" w:hint="eastAsia"/>
          <w:kern w:val="0"/>
          <w:szCs w:val="21"/>
        </w:rPr>
        <w:t>起执行。</w:t>
      </w:r>
      <w:r>
        <w:rPr>
          <w:rFonts w:ascii="宋体" w:hAnsi="宋体"/>
          <w:szCs w:val="21"/>
        </w:rPr>
        <w:br w:type="page"/>
      </w:r>
    </w:p>
    <w:p w14:paraId="6F3B94D7"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5" w:name="_Toc122336540"/>
      <w:bookmarkStart w:id="6" w:name="_Toc88037837"/>
      <w:bookmarkStart w:id="7" w:name="_Toc344308262"/>
      <w:r>
        <w:rPr>
          <w:rFonts w:ascii="宋体" w:eastAsia="宋体" w:hAnsi="宋体" w:hint="eastAsia"/>
          <w:sz w:val="24"/>
          <w:szCs w:val="24"/>
        </w:rPr>
        <w:t>二、释义</w:t>
      </w:r>
      <w:bookmarkEnd w:id="5"/>
      <w:bookmarkEnd w:id="6"/>
      <w:bookmarkEnd w:id="7"/>
    </w:p>
    <w:p w14:paraId="5BC9FDA8" w14:textId="77777777" w:rsidR="00ED45CB" w:rsidRDefault="00703CCA">
      <w:pPr>
        <w:spacing w:before="100" w:beforeAutospacing="1" w:after="100" w:afterAutospacing="1" w:line="400" w:lineRule="exact"/>
        <w:rPr>
          <w:rFonts w:ascii="宋体" w:hAnsi="宋体"/>
          <w:kern w:val="0"/>
          <w:szCs w:val="21"/>
        </w:rPr>
      </w:pPr>
      <w:r>
        <w:rPr>
          <w:rFonts w:ascii="宋体" w:hAnsi="宋体" w:hint="eastAsia"/>
          <w:kern w:val="0"/>
          <w:szCs w:val="21"/>
        </w:rPr>
        <w:t>本基金合同中，除非文意另有所指，下列词语或简称具有如下含义：</w:t>
      </w:r>
    </w:p>
    <w:tbl>
      <w:tblPr>
        <w:tblW w:w="8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5714"/>
      </w:tblGrid>
      <w:tr w:rsidR="00ED45CB" w14:paraId="40FDEEAF" w14:textId="77777777">
        <w:tc>
          <w:tcPr>
            <w:tcW w:w="2700" w:type="dxa"/>
          </w:tcPr>
          <w:p w14:paraId="6F14F21E"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基金或本基金：</w:t>
            </w:r>
          </w:p>
        </w:tc>
        <w:tc>
          <w:tcPr>
            <w:tcW w:w="5714" w:type="dxa"/>
          </w:tcPr>
          <w:p w14:paraId="11994BCF" w14:textId="77777777" w:rsidR="00ED45CB" w:rsidRDefault="00703CCA">
            <w:pPr>
              <w:adjustRightInd w:val="0"/>
              <w:snapToGrid w:val="0"/>
              <w:spacing w:line="360" w:lineRule="auto"/>
              <w:rPr>
                <w:rFonts w:ascii="Arial" w:hAnsi="Arial" w:cs="Arial"/>
                <w:kern w:val="0"/>
                <w:szCs w:val="21"/>
              </w:rPr>
            </w:pPr>
            <w:proofErr w:type="gramStart"/>
            <w:r>
              <w:rPr>
                <w:rFonts w:ascii="Arial" w:hAnsi="Arial" w:cs="Arial" w:hint="eastAsia"/>
                <w:kern w:val="0"/>
                <w:szCs w:val="21"/>
              </w:rPr>
              <w:t>指博时</w:t>
            </w:r>
            <w:proofErr w:type="gramEnd"/>
            <w:r>
              <w:rPr>
                <w:rFonts w:ascii="Arial" w:hAnsi="Arial" w:cs="Arial" w:hint="eastAsia"/>
                <w:kern w:val="0"/>
                <w:szCs w:val="21"/>
              </w:rPr>
              <w:t>黄金交易型开放式证券投资基金联接基金；</w:t>
            </w:r>
          </w:p>
        </w:tc>
      </w:tr>
      <w:tr w:rsidR="00ED45CB" w14:paraId="3873A1A6" w14:textId="77777777">
        <w:tc>
          <w:tcPr>
            <w:tcW w:w="2700" w:type="dxa"/>
          </w:tcPr>
          <w:p w14:paraId="68BA8909"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基金合同或本基金合同：</w:t>
            </w:r>
          </w:p>
        </w:tc>
        <w:tc>
          <w:tcPr>
            <w:tcW w:w="5714" w:type="dxa"/>
          </w:tcPr>
          <w:p w14:paraId="572819D3"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指《博时黄金交易型开放式证券投资基金联接基金基金合同》及对本基金合同的任何有效修订和补充；</w:t>
            </w:r>
          </w:p>
        </w:tc>
      </w:tr>
      <w:tr w:rsidR="00ED45CB" w14:paraId="3503B59B" w14:textId="77777777">
        <w:tc>
          <w:tcPr>
            <w:tcW w:w="2700" w:type="dxa"/>
          </w:tcPr>
          <w:p w14:paraId="470D29A8"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招募说明书：</w:t>
            </w:r>
          </w:p>
        </w:tc>
        <w:tc>
          <w:tcPr>
            <w:tcW w:w="5714" w:type="dxa"/>
          </w:tcPr>
          <w:p w14:paraId="5F03EF64" w14:textId="4101672D"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指《博时黄金交易型开放式证券投资基金联接基金招募说明书》及其更新；</w:t>
            </w:r>
          </w:p>
        </w:tc>
      </w:tr>
      <w:tr w:rsidR="00ED45CB" w14:paraId="51562319" w14:textId="77777777">
        <w:tc>
          <w:tcPr>
            <w:tcW w:w="2700" w:type="dxa"/>
          </w:tcPr>
          <w:p w14:paraId="6A5AD2D3"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发售公告：</w:t>
            </w:r>
          </w:p>
        </w:tc>
        <w:tc>
          <w:tcPr>
            <w:tcW w:w="5714" w:type="dxa"/>
          </w:tcPr>
          <w:p w14:paraId="3956C87D"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指《博时黄金交易型开放式证券投资基金联接基金基金份额发售公告》；</w:t>
            </w:r>
          </w:p>
        </w:tc>
      </w:tr>
      <w:tr w:rsidR="00ED45CB" w14:paraId="496D1716" w14:textId="77777777">
        <w:tc>
          <w:tcPr>
            <w:tcW w:w="2700" w:type="dxa"/>
          </w:tcPr>
          <w:p w14:paraId="708D5F0E"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基金产品资料概要：</w:t>
            </w:r>
          </w:p>
        </w:tc>
        <w:tc>
          <w:tcPr>
            <w:tcW w:w="5714" w:type="dxa"/>
          </w:tcPr>
          <w:p w14:paraId="7A848847"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指《博时黄金交易型开放式证券投资基金联接基金基金产品资料概要》及其更新</w:t>
            </w:r>
          </w:p>
        </w:tc>
      </w:tr>
      <w:tr w:rsidR="00ED45CB" w14:paraId="243F77A2" w14:textId="77777777">
        <w:tc>
          <w:tcPr>
            <w:tcW w:w="2700" w:type="dxa"/>
          </w:tcPr>
          <w:p w14:paraId="791B743D"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托管协议</w:t>
            </w:r>
          </w:p>
        </w:tc>
        <w:tc>
          <w:tcPr>
            <w:tcW w:w="5714" w:type="dxa"/>
          </w:tcPr>
          <w:p w14:paraId="2D4752C7"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指《博时黄金交易型开放式证券投资基金联接基金托管协议》及其任何有效修订和补充；</w:t>
            </w:r>
          </w:p>
        </w:tc>
      </w:tr>
      <w:tr w:rsidR="00ED45CB" w14:paraId="57B15E52" w14:textId="77777777">
        <w:tc>
          <w:tcPr>
            <w:tcW w:w="2700" w:type="dxa"/>
          </w:tcPr>
          <w:p w14:paraId="31DD4570"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中国证监会：</w:t>
            </w:r>
          </w:p>
        </w:tc>
        <w:tc>
          <w:tcPr>
            <w:tcW w:w="5714" w:type="dxa"/>
          </w:tcPr>
          <w:p w14:paraId="10BDAD63"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指中国证券监督管理委员会；</w:t>
            </w:r>
          </w:p>
        </w:tc>
      </w:tr>
      <w:tr w:rsidR="00ED45CB" w14:paraId="5B4A34A7" w14:textId="77777777">
        <w:tc>
          <w:tcPr>
            <w:tcW w:w="2700" w:type="dxa"/>
          </w:tcPr>
          <w:p w14:paraId="4A7C41D6"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中国银监会：</w:t>
            </w:r>
          </w:p>
        </w:tc>
        <w:tc>
          <w:tcPr>
            <w:tcW w:w="5714" w:type="dxa"/>
          </w:tcPr>
          <w:p w14:paraId="1BF6849D"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指中国银行业监督管理委员会；</w:t>
            </w:r>
          </w:p>
        </w:tc>
      </w:tr>
      <w:tr w:rsidR="00ED45CB" w14:paraId="1B612CCA" w14:textId="77777777">
        <w:tc>
          <w:tcPr>
            <w:tcW w:w="2700" w:type="dxa"/>
          </w:tcPr>
          <w:p w14:paraId="48D2DEA8"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《基金法》：</w:t>
            </w:r>
          </w:p>
        </w:tc>
        <w:tc>
          <w:tcPr>
            <w:tcW w:w="5714" w:type="dxa"/>
          </w:tcPr>
          <w:p w14:paraId="5CB4B3C3"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w:t>
            </w:r>
            <w:r>
              <w:rPr>
                <w:rFonts w:ascii="Arial" w:hAnsi="Arial" w:cs="Arial" w:hint="eastAsia"/>
                <w:kern w:val="0"/>
                <w:szCs w:val="21"/>
              </w:rPr>
              <w:t>2003</w:t>
            </w:r>
            <w:r>
              <w:rPr>
                <w:rFonts w:ascii="Arial" w:hAnsi="Arial" w:cs="Arial" w:hint="eastAsia"/>
                <w:kern w:val="0"/>
                <w:szCs w:val="21"/>
              </w:rPr>
              <w:t>年</w:t>
            </w:r>
            <w:r>
              <w:rPr>
                <w:rFonts w:ascii="Arial" w:hAnsi="Arial" w:cs="Arial" w:hint="eastAsia"/>
                <w:kern w:val="0"/>
                <w:szCs w:val="21"/>
              </w:rPr>
              <w:t>10</w:t>
            </w:r>
            <w:r>
              <w:rPr>
                <w:rFonts w:ascii="Arial" w:hAnsi="Arial" w:cs="Arial" w:hint="eastAsia"/>
                <w:kern w:val="0"/>
                <w:szCs w:val="21"/>
              </w:rPr>
              <w:t>月</w:t>
            </w:r>
            <w:r>
              <w:rPr>
                <w:rFonts w:ascii="Arial" w:hAnsi="Arial" w:cs="Arial" w:hint="eastAsia"/>
                <w:kern w:val="0"/>
                <w:szCs w:val="21"/>
              </w:rPr>
              <w:t>28</w:t>
            </w:r>
            <w:r>
              <w:rPr>
                <w:rFonts w:ascii="Arial" w:hAnsi="Arial" w:cs="Arial" w:hint="eastAsia"/>
                <w:kern w:val="0"/>
                <w:szCs w:val="21"/>
              </w:rPr>
              <w:t>日经第十届全国人民代表大会常务委员会第五次会议通过的自</w:t>
            </w:r>
            <w:r>
              <w:rPr>
                <w:rFonts w:ascii="Arial" w:hAnsi="Arial" w:cs="Arial" w:hint="eastAsia"/>
                <w:kern w:val="0"/>
                <w:szCs w:val="21"/>
              </w:rPr>
              <w:t>2004</w:t>
            </w:r>
            <w:r>
              <w:rPr>
                <w:rFonts w:ascii="Arial" w:hAnsi="Arial" w:cs="Arial" w:hint="eastAsia"/>
                <w:kern w:val="0"/>
                <w:szCs w:val="21"/>
              </w:rPr>
              <w:t>年</w:t>
            </w:r>
            <w:r>
              <w:rPr>
                <w:rFonts w:ascii="Arial" w:hAnsi="Arial" w:cs="Arial" w:hint="eastAsia"/>
                <w:kern w:val="0"/>
                <w:szCs w:val="21"/>
              </w:rPr>
              <w:t>6</w:t>
            </w:r>
            <w:r>
              <w:rPr>
                <w:rFonts w:ascii="Arial" w:hAnsi="Arial" w:cs="Arial" w:hint="eastAsia"/>
                <w:kern w:val="0"/>
                <w:szCs w:val="21"/>
              </w:rPr>
              <w:t>月</w:t>
            </w:r>
            <w:r>
              <w:rPr>
                <w:rFonts w:ascii="Arial" w:hAnsi="Arial" w:cs="Arial" w:hint="eastAsia"/>
                <w:kern w:val="0"/>
                <w:szCs w:val="21"/>
              </w:rPr>
              <w:t>1</w:t>
            </w:r>
            <w:r>
              <w:rPr>
                <w:rFonts w:ascii="Arial" w:hAnsi="Arial" w:cs="Arial" w:hint="eastAsia"/>
                <w:kern w:val="0"/>
                <w:szCs w:val="21"/>
              </w:rPr>
              <w:t>日起实施的《中华人民共和国证券投资基金法》及不时做出的修订；</w:t>
            </w:r>
            <w:r>
              <w:rPr>
                <w:rFonts w:ascii="Arial" w:hAnsi="Arial" w:cs="Arial" w:hint="eastAsia"/>
                <w:kern w:val="0"/>
                <w:szCs w:val="21"/>
              </w:rPr>
              <w:t xml:space="preserve"> </w:t>
            </w:r>
          </w:p>
        </w:tc>
      </w:tr>
      <w:tr w:rsidR="00ED45CB" w14:paraId="56908FB4" w14:textId="77777777">
        <w:tc>
          <w:tcPr>
            <w:tcW w:w="2700" w:type="dxa"/>
          </w:tcPr>
          <w:p w14:paraId="79FFF8E7"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《销售办法》：</w:t>
            </w:r>
          </w:p>
        </w:tc>
        <w:tc>
          <w:tcPr>
            <w:tcW w:w="5714" w:type="dxa"/>
          </w:tcPr>
          <w:p w14:paraId="6BFCA69C"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w:t>
            </w:r>
            <w:r>
              <w:rPr>
                <w:rFonts w:ascii="Arial" w:hAnsi="Arial" w:cs="Arial" w:hint="eastAsia"/>
                <w:kern w:val="0"/>
                <w:szCs w:val="21"/>
              </w:rPr>
              <w:t>2011</w:t>
            </w:r>
            <w:r>
              <w:rPr>
                <w:rFonts w:ascii="Arial" w:hAnsi="Arial" w:cs="Arial" w:hint="eastAsia"/>
                <w:kern w:val="0"/>
                <w:szCs w:val="21"/>
              </w:rPr>
              <w:t>年</w:t>
            </w:r>
            <w:r>
              <w:rPr>
                <w:rFonts w:ascii="Arial" w:hAnsi="Arial" w:cs="Arial" w:hint="eastAsia"/>
                <w:kern w:val="0"/>
                <w:szCs w:val="21"/>
              </w:rPr>
              <w:t>6</w:t>
            </w:r>
            <w:r>
              <w:rPr>
                <w:rFonts w:ascii="Arial" w:hAnsi="Arial" w:cs="Arial" w:hint="eastAsia"/>
                <w:kern w:val="0"/>
                <w:szCs w:val="21"/>
              </w:rPr>
              <w:t>月</w:t>
            </w:r>
            <w:r>
              <w:rPr>
                <w:rFonts w:ascii="Arial" w:hAnsi="Arial" w:cs="Arial" w:hint="eastAsia"/>
                <w:kern w:val="0"/>
                <w:szCs w:val="21"/>
              </w:rPr>
              <w:t>9</w:t>
            </w:r>
            <w:r>
              <w:rPr>
                <w:rFonts w:ascii="Arial" w:hAnsi="Arial" w:cs="Arial" w:hint="eastAsia"/>
                <w:kern w:val="0"/>
                <w:szCs w:val="21"/>
              </w:rPr>
              <w:t>日由中国证监会公布并于</w:t>
            </w:r>
            <w:r>
              <w:rPr>
                <w:rFonts w:ascii="Arial" w:hAnsi="Arial" w:cs="Arial"/>
                <w:kern w:val="0"/>
                <w:szCs w:val="21"/>
              </w:rPr>
              <w:t>20</w:t>
            </w:r>
            <w:r>
              <w:rPr>
                <w:rFonts w:ascii="Arial" w:hAnsi="Arial" w:cs="Arial" w:hint="eastAsia"/>
                <w:kern w:val="0"/>
                <w:szCs w:val="21"/>
              </w:rPr>
              <w:t>11</w:t>
            </w:r>
            <w:r>
              <w:rPr>
                <w:rFonts w:ascii="Arial" w:hAnsi="Arial" w:cs="Arial" w:hint="eastAsia"/>
                <w:kern w:val="0"/>
                <w:szCs w:val="21"/>
              </w:rPr>
              <w:t>年</w:t>
            </w:r>
            <w:r>
              <w:rPr>
                <w:rFonts w:ascii="Arial" w:hAnsi="Arial" w:cs="Arial" w:hint="eastAsia"/>
                <w:kern w:val="0"/>
                <w:szCs w:val="21"/>
              </w:rPr>
              <w:t>10</w:t>
            </w:r>
            <w:r>
              <w:rPr>
                <w:rFonts w:ascii="Arial" w:hAnsi="Arial" w:cs="Arial" w:hint="eastAsia"/>
                <w:kern w:val="0"/>
                <w:szCs w:val="21"/>
              </w:rPr>
              <w:t>月</w:t>
            </w:r>
            <w:r>
              <w:rPr>
                <w:rFonts w:ascii="Arial" w:hAnsi="Arial" w:cs="Arial"/>
                <w:kern w:val="0"/>
                <w:szCs w:val="21"/>
              </w:rPr>
              <w:t>1</w:t>
            </w:r>
            <w:r>
              <w:rPr>
                <w:rFonts w:ascii="Arial" w:hAnsi="Arial" w:cs="Arial" w:hint="eastAsia"/>
                <w:kern w:val="0"/>
                <w:szCs w:val="21"/>
              </w:rPr>
              <w:t>日起实施的《证券投资基金销售管理办法》及不时做出的修订；</w:t>
            </w:r>
          </w:p>
        </w:tc>
      </w:tr>
      <w:tr w:rsidR="00ED45CB" w14:paraId="4483BB84" w14:textId="77777777">
        <w:tc>
          <w:tcPr>
            <w:tcW w:w="2700" w:type="dxa"/>
          </w:tcPr>
          <w:p w14:paraId="02E5CEED"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《运作办法》：</w:t>
            </w:r>
          </w:p>
        </w:tc>
        <w:tc>
          <w:tcPr>
            <w:tcW w:w="5714" w:type="dxa"/>
          </w:tcPr>
          <w:p w14:paraId="4540081B"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w:t>
            </w:r>
            <w:r>
              <w:rPr>
                <w:rFonts w:ascii="Arial" w:hAnsi="Arial" w:cs="Arial" w:hint="eastAsia"/>
                <w:kern w:val="0"/>
                <w:szCs w:val="21"/>
              </w:rPr>
              <w:t>2004</w:t>
            </w:r>
            <w:r>
              <w:rPr>
                <w:rFonts w:ascii="Arial" w:hAnsi="Arial" w:cs="Arial" w:hint="eastAsia"/>
                <w:kern w:val="0"/>
                <w:szCs w:val="21"/>
              </w:rPr>
              <w:t>年</w:t>
            </w:r>
            <w:r>
              <w:rPr>
                <w:rFonts w:ascii="Arial" w:hAnsi="Arial" w:cs="Arial" w:hint="eastAsia"/>
                <w:kern w:val="0"/>
                <w:szCs w:val="21"/>
              </w:rPr>
              <w:t>6</w:t>
            </w:r>
            <w:r>
              <w:rPr>
                <w:rFonts w:ascii="Arial" w:hAnsi="Arial" w:cs="Arial" w:hint="eastAsia"/>
                <w:kern w:val="0"/>
                <w:szCs w:val="21"/>
              </w:rPr>
              <w:t>月</w:t>
            </w:r>
            <w:r>
              <w:rPr>
                <w:rFonts w:ascii="Arial" w:hAnsi="Arial" w:cs="Arial" w:hint="eastAsia"/>
                <w:kern w:val="0"/>
                <w:szCs w:val="21"/>
              </w:rPr>
              <w:t>29</w:t>
            </w:r>
            <w:r>
              <w:rPr>
                <w:rFonts w:ascii="Arial" w:hAnsi="Arial" w:cs="Arial" w:hint="eastAsia"/>
                <w:kern w:val="0"/>
                <w:szCs w:val="21"/>
              </w:rPr>
              <w:t>日由中国证监会公布并于</w:t>
            </w:r>
            <w:r>
              <w:rPr>
                <w:rFonts w:ascii="Arial" w:hAnsi="Arial" w:cs="Arial" w:hint="eastAsia"/>
                <w:kern w:val="0"/>
                <w:szCs w:val="21"/>
              </w:rPr>
              <w:t>2004</w:t>
            </w:r>
            <w:r>
              <w:rPr>
                <w:rFonts w:ascii="Arial" w:hAnsi="Arial" w:cs="Arial" w:hint="eastAsia"/>
                <w:kern w:val="0"/>
                <w:szCs w:val="21"/>
              </w:rPr>
              <w:t>年</w:t>
            </w:r>
            <w:r>
              <w:rPr>
                <w:rFonts w:ascii="Arial" w:hAnsi="Arial" w:cs="Arial" w:hint="eastAsia"/>
                <w:kern w:val="0"/>
                <w:szCs w:val="21"/>
              </w:rPr>
              <w:t>7</w:t>
            </w:r>
            <w:r>
              <w:rPr>
                <w:rFonts w:ascii="Arial" w:hAnsi="Arial" w:cs="Arial" w:hint="eastAsia"/>
                <w:kern w:val="0"/>
                <w:szCs w:val="21"/>
              </w:rPr>
              <w:t>月</w:t>
            </w:r>
            <w:r>
              <w:rPr>
                <w:rFonts w:ascii="Arial" w:hAnsi="Arial" w:cs="Arial" w:hint="eastAsia"/>
                <w:kern w:val="0"/>
                <w:szCs w:val="21"/>
              </w:rPr>
              <w:t>1</w:t>
            </w:r>
            <w:r>
              <w:rPr>
                <w:rFonts w:ascii="Arial" w:hAnsi="Arial" w:cs="Arial" w:hint="eastAsia"/>
                <w:kern w:val="0"/>
                <w:szCs w:val="21"/>
              </w:rPr>
              <w:t>日起实施的《证券投资基金运作管理办法》及不时做出的修订；</w:t>
            </w:r>
          </w:p>
        </w:tc>
      </w:tr>
      <w:tr w:rsidR="00ED45CB" w14:paraId="0D891B36" w14:textId="77777777">
        <w:tc>
          <w:tcPr>
            <w:tcW w:w="2700" w:type="dxa"/>
          </w:tcPr>
          <w:p w14:paraId="0CBDA148"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《信息披露办法》：</w:t>
            </w:r>
          </w:p>
        </w:tc>
        <w:tc>
          <w:tcPr>
            <w:tcW w:w="5714" w:type="dxa"/>
          </w:tcPr>
          <w:p w14:paraId="61E0F0F7" w14:textId="7FA91696"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指中国证监会</w:t>
            </w:r>
            <w:r>
              <w:rPr>
                <w:rFonts w:ascii="Arial" w:hAnsi="Arial" w:cs="Arial" w:hint="eastAsia"/>
                <w:kern w:val="0"/>
                <w:szCs w:val="21"/>
              </w:rPr>
              <w:t>2019</w:t>
            </w:r>
            <w:r>
              <w:rPr>
                <w:rFonts w:ascii="Arial" w:hAnsi="Arial" w:cs="Arial" w:hint="eastAsia"/>
                <w:kern w:val="0"/>
                <w:szCs w:val="21"/>
              </w:rPr>
              <w:t>年</w:t>
            </w:r>
            <w:r>
              <w:rPr>
                <w:rFonts w:ascii="Arial" w:hAnsi="Arial" w:cs="Arial" w:hint="eastAsia"/>
                <w:kern w:val="0"/>
                <w:szCs w:val="21"/>
              </w:rPr>
              <w:t>7</w:t>
            </w:r>
            <w:r>
              <w:rPr>
                <w:rFonts w:ascii="Arial" w:hAnsi="Arial" w:cs="Arial" w:hint="eastAsia"/>
                <w:kern w:val="0"/>
                <w:szCs w:val="21"/>
              </w:rPr>
              <w:t>月</w:t>
            </w:r>
            <w:r>
              <w:rPr>
                <w:rFonts w:ascii="Arial" w:hAnsi="Arial" w:cs="Arial" w:hint="eastAsia"/>
                <w:kern w:val="0"/>
                <w:szCs w:val="21"/>
              </w:rPr>
              <w:t>26</w:t>
            </w:r>
            <w:r>
              <w:rPr>
                <w:rFonts w:ascii="Arial" w:hAnsi="Arial" w:cs="Arial" w:hint="eastAsia"/>
                <w:kern w:val="0"/>
                <w:szCs w:val="21"/>
              </w:rPr>
              <w:t>日颁布并于同年</w:t>
            </w:r>
            <w:r>
              <w:rPr>
                <w:rFonts w:ascii="Arial" w:hAnsi="Arial" w:cs="Arial" w:hint="eastAsia"/>
                <w:kern w:val="0"/>
                <w:szCs w:val="21"/>
              </w:rPr>
              <w:t>9</w:t>
            </w:r>
            <w:r>
              <w:rPr>
                <w:rFonts w:ascii="Arial" w:hAnsi="Arial" w:cs="Arial" w:hint="eastAsia"/>
                <w:kern w:val="0"/>
                <w:szCs w:val="21"/>
              </w:rPr>
              <w:t>月</w:t>
            </w:r>
            <w:r>
              <w:rPr>
                <w:rFonts w:ascii="Arial" w:hAnsi="Arial" w:cs="Arial" w:hint="eastAsia"/>
                <w:kern w:val="0"/>
                <w:szCs w:val="21"/>
              </w:rPr>
              <w:t>1</w:t>
            </w:r>
            <w:r>
              <w:rPr>
                <w:rFonts w:ascii="Arial" w:hAnsi="Arial" w:cs="Arial" w:hint="eastAsia"/>
                <w:kern w:val="0"/>
                <w:szCs w:val="21"/>
              </w:rPr>
              <w:t>日实施实施的《公开募集证券投资基金信息披露管理办法》及不时</w:t>
            </w:r>
            <w:proofErr w:type="gramStart"/>
            <w:r>
              <w:rPr>
                <w:rFonts w:ascii="Arial" w:hAnsi="Arial" w:cs="Arial" w:hint="eastAsia"/>
                <w:kern w:val="0"/>
                <w:szCs w:val="21"/>
              </w:rPr>
              <w:t>作出</w:t>
            </w:r>
            <w:proofErr w:type="gramEnd"/>
            <w:r>
              <w:rPr>
                <w:rFonts w:ascii="Arial" w:hAnsi="Arial" w:cs="Arial" w:hint="eastAsia"/>
                <w:kern w:val="0"/>
                <w:szCs w:val="21"/>
              </w:rPr>
              <w:t>的修订；</w:t>
            </w:r>
          </w:p>
        </w:tc>
      </w:tr>
      <w:tr w:rsidR="00ED45CB" w14:paraId="0C0B945C" w14:textId="77777777">
        <w:tc>
          <w:tcPr>
            <w:tcW w:w="2700" w:type="dxa"/>
          </w:tcPr>
          <w:p w14:paraId="5FE5942C"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《流动性风险管理规定》：</w:t>
            </w:r>
          </w:p>
        </w:tc>
        <w:tc>
          <w:tcPr>
            <w:tcW w:w="5714" w:type="dxa"/>
          </w:tcPr>
          <w:p w14:paraId="0572469C"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指中国证监会</w:t>
            </w:r>
            <w:r>
              <w:rPr>
                <w:rFonts w:ascii="Arial" w:hAnsi="Arial" w:cs="Arial" w:hint="eastAsia"/>
                <w:kern w:val="0"/>
                <w:szCs w:val="21"/>
              </w:rPr>
              <w:t>2017</w:t>
            </w:r>
            <w:r>
              <w:rPr>
                <w:rFonts w:ascii="Arial" w:hAnsi="Arial" w:cs="Arial" w:hint="eastAsia"/>
                <w:kern w:val="0"/>
                <w:szCs w:val="21"/>
              </w:rPr>
              <w:t>年</w:t>
            </w:r>
            <w:r>
              <w:rPr>
                <w:rFonts w:ascii="Arial" w:hAnsi="Arial" w:cs="Arial" w:hint="eastAsia"/>
                <w:kern w:val="0"/>
                <w:szCs w:val="21"/>
              </w:rPr>
              <w:t>8</w:t>
            </w:r>
            <w:r>
              <w:rPr>
                <w:rFonts w:ascii="Arial" w:hAnsi="Arial" w:cs="Arial" w:hint="eastAsia"/>
                <w:kern w:val="0"/>
                <w:szCs w:val="21"/>
              </w:rPr>
              <w:t>月</w:t>
            </w:r>
            <w:r>
              <w:rPr>
                <w:rFonts w:ascii="Arial" w:hAnsi="Arial" w:cs="Arial" w:hint="eastAsia"/>
                <w:kern w:val="0"/>
                <w:szCs w:val="21"/>
              </w:rPr>
              <w:t>31</w:t>
            </w:r>
            <w:r>
              <w:rPr>
                <w:rFonts w:ascii="Arial" w:hAnsi="Arial" w:cs="Arial" w:hint="eastAsia"/>
                <w:kern w:val="0"/>
                <w:szCs w:val="21"/>
              </w:rPr>
              <w:t>日颁布、同年</w:t>
            </w:r>
            <w:r>
              <w:rPr>
                <w:rFonts w:ascii="Arial" w:hAnsi="Arial" w:cs="Arial" w:hint="eastAsia"/>
                <w:kern w:val="0"/>
                <w:szCs w:val="21"/>
              </w:rPr>
              <w:t>10</w:t>
            </w:r>
            <w:r>
              <w:rPr>
                <w:rFonts w:ascii="Arial" w:hAnsi="Arial" w:cs="Arial" w:hint="eastAsia"/>
                <w:kern w:val="0"/>
                <w:szCs w:val="21"/>
              </w:rPr>
              <w:t>月</w:t>
            </w:r>
            <w:r>
              <w:rPr>
                <w:rFonts w:ascii="Arial" w:hAnsi="Arial" w:cs="Arial" w:hint="eastAsia"/>
                <w:kern w:val="0"/>
                <w:szCs w:val="21"/>
              </w:rPr>
              <w:t>1</w:t>
            </w:r>
            <w:r>
              <w:rPr>
                <w:rFonts w:ascii="Arial" w:hAnsi="Arial" w:cs="Arial" w:hint="eastAsia"/>
                <w:kern w:val="0"/>
                <w:szCs w:val="21"/>
              </w:rPr>
              <w:t>日实施的《公开募集开放式证券投资基金流动性风险管理规定》及颁布机关对其不时做出的修订；</w:t>
            </w:r>
          </w:p>
        </w:tc>
      </w:tr>
      <w:tr w:rsidR="00ED45CB" w14:paraId="3ED6979D" w14:textId="77777777">
        <w:tc>
          <w:tcPr>
            <w:tcW w:w="2700" w:type="dxa"/>
          </w:tcPr>
          <w:p w14:paraId="33473E0D"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元：</w:t>
            </w:r>
          </w:p>
        </w:tc>
        <w:tc>
          <w:tcPr>
            <w:tcW w:w="5714" w:type="dxa"/>
          </w:tcPr>
          <w:p w14:paraId="4F244E24"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指人民币元；</w:t>
            </w:r>
          </w:p>
        </w:tc>
      </w:tr>
      <w:tr w:rsidR="00ED45CB" w14:paraId="6D22037D" w14:textId="77777777">
        <w:tc>
          <w:tcPr>
            <w:tcW w:w="2700" w:type="dxa"/>
          </w:tcPr>
          <w:p w14:paraId="49834863"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lastRenderedPageBreak/>
              <w:t>基金管理人：</w:t>
            </w:r>
          </w:p>
        </w:tc>
        <w:tc>
          <w:tcPr>
            <w:tcW w:w="5714" w:type="dxa"/>
          </w:tcPr>
          <w:p w14:paraId="4C7CDC73" w14:textId="77777777" w:rsidR="00ED45CB" w:rsidRDefault="00703CCA">
            <w:pPr>
              <w:adjustRightInd w:val="0"/>
              <w:snapToGrid w:val="0"/>
              <w:spacing w:line="360" w:lineRule="auto"/>
              <w:rPr>
                <w:rFonts w:ascii="Arial" w:hAnsi="Arial" w:cs="Arial"/>
                <w:kern w:val="0"/>
                <w:szCs w:val="21"/>
              </w:rPr>
            </w:pPr>
            <w:proofErr w:type="gramStart"/>
            <w:r>
              <w:rPr>
                <w:rFonts w:ascii="Arial" w:hAnsi="Arial" w:cs="Arial" w:hint="eastAsia"/>
                <w:kern w:val="0"/>
                <w:szCs w:val="21"/>
              </w:rPr>
              <w:t>指博时</w:t>
            </w:r>
            <w:proofErr w:type="gramEnd"/>
            <w:r>
              <w:rPr>
                <w:rFonts w:ascii="Arial" w:hAnsi="Arial" w:cs="Arial" w:hint="eastAsia"/>
                <w:kern w:val="0"/>
                <w:szCs w:val="21"/>
              </w:rPr>
              <w:t>基金管理有限公司；</w:t>
            </w:r>
          </w:p>
        </w:tc>
      </w:tr>
      <w:tr w:rsidR="00ED45CB" w14:paraId="18CB68A1" w14:textId="77777777">
        <w:tc>
          <w:tcPr>
            <w:tcW w:w="2700" w:type="dxa"/>
          </w:tcPr>
          <w:p w14:paraId="4CECB8D6"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基金托管人：</w:t>
            </w:r>
          </w:p>
        </w:tc>
        <w:tc>
          <w:tcPr>
            <w:tcW w:w="5714" w:type="dxa"/>
          </w:tcPr>
          <w:p w14:paraId="307BCF45"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指中国银行股份有限公司；</w:t>
            </w:r>
          </w:p>
        </w:tc>
      </w:tr>
      <w:tr w:rsidR="00ED45CB" w14:paraId="40332BE8" w14:textId="77777777">
        <w:tc>
          <w:tcPr>
            <w:tcW w:w="2700" w:type="dxa"/>
          </w:tcPr>
          <w:p w14:paraId="4E79A4CE"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注册登记业务：</w:t>
            </w:r>
          </w:p>
        </w:tc>
        <w:tc>
          <w:tcPr>
            <w:tcW w:w="5714" w:type="dxa"/>
          </w:tcPr>
          <w:p w14:paraId="2BB45525"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指本基金登记、存管、清算和交收业务，具体内容包括投资者基金账户管理、基金份额注册登记、清算及基金交易确认、发放红利、建立并保管基金份额持有人名册、办理</w:t>
            </w:r>
            <w:proofErr w:type="gramStart"/>
            <w:r>
              <w:rPr>
                <w:rFonts w:ascii="Arial" w:hAnsi="Arial" w:cs="Arial" w:hint="eastAsia"/>
                <w:kern w:val="0"/>
                <w:szCs w:val="21"/>
              </w:rPr>
              <w:t>非交易</w:t>
            </w:r>
            <w:proofErr w:type="gramEnd"/>
            <w:r>
              <w:rPr>
                <w:rFonts w:ascii="Arial" w:hAnsi="Arial" w:cs="Arial" w:hint="eastAsia"/>
                <w:kern w:val="0"/>
                <w:szCs w:val="21"/>
              </w:rPr>
              <w:t>过户等；</w:t>
            </w:r>
          </w:p>
        </w:tc>
      </w:tr>
      <w:tr w:rsidR="00ED45CB" w14:paraId="6A7F93A1" w14:textId="77777777">
        <w:tc>
          <w:tcPr>
            <w:tcW w:w="2700" w:type="dxa"/>
          </w:tcPr>
          <w:p w14:paraId="0628375B"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注册登记机构：</w:t>
            </w:r>
          </w:p>
        </w:tc>
        <w:tc>
          <w:tcPr>
            <w:tcW w:w="5714" w:type="dxa"/>
          </w:tcPr>
          <w:p w14:paraId="4FE049E4" w14:textId="77777777" w:rsidR="00ED45CB" w:rsidRDefault="00703CCA">
            <w:pPr>
              <w:adjustRightInd w:val="0"/>
              <w:snapToGrid w:val="0"/>
              <w:spacing w:line="360" w:lineRule="auto"/>
              <w:rPr>
                <w:rFonts w:ascii="Arial" w:hAnsi="Arial" w:cs="Arial"/>
                <w:kern w:val="0"/>
                <w:szCs w:val="21"/>
              </w:rPr>
            </w:pPr>
            <w:proofErr w:type="gramStart"/>
            <w:r>
              <w:rPr>
                <w:rFonts w:ascii="Arial" w:hAnsi="Arial" w:cs="Arial" w:hint="eastAsia"/>
                <w:kern w:val="0"/>
                <w:szCs w:val="21"/>
              </w:rPr>
              <w:t>指办理</w:t>
            </w:r>
            <w:proofErr w:type="gramEnd"/>
            <w:r>
              <w:rPr>
                <w:rFonts w:ascii="Arial" w:hAnsi="Arial" w:cs="Arial" w:hint="eastAsia"/>
                <w:kern w:val="0"/>
                <w:szCs w:val="21"/>
              </w:rPr>
              <w:t>本基金注册登记业务的机构。本基金的注册登记机构为博时基金管理有限公司或接受博时基金管理有限公司委托代为办理本基金注册登记业务的机构；</w:t>
            </w:r>
          </w:p>
        </w:tc>
      </w:tr>
      <w:tr w:rsidR="00ED45CB" w14:paraId="40CF2EE8" w14:textId="77777777">
        <w:tc>
          <w:tcPr>
            <w:tcW w:w="2700" w:type="dxa"/>
          </w:tcPr>
          <w:p w14:paraId="3B4F8598"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投资者：</w:t>
            </w:r>
          </w:p>
        </w:tc>
        <w:tc>
          <w:tcPr>
            <w:tcW w:w="5714" w:type="dxa"/>
          </w:tcPr>
          <w:p w14:paraId="74C4E697"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指个人投资者、机构投资者、合格境外机构投资者和法律法规或中国证监会允许购买证券投资基金的其他投资者；</w:t>
            </w:r>
          </w:p>
        </w:tc>
      </w:tr>
      <w:tr w:rsidR="00ED45CB" w14:paraId="5C07A860" w14:textId="77777777">
        <w:tc>
          <w:tcPr>
            <w:tcW w:w="2700" w:type="dxa"/>
          </w:tcPr>
          <w:p w14:paraId="67476474"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个人投资者：</w:t>
            </w:r>
          </w:p>
        </w:tc>
        <w:tc>
          <w:tcPr>
            <w:tcW w:w="5714" w:type="dxa"/>
          </w:tcPr>
          <w:p w14:paraId="38E59EBE"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指依据中华人民共和国有关法律法规可以投资于证券投资基金的自然人；</w:t>
            </w:r>
          </w:p>
        </w:tc>
      </w:tr>
      <w:tr w:rsidR="00ED45CB" w14:paraId="0F529350" w14:textId="77777777">
        <w:tc>
          <w:tcPr>
            <w:tcW w:w="2700" w:type="dxa"/>
          </w:tcPr>
          <w:p w14:paraId="2CD36469"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机构投资者：</w:t>
            </w:r>
          </w:p>
        </w:tc>
        <w:tc>
          <w:tcPr>
            <w:tcW w:w="5714" w:type="dxa"/>
          </w:tcPr>
          <w:p w14:paraId="44BFDB73"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指在中国境内合法注册登记或经有权政府部门批准设立和有效存续并依法可以投资于证券投资基金的企业法人、事业法人、社会团体或其他组织；</w:t>
            </w:r>
          </w:p>
        </w:tc>
      </w:tr>
      <w:tr w:rsidR="00ED45CB" w14:paraId="4FC383FF" w14:textId="77777777">
        <w:tc>
          <w:tcPr>
            <w:tcW w:w="2700" w:type="dxa"/>
          </w:tcPr>
          <w:p w14:paraId="6DEA10F1"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合格境外机构投资者：</w:t>
            </w:r>
          </w:p>
        </w:tc>
        <w:tc>
          <w:tcPr>
            <w:tcW w:w="5714" w:type="dxa"/>
          </w:tcPr>
          <w:p w14:paraId="4798E62F"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指符合《合格境外机构投资者境内证券投资管理办法》及相关法律法规规定可以投资于在中国境内依法募集的证券投资基金的中国境外的机构投资者；</w:t>
            </w:r>
          </w:p>
        </w:tc>
      </w:tr>
      <w:tr w:rsidR="00ED45CB" w14:paraId="359AB867" w14:textId="77777777">
        <w:tc>
          <w:tcPr>
            <w:tcW w:w="2700" w:type="dxa"/>
          </w:tcPr>
          <w:p w14:paraId="1AABAF32"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基金份额持有人大会：</w:t>
            </w:r>
          </w:p>
        </w:tc>
        <w:tc>
          <w:tcPr>
            <w:tcW w:w="5714" w:type="dxa"/>
          </w:tcPr>
          <w:p w14:paraId="476CD7AC"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指按照本基金合同第九部分之规定召集、召开并由基金份额持有人或其合法的代理人进行表决的会议；</w:t>
            </w:r>
          </w:p>
        </w:tc>
      </w:tr>
      <w:tr w:rsidR="00ED45CB" w14:paraId="0D548451" w14:textId="77777777">
        <w:tc>
          <w:tcPr>
            <w:tcW w:w="2700" w:type="dxa"/>
          </w:tcPr>
          <w:p w14:paraId="0BA115DF"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基金募集期：</w:t>
            </w:r>
          </w:p>
        </w:tc>
        <w:tc>
          <w:tcPr>
            <w:tcW w:w="5714" w:type="dxa"/>
          </w:tcPr>
          <w:p w14:paraId="3DD0C64E"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指基金合同和招募说明书中载明，并经中国证监会核准的基金份额募集期限，自基金份额发售之日起最长不超过</w:t>
            </w:r>
            <w:r>
              <w:rPr>
                <w:rFonts w:ascii="Arial" w:hAnsi="Arial" w:cs="Arial" w:hint="eastAsia"/>
                <w:kern w:val="0"/>
                <w:szCs w:val="21"/>
              </w:rPr>
              <w:t>3</w:t>
            </w:r>
            <w:r>
              <w:rPr>
                <w:rFonts w:ascii="Arial" w:hAnsi="Arial" w:cs="Arial" w:hint="eastAsia"/>
                <w:kern w:val="0"/>
                <w:szCs w:val="21"/>
              </w:rPr>
              <w:t>个月；</w:t>
            </w:r>
          </w:p>
        </w:tc>
      </w:tr>
      <w:tr w:rsidR="00ED45CB" w14:paraId="56187D67" w14:textId="77777777">
        <w:tc>
          <w:tcPr>
            <w:tcW w:w="2700" w:type="dxa"/>
          </w:tcPr>
          <w:p w14:paraId="7E64D311"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基金合同生效日：</w:t>
            </w:r>
          </w:p>
        </w:tc>
        <w:tc>
          <w:tcPr>
            <w:tcW w:w="5714" w:type="dxa"/>
          </w:tcPr>
          <w:p w14:paraId="7D02237D"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指募集结束，基金募集的基金份额总额、募集金额和基金份额持有人人数符合相关法律法规和基金合同规定的，基金管理人依据《基金法》向中国证监会办理备案手续后，中国证监会的书面确认之日；</w:t>
            </w:r>
          </w:p>
        </w:tc>
      </w:tr>
      <w:tr w:rsidR="00ED45CB" w14:paraId="3ACCA7C2" w14:textId="77777777">
        <w:tc>
          <w:tcPr>
            <w:tcW w:w="2700" w:type="dxa"/>
          </w:tcPr>
          <w:p w14:paraId="048FB02A"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存续期：</w:t>
            </w:r>
          </w:p>
        </w:tc>
        <w:tc>
          <w:tcPr>
            <w:tcW w:w="5714" w:type="dxa"/>
          </w:tcPr>
          <w:p w14:paraId="1765E346"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指本基金合同生效至终止之间的不定期期限；</w:t>
            </w:r>
          </w:p>
        </w:tc>
      </w:tr>
      <w:tr w:rsidR="00ED45CB" w14:paraId="1CF922BA" w14:textId="77777777">
        <w:tc>
          <w:tcPr>
            <w:tcW w:w="2700" w:type="dxa"/>
          </w:tcPr>
          <w:p w14:paraId="584C8136"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工作日：</w:t>
            </w:r>
          </w:p>
        </w:tc>
        <w:tc>
          <w:tcPr>
            <w:tcW w:w="5714" w:type="dxa"/>
          </w:tcPr>
          <w:p w14:paraId="0A05D641"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指上海证券交易所和深圳证券交易所的正常交易日；</w:t>
            </w:r>
          </w:p>
        </w:tc>
      </w:tr>
      <w:tr w:rsidR="00ED45CB" w14:paraId="579A6D97" w14:textId="77777777">
        <w:tc>
          <w:tcPr>
            <w:tcW w:w="2700" w:type="dxa"/>
          </w:tcPr>
          <w:p w14:paraId="1CB60C5E"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认购：</w:t>
            </w:r>
          </w:p>
        </w:tc>
        <w:tc>
          <w:tcPr>
            <w:tcW w:w="5714" w:type="dxa"/>
          </w:tcPr>
          <w:p w14:paraId="0F0540FA"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指在基金募集期内，投资者按照本基金合同的规定申请购买本</w:t>
            </w:r>
            <w:proofErr w:type="gramStart"/>
            <w:r>
              <w:rPr>
                <w:rFonts w:ascii="Arial" w:hAnsi="Arial" w:cs="Arial" w:hint="eastAsia"/>
                <w:kern w:val="0"/>
                <w:szCs w:val="21"/>
              </w:rPr>
              <w:t>基金基金</w:t>
            </w:r>
            <w:proofErr w:type="gramEnd"/>
            <w:r>
              <w:rPr>
                <w:rFonts w:ascii="Arial" w:hAnsi="Arial" w:cs="Arial" w:hint="eastAsia"/>
                <w:kern w:val="0"/>
                <w:szCs w:val="21"/>
              </w:rPr>
              <w:t>份额的行为；</w:t>
            </w:r>
          </w:p>
        </w:tc>
      </w:tr>
      <w:tr w:rsidR="00ED45CB" w14:paraId="6CFE7801" w14:textId="77777777">
        <w:tc>
          <w:tcPr>
            <w:tcW w:w="2700" w:type="dxa"/>
          </w:tcPr>
          <w:p w14:paraId="5A6B3197"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申购：</w:t>
            </w:r>
          </w:p>
        </w:tc>
        <w:tc>
          <w:tcPr>
            <w:tcW w:w="5714" w:type="dxa"/>
          </w:tcPr>
          <w:p w14:paraId="5D5A51BC"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指在本基金合同生效后的存续期间，投资者按照本基金合同的规定申请购买本</w:t>
            </w:r>
            <w:proofErr w:type="gramStart"/>
            <w:r>
              <w:rPr>
                <w:rFonts w:ascii="Arial" w:hAnsi="Arial" w:cs="Arial" w:hint="eastAsia"/>
                <w:kern w:val="0"/>
                <w:szCs w:val="21"/>
              </w:rPr>
              <w:t>基金基金</w:t>
            </w:r>
            <w:proofErr w:type="gramEnd"/>
            <w:r>
              <w:rPr>
                <w:rFonts w:ascii="Arial" w:hAnsi="Arial" w:cs="Arial" w:hint="eastAsia"/>
                <w:kern w:val="0"/>
                <w:szCs w:val="21"/>
              </w:rPr>
              <w:t>份额的行为；</w:t>
            </w:r>
          </w:p>
        </w:tc>
      </w:tr>
      <w:tr w:rsidR="00ED45CB" w14:paraId="21551069" w14:textId="77777777">
        <w:tc>
          <w:tcPr>
            <w:tcW w:w="2700" w:type="dxa"/>
          </w:tcPr>
          <w:p w14:paraId="794EAEFA"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lastRenderedPageBreak/>
              <w:t>赎回：</w:t>
            </w:r>
          </w:p>
        </w:tc>
        <w:tc>
          <w:tcPr>
            <w:tcW w:w="5714" w:type="dxa"/>
          </w:tcPr>
          <w:p w14:paraId="5A9BAD52"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指在本基金合同生效后的存续期间，基金份额持有人按基金合同规定的条件要求基金管理人购回本</w:t>
            </w:r>
            <w:proofErr w:type="gramStart"/>
            <w:r>
              <w:rPr>
                <w:rFonts w:ascii="Arial" w:hAnsi="Arial" w:cs="Arial" w:hint="eastAsia"/>
                <w:kern w:val="0"/>
                <w:szCs w:val="21"/>
              </w:rPr>
              <w:t>基金基金</w:t>
            </w:r>
            <w:proofErr w:type="gramEnd"/>
            <w:r>
              <w:rPr>
                <w:rFonts w:ascii="Arial" w:hAnsi="Arial" w:cs="Arial" w:hint="eastAsia"/>
                <w:kern w:val="0"/>
                <w:szCs w:val="21"/>
              </w:rPr>
              <w:t>份额的行为；</w:t>
            </w:r>
          </w:p>
        </w:tc>
      </w:tr>
      <w:tr w:rsidR="00ED45CB" w14:paraId="0D99A847" w14:textId="77777777">
        <w:tc>
          <w:tcPr>
            <w:tcW w:w="2700" w:type="dxa"/>
          </w:tcPr>
          <w:p w14:paraId="57635C04"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基金转换：</w:t>
            </w:r>
          </w:p>
        </w:tc>
        <w:tc>
          <w:tcPr>
            <w:tcW w:w="5714" w:type="dxa"/>
          </w:tcPr>
          <w:p w14:paraId="19CDF76C"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指基金份额持有人按基金管理人规定的条件，申请将其持有的基金管理人管理的某一基金的基金份额转换为基金管理人管理的其他基金的基金份额的行为；</w:t>
            </w:r>
          </w:p>
        </w:tc>
      </w:tr>
      <w:tr w:rsidR="00ED45CB" w14:paraId="736DACBE" w14:textId="77777777">
        <w:tc>
          <w:tcPr>
            <w:tcW w:w="2700" w:type="dxa"/>
          </w:tcPr>
          <w:p w14:paraId="5AD96E8E"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转托管：</w:t>
            </w:r>
          </w:p>
        </w:tc>
        <w:tc>
          <w:tcPr>
            <w:tcW w:w="5714" w:type="dxa"/>
          </w:tcPr>
          <w:p w14:paraId="6273115B"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指基金份额持有人将其基金账户内的某一基金的基金份额从一个销售机构托管到另一销售机构的行为；</w:t>
            </w:r>
            <w:r>
              <w:rPr>
                <w:rFonts w:ascii="Arial" w:hAnsi="Arial" w:cs="Arial" w:hint="eastAsia"/>
                <w:kern w:val="0"/>
                <w:szCs w:val="21"/>
              </w:rPr>
              <w:t xml:space="preserve"> </w:t>
            </w:r>
          </w:p>
        </w:tc>
      </w:tr>
      <w:tr w:rsidR="00ED45CB" w14:paraId="11F324CD" w14:textId="77777777">
        <w:tc>
          <w:tcPr>
            <w:tcW w:w="2700" w:type="dxa"/>
          </w:tcPr>
          <w:p w14:paraId="5188E950"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指令：</w:t>
            </w:r>
          </w:p>
        </w:tc>
        <w:tc>
          <w:tcPr>
            <w:tcW w:w="5714" w:type="dxa"/>
          </w:tcPr>
          <w:p w14:paraId="0C6B784F"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指基金管理人在运用基金财产进行投资时，向基金托管人发出的资金划拨及实物</w:t>
            </w:r>
            <w:proofErr w:type="gramStart"/>
            <w:r>
              <w:rPr>
                <w:rFonts w:ascii="Arial" w:hAnsi="Arial" w:cs="Arial" w:hint="eastAsia"/>
                <w:kern w:val="0"/>
                <w:szCs w:val="21"/>
              </w:rPr>
              <w:t>券</w:t>
            </w:r>
            <w:proofErr w:type="gramEnd"/>
            <w:r>
              <w:rPr>
                <w:rFonts w:ascii="Arial" w:hAnsi="Arial" w:cs="Arial" w:hint="eastAsia"/>
                <w:kern w:val="0"/>
                <w:szCs w:val="21"/>
              </w:rPr>
              <w:t>调拨等指令；</w:t>
            </w:r>
          </w:p>
        </w:tc>
      </w:tr>
      <w:tr w:rsidR="00ED45CB" w14:paraId="5D260593" w14:textId="77777777">
        <w:tc>
          <w:tcPr>
            <w:tcW w:w="2700" w:type="dxa"/>
          </w:tcPr>
          <w:p w14:paraId="37D7857E"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代销机构：</w:t>
            </w:r>
          </w:p>
        </w:tc>
        <w:tc>
          <w:tcPr>
            <w:tcW w:w="5714" w:type="dxa"/>
          </w:tcPr>
          <w:p w14:paraId="62291561"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指符合《销售办法》和中国证监会规定的其他条件，取得基金销售业务资格并接受基金管理人委托，代为办理基金认购、申购、赎回和其他基金业务的机构；</w:t>
            </w:r>
          </w:p>
        </w:tc>
      </w:tr>
      <w:tr w:rsidR="00ED45CB" w14:paraId="698D340B" w14:textId="77777777">
        <w:tc>
          <w:tcPr>
            <w:tcW w:w="2700" w:type="dxa"/>
          </w:tcPr>
          <w:p w14:paraId="16B0C25B"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销售机构：</w:t>
            </w:r>
          </w:p>
        </w:tc>
        <w:tc>
          <w:tcPr>
            <w:tcW w:w="5714" w:type="dxa"/>
          </w:tcPr>
          <w:p w14:paraId="161CCA65"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指基金管理人及本基金代销机构；</w:t>
            </w:r>
          </w:p>
        </w:tc>
      </w:tr>
      <w:tr w:rsidR="00ED45CB" w14:paraId="53DCB149" w14:textId="77777777">
        <w:tc>
          <w:tcPr>
            <w:tcW w:w="2700" w:type="dxa"/>
          </w:tcPr>
          <w:p w14:paraId="69128267"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基金销售网点：</w:t>
            </w:r>
          </w:p>
        </w:tc>
        <w:tc>
          <w:tcPr>
            <w:tcW w:w="5714" w:type="dxa"/>
          </w:tcPr>
          <w:p w14:paraId="0621A5A7"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指基金管理人的直销中心及基金代销机构的代销网点；</w:t>
            </w:r>
          </w:p>
        </w:tc>
      </w:tr>
      <w:tr w:rsidR="00ED45CB" w14:paraId="39222BF3" w14:textId="77777777">
        <w:tc>
          <w:tcPr>
            <w:tcW w:w="2700" w:type="dxa"/>
          </w:tcPr>
          <w:p w14:paraId="548A3182" w14:textId="14D47104"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指定媒介：</w:t>
            </w:r>
          </w:p>
        </w:tc>
        <w:tc>
          <w:tcPr>
            <w:tcW w:w="5714" w:type="dxa"/>
          </w:tcPr>
          <w:p w14:paraId="549A28F5" w14:textId="6D63A4A4"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指中国证监会指定的用以进行信息披露的全国性报刊及指定互联网网站（包括基金管理人网站、基金托管人网站、中国证监会基金电子披露网站）等媒介；</w:t>
            </w:r>
          </w:p>
        </w:tc>
      </w:tr>
      <w:tr w:rsidR="00ED45CB" w14:paraId="7A4C5B85" w14:textId="77777777">
        <w:tc>
          <w:tcPr>
            <w:tcW w:w="2700" w:type="dxa"/>
          </w:tcPr>
          <w:p w14:paraId="6EFCE729"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基金账户：</w:t>
            </w:r>
          </w:p>
        </w:tc>
        <w:tc>
          <w:tcPr>
            <w:tcW w:w="5714" w:type="dxa"/>
          </w:tcPr>
          <w:p w14:paraId="773D0095"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指注册登记机构为基金投资者开立的记录其持有的由该注册登记机构办理注册登记的基金份额余额及其变动情况的账户；</w:t>
            </w:r>
          </w:p>
        </w:tc>
      </w:tr>
      <w:tr w:rsidR="00ED45CB" w14:paraId="0483A67E" w14:textId="77777777">
        <w:tc>
          <w:tcPr>
            <w:tcW w:w="2700" w:type="dxa"/>
          </w:tcPr>
          <w:p w14:paraId="5E600635"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交易账户：</w:t>
            </w:r>
          </w:p>
        </w:tc>
        <w:tc>
          <w:tcPr>
            <w:tcW w:w="5714" w:type="dxa"/>
          </w:tcPr>
          <w:p w14:paraId="24DB1A10"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指销售机构为投资者开立的记录投资者通过该销售机构办理认购、申购、赎回、转换及转托管等业务而引起的基金份额的变动及结余情况的账户；</w:t>
            </w:r>
          </w:p>
        </w:tc>
      </w:tr>
      <w:tr w:rsidR="00ED45CB" w14:paraId="24C47DA7" w14:textId="77777777">
        <w:tc>
          <w:tcPr>
            <w:tcW w:w="2700" w:type="dxa"/>
          </w:tcPr>
          <w:p w14:paraId="4996D89C"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开放日：</w:t>
            </w:r>
          </w:p>
        </w:tc>
        <w:tc>
          <w:tcPr>
            <w:tcW w:w="5714" w:type="dxa"/>
          </w:tcPr>
          <w:p w14:paraId="3B00B249"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指为投资者办理基金申购、赎回等业务的工作日；</w:t>
            </w:r>
          </w:p>
        </w:tc>
      </w:tr>
      <w:tr w:rsidR="00ED45CB" w14:paraId="3EF0A390" w14:textId="77777777">
        <w:tc>
          <w:tcPr>
            <w:tcW w:w="2700" w:type="dxa"/>
          </w:tcPr>
          <w:p w14:paraId="21152F0F"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 xml:space="preserve">T </w:t>
            </w:r>
            <w:r>
              <w:rPr>
                <w:rFonts w:ascii="Arial" w:hAnsi="Arial" w:cs="Arial" w:hint="eastAsia"/>
                <w:kern w:val="0"/>
                <w:szCs w:val="21"/>
              </w:rPr>
              <w:t>日：</w:t>
            </w:r>
          </w:p>
        </w:tc>
        <w:tc>
          <w:tcPr>
            <w:tcW w:w="5714" w:type="dxa"/>
          </w:tcPr>
          <w:p w14:paraId="44BB1F8D" w14:textId="77777777" w:rsidR="00ED45CB" w:rsidRDefault="00703CCA">
            <w:pPr>
              <w:autoSpaceDE w:val="0"/>
              <w:autoSpaceDN w:val="0"/>
              <w:adjustRightInd w:val="0"/>
              <w:snapToGrid w:val="0"/>
              <w:spacing w:line="360" w:lineRule="auto"/>
              <w:jc w:val="left"/>
              <w:rPr>
                <w:rFonts w:ascii="Arial" w:hAnsi="Arial" w:cs="Arial"/>
                <w:kern w:val="0"/>
                <w:szCs w:val="21"/>
              </w:rPr>
            </w:pPr>
            <w:r>
              <w:rPr>
                <w:rFonts w:ascii="Arial" w:hAnsi="Arial" w:cs="Arial" w:hint="eastAsia"/>
                <w:kern w:val="0"/>
                <w:szCs w:val="21"/>
              </w:rPr>
              <w:t>指投资者向销售机构提出申购、赎回或其他业务申请的开放日；</w:t>
            </w:r>
          </w:p>
          <w:p w14:paraId="59B63A8A" w14:textId="77777777" w:rsidR="00ED45CB" w:rsidRDefault="00ED45CB">
            <w:pPr>
              <w:adjustRightInd w:val="0"/>
              <w:snapToGrid w:val="0"/>
              <w:spacing w:line="360" w:lineRule="auto"/>
              <w:rPr>
                <w:rFonts w:ascii="Arial" w:hAnsi="Arial" w:cs="Arial"/>
                <w:kern w:val="0"/>
                <w:szCs w:val="21"/>
              </w:rPr>
            </w:pPr>
          </w:p>
        </w:tc>
      </w:tr>
      <w:tr w:rsidR="00ED45CB" w14:paraId="438DDF6B" w14:textId="77777777">
        <w:tc>
          <w:tcPr>
            <w:tcW w:w="2700" w:type="dxa"/>
          </w:tcPr>
          <w:p w14:paraId="30BFA694"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T+n</w:t>
            </w:r>
            <w:r>
              <w:rPr>
                <w:rFonts w:ascii="Arial" w:hAnsi="Arial" w:cs="Arial" w:hint="eastAsia"/>
                <w:kern w:val="0"/>
                <w:szCs w:val="21"/>
              </w:rPr>
              <w:t>日：</w:t>
            </w:r>
          </w:p>
        </w:tc>
        <w:tc>
          <w:tcPr>
            <w:tcW w:w="5714" w:type="dxa"/>
          </w:tcPr>
          <w:p w14:paraId="43663862"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w:t>
            </w:r>
            <w:r>
              <w:rPr>
                <w:rFonts w:ascii="Arial" w:hAnsi="Arial" w:cs="Arial" w:hint="eastAsia"/>
                <w:kern w:val="0"/>
                <w:szCs w:val="21"/>
              </w:rPr>
              <w:t>T</w:t>
            </w:r>
            <w:r>
              <w:rPr>
                <w:rFonts w:ascii="Arial" w:hAnsi="Arial" w:cs="Arial" w:hint="eastAsia"/>
                <w:kern w:val="0"/>
                <w:szCs w:val="21"/>
              </w:rPr>
              <w:t>日后（不包括</w:t>
            </w:r>
            <w:r>
              <w:rPr>
                <w:rFonts w:ascii="Arial" w:hAnsi="Arial" w:cs="Arial" w:hint="eastAsia"/>
                <w:kern w:val="0"/>
                <w:szCs w:val="21"/>
              </w:rPr>
              <w:t>T</w:t>
            </w:r>
            <w:r>
              <w:rPr>
                <w:rFonts w:ascii="Arial" w:hAnsi="Arial" w:cs="Arial" w:hint="eastAsia"/>
                <w:kern w:val="0"/>
                <w:szCs w:val="21"/>
              </w:rPr>
              <w:t>日）第</w:t>
            </w:r>
            <w:r>
              <w:rPr>
                <w:rFonts w:ascii="Arial" w:hAnsi="Arial" w:cs="Arial" w:hint="eastAsia"/>
                <w:kern w:val="0"/>
                <w:szCs w:val="21"/>
              </w:rPr>
              <w:t>n</w:t>
            </w:r>
            <w:proofErr w:type="gramStart"/>
            <w:r>
              <w:rPr>
                <w:rFonts w:ascii="Arial" w:hAnsi="Arial" w:cs="Arial" w:hint="eastAsia"/>
                <w:kern w:val="0"/>
                <w:szCs w:val="21"/>
              </w:rPr>
              <w:t>个</w:t>
            </w:r>
            <w:proofErr w:type="gramEnd"/>
            <w:r>
              <w:rPr>
                <w:rFonts w:ascii="Arial" w:hAnsi="Arial" w:cs="Arial" w:hint="eastAsia"/>
                <w:kern w:val="0"/>
                <w:szCs w:val="21"/>
              </w:rPr>
              <w:t>工作日，</w:t>
            </w:r>
            <w:r>
              <w:rPr>
                <w:rFonts w:ascii="Arial" w:hAnsi="Arial" w:cs="Arial" w:hint="eastAsia"/>
                <w:kern w:val="0"/>
                <w:szCs w:val="21"/>
              </w:rPr>
              <w:t>n</w:t>
            </w:r>
            <w:r>
              <w:rPr>
                <w:rFonts w:ascii="Arial" w:hAnsi="Arial" w:cs="Arial" w:hint="eastAsia"/>
                <w:kern w:val="0"/>
                <w:szCs w:val="21"/>
              </w:rPr>
              <w:t>指自然数；</w:t>
            </w:r>
          </w:p>
        </w:tc>
      </w:tr>
      <w:tr w:rsidR="00ED45CB" w14:paraId="43297555" w14:textId="77777777">
        <w:tc>
          <w:tcPr>
            <w:tcW w:w="2700" w:type="dxa"/>
          </w:tcPr>
          <w:p w14:paraId="34C0E137"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基金收益：</w:t>
            </w:r>
          </w:p>
        </w:tc>
        <w:tc>
          <w:tcPr>
            <w:tcW w:w="5714" w:type="dxa"/>
          </w:tcPr>
          <w:p w14:paraId="668CD08C"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指基金投资所得、买卖证券价差、银行存款利息以及其他合法收入；</w:t>
            </w:r>
          </w:p>
        </w:tc>
      </w:tr>
      <w:tr w:rsidR="00ED45CB" w14:paraId="3C5E981C" w14:textId="77777777">
        <w:tc>
          <w:tcPr>
            <w:tcW w:w="2700" w:type="dxa"/>
          </w:tcPr>
          <w:p w14:paraId="28871BFE"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基金资产总值：</w:t>
            </w:r>
          </w:p>
        </w:tc>
        <w:tc>
          <w:tcPr>
            <w:tcW w:w="5714" w:type="dxa"/>
          </w:tcPr>
          <w:p w14:paraId="62499824"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指基金持有的各类有价证券、银行存款本息、应收款项以及以其他资产等形式存在的基金财产的价值总和；</w:t>
            </w:r>
          </w:p>
        </w:tc>
      </w:tr>
      <w:tr w:rsidR="00ED45CB" w14:paraId="0DACF005" w14:textId="77777777">
        <w:tc>
          <w:tcPr>
            <w:tcW w:w="2700" w:type="dxa"/>
          </w:tcPr>
          <w:p w14:paraId="13FE4DC1"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lastRenderedPageBreak/>
              <w:t>基金资产净值：</w:t>
            </w:r>
          </w:p>
        </w:tc>
        <w:tc>
          <w:tcPr>
            <w:tcW w:w="5714" w:type="dxa"/>
          </w:tcPr>
          <w:p w14:paraId="1DF9A7F4"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指基金资产总值减去基金负债后的价值；</w:t>
            </w:r>
          </w:p>
        </w:tc>
      </w:tr>
      <w:tr w:rsidR="00ED45CB" w14:paraId="5AAB199E" w14:textId="77777777">
        <w:tc>
          <w:tcPr>
            <w:tcW w:w="2700" w:type="dxa"/>
          </w:tcPr>
          <w:p w14:paraId="3E80A205"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基金份额净值</w:t>
            </w:r>
          </w:p>
        </w:tc>
        <w:tc>
          <w:tcPr>
            <w:tcW w:w="5714" w:type="dxa"/>
          </w:tcPr>
          <w:p w14:paraId="67D4681D"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指以计算日基金资产净值除以计算日基金份额余额所得的单位基金份额的价值；</w:t>
            </w:r>
          </w:p>
        </w:tc>
      </w:tr>
      <w:tr w:rsidR="00ED45CB" w14:paraId="6B8DC42D" w14:textId="77777777">
        <w:tc>
          <w:tcPr>
            <w:tcW w:w="2700" w:type="dxa"/>
          </w:tcPr>
          <w:p w14:paraId="7102B09E"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基金财产估值：</w:t>
            </w:r>
          </w:p>
        </w:tc>
        <w:tc>
          <w:tcPr>
            <w:tcW w:w="5714" w:type="dxa"/>
          </w:tcPr>
          <w:p w14:paraId="0F3E7EA9"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指计算、评估基金财产和负债的价值，以确定基金资产净值和基金份额净值的过程；</w:t>
            </w:r>
          </w:p>
        </w:tc>
      </w:tr>
      <w:tr w:rsidR="00ED45CB" w14:paraId="093EDC2E" w14:textId="77777777">
        <w:tc>
          <w:tcPr>
            <w:tcW w:w="2700" w:type="dxa"/>
          </w:tcPr>
          <w:p w14:paraId="38ABE7B0"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联接基金</w:t>
            </w:r>
          </w:p>
        </w:tc>
        <w:tc>
          <w:tcPr>
            <w:tcW w:w="5714" w:type="dxa"/>
          </w:tcPr>
          <w:p w14:paraId="35E40FCC" w14:textId="77777777" w:rsidR="00ED45CB" w:rsidRDefault="00703CCA">
            <w:pPr>
              <w:adjustRightInd w:val="0"/>
              <w:snapToGrid w:val="0"/>
              <w:spacing w:line="360" w:lineRule="auto"/>
              <w:rPr>
                <w:rFonts w:ascii="Arial" w:hAnsi="Arial" w:cs="Arial"/>
                <w:kern w:val="0"/>
                <w:szCs w:val="21"/>
              </w:rPr>
            </w:pPr>
            <w:r>
              <w:rPr>
                <w:rFonts w:ascii="Arial" w:hAnsi="Arial" w:cs="Arial"/>
                <w:kern w:val="0"/>
                <w:szCs w:val="21"/>
              </w:rPr>
              <w:t>指本基金，即将绝大部分基金财产投资于</w:t>
            </w:r>
            <w:r>
              <w:rPr>
                <w:rFonts w:ascii="Arial" w:hAnsi="Arial" w:cs="Arial" w:hint="eastAsia"/>
                <w:kern w:val="0"/>
                <w:szCs w:val="21"/>
              </w:rPr>
              <w:t>博时黄金交易型开放式证券投资基金</w:t>
            </w:r>
            <w:r>
              <w:rPr>
                <w:rFonts w:ascii="Arial" w:hAnsi="Arial" w:cs="Arial"/>
                <w:kern w:val="0"/>
                <w:szCs w:val="21"/>
              </w:rPr>
              <w:t>，紧密跟踪标的指数表现，追求跟踪偏离度和跟踪误差最小化，采用开放式运作方式的基金</w:t>
            </w:r>
            <w:r>
              <w:rPr>
                <w:rFonts w:ascii="Arial" w:hAnsi="Arial" w:cs="Arial" w:hint="eastAsia"/>
                <w:kern w:val="0"/>
                <w:szCs w:val="21"/>
              </w:rPr>
              <w:t>；</w:t>
            </w:r>
          </w:p>
        </w:tc>
      </w:tr>
      <w:tr w:rsidR="00ED45CB" w14:paraId="4ED6D6D8" w14:textId="77777777">
        <w:tc>
          <w:tcPr>
            <w:tcW w:w="2700" w:type="dxa"/>
          </w:tcPr>
          <w:p w14:paraId="4B9186BC"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目标</w:t>
            </w:r>
            <w:r>
              <w:rPr>
                <w:rFonts w:ascii="Arial" w:hAnsi="Arial" w:cs="Arial" w:hint="eastAsia"/>
                <w:kern w:val="0"/>
                <w:szCs w:val="21"/>
              </w:rPr>
              <w:t>ETF</w:t>
            </w:r>
          </w:p>
        </w:tc>
        <w:tc>
          <w:tcPr>
            <w:tcW w:w="5714" w:type="dxa"/>
          </w:tcPr>
          <w:p w14:paraId="28EAB2B7"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黄金交易型开放式指数证券投资基金</w:t>
            </w:r>
          </w:p>
        </w:tc>
      </w:tr>
      <w:tr w:rsidR="00ED45CB" w14:paraId="565B7843" w14:textId="77777777">
        <w:tc>
          <w:tcPr>
            <w:tcW w:w="2700" w:type="dxa"/>
          </w:tcPr>
          <w:p w14:paraId="22FCF76F"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标的指数：</w:t>
            </w:r>
          </w:p>
        </w:tc>
        <w:tc>
          <w:tcPr>
            <w:tcW w:w="5714" w:type="dxa"/>
          </w:tcPr>
          <w:p w14:paraId="5DAD246E"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上海黄金交易所</w:t>
            </w:r>
            <w:r>
              <w:rPr>
                <w:rFonts w:ascii="Arial" w:hAnsi="Arial" w:cs="Arial" w:hint="eastAsia"/>
                <w:kern w:val="0"/>
                <w:szCs w:val="21"/>
              </w:rPr>
              <w:t>AU99.99</w:t>
            </w:r>
            <w:r>
              <w:rPr>
                <w:rFonts w:ascii="Arial" w:hAnsi="Arial" w:cs="Arial" w:hint="eastAsia"/>
                <w:kern w:val="0"/>
                <w:szCs w:val="21"/>
              </w:rPr>
              <w:t>价格；</w:t>
            </w:r>
          </w:p>
        </w:tc>
      </w:tr>
      <w:tr w:rsidR="00ED45CB" w14:paraId="3D1DEBBD" w14:textId="77777777">
        <w:tc>
          <w:tcPr>
            <w:tcW w:w="2700" w:type="dxa"/>
          </w:tcPr>
          <w:p w14:paraId="0E217630"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法律法规：</w:t>
            </w:r>
          </w:p>
        </w:tc>
        <w:tc>
          <w:tcPr>
            <w:tcW w:w="5714" w:type="dxa"/>
          </w:tcPr>
          <w:p w14:paraId="34BFCCBB"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指中华人民共和国现行有效的法律、行政法规、司法解释、地方法规、地方规章、部门规章及其他规范性文件以及对于该等法律法规的不时修改和补充；</w:t>
            </w:r>
          </w:p>
        </w:tc>
      </w:tr>
      <w:tr w:rsidR="00ED45CB" w14:paraId="77677C87" w14:textId="77777777">
        <w:tc>
          <w:tcPr>
            <w:tcW w:w="2700" w:type="dxa"/>
          </w:tcPr>
          <w:p w14:paraId="3FE98847"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不可抗力：</w:t>
            </w:r>
          </w:p>
        </w:tc>
        <w:tc>
          <w:tcPr>
            <w:tcW w:w="5714" w:type="dxa"/>
          </w:tcPr>
          <w:p w14:paraId="7D1DE4BB"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指任何无法预见、无法克服、无法避免的事件和因素；</w:t>
            </w:r>
          </w:p>
          <w:p w14:paraId="7EDCCB12" w14:textId="77777777" w:rsidR="00ED45CB" w:rsidRDefault="00ED45CB">
            <w:pPr>
              <w:adjustRightInd w:val="0"/>
              <w:snapToGrid w:val="0"/>
              <w:spacing w:line="360" w:lineRule="auto"/>
              <w:rPr>
                <w:rFonts w:ascii="Arial" w:hAnsi="Arial" w:cs="Arial"/>
                <w:kern w:val="0"/>
                <w:szCs w:val="21"/>
              </w:rPr>
            </w:pPr>
          </w:p>
        </w:tc>
      </w:tr>
      <w:tr w:rsidR="00ED45CB" w14:paraId="6CDF4B45" w14:textId="77777777">
        <w:tc>
          <w:tcPr>
            <w:tcW w:w="2700" w:type="dxa"/>
          </w:tcPr>
          <w:p w14:paraId="58214525"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流动性受限资产：</w:t>
            </w:r>
          </w:p>
        </w:tc>
        <w:tc>
          <w:tcPr>
            <w:tcW w:w="5714" w:type="dxa"/>
          </w:tcPr>
          <w:p w14:paraId="0F669142" w14:textId="77777777" w:rsidR="00ED45CB" w:rsidRDefault="00703CCA">
            <w:pPr>
              <w:adjustRightInd w:val="0"/>
              <w:snapToGrid w:val="0"/>
              <w:spacing w:line="360" w:lineRule="auto"/>
              <w:rPr>
                <w:rFonts w:ascii="Arial" w:hAnsi="Arial" w:cs="Arial"/>
                <w:kern w:val="0"/>
                <w:szCs w:val="21"/>
              </w:rPr>
            </w:pPr>
            <w:r>
              <w:rPr>
                <w:rFonts w:ascii="Arial" w:hAnsi="Arial" w:cs="Arial" w:hint="eastAsia"/>
                <w:kern w:val="0"/>
                <w:szCs w:val="21"/>
              </w:rPr>
              <w:t>指由于法律法规、监管、合同或操作障碍等原因无法以合理价格予以变现的资产，包括但不限于到期日在</w:t>
            </w:r>
            <w:r>
              <w:rPr>
                <w:rFonts w:ascii="Arial" w:hAnsi="Arial" w:cs="Arial" w:hint="eastAsia"/>
                <w:kern w:val="0"/>
                <w:szCs w:val="21"/>
              </w:rPr>
              <w:t>10</w:t>
            </w:r>
            <w:r>
              <w:rPr>
                <w:rFonts w:ascii="Arial" w:hAnsi="Arial" w:cs="Arial" w:hint="eastAsia"/>
                <w:kern w:val="0"/>
                <w:szCs w:val="21"/>
              </w:rPr>
              <w:t>个交易日以上的逆回购与银行定期存款（</w:t>
            </w:r>
            <w:proofErr w:type="gramStart"/>
            <w:r>
              <w:rPr>
                <w:rFonts w:ascii="Arial" w:hAnsi="Arial" w:cs="Arial" w:hint="eastAsia"/>
                <w:kern w:val="0"/>
                <w:szCs w:val="21"/>
              </w:rPr>
              <w:t>含协议</w:t>
            </w:r>
            <w:proofErr w:type="gramEnd"/>
            <w:r>
              <w:rPr>
                <w:rFonts w:ascii="Arial" w:hAnsi="Arial" w:cs="Arial" w:hint="eastAsia"/>
                <w:kern w:val="0"/>
                <w:szCs w:val="21"/>
              </w:rPr>
              <w:t>约定有条件提前支取的银行存款）、停牌股票、流通受限的新股及非公开发行股票、资产支持证券、因发行人债务违约无法进行转让或交易的债券等。</w:t>
            </w:r>
          </w:p>
        </w:tc>
      </w:tr>
    </w:tbl>
    <w:p w14:paraId="4D577C0B" w14:textId="77777777" w:rsidR="00ED45CB" w:rsidRDefault="00ED45CB">
      <w:pPr>
        <w:pStyle w:val="2"/>
        <w:spacing w:before="100" w:beforeAutospacing="1" w:after="100" w:afterAutospacing="1" w:line="400" w:lineRule="exact"/>
        <w:rPr>
          <w:rFonts w:ascii="宋体" w:eastAsia="宋体" w:hAnsi="宋体"/>
          <w:kern w:val="0"/>
          <w:sz w:val="21"/>
          <w:szCs w:val="21"/>
        </w:rPr>
      </w:pPr>
      <w:bookmarkStart w:id="8" w:name="_Toc122336541"/>
      <w:bookmarkStart w:id="9" w:name="_Toc88037838"/>
    </w:p>
    <w:p w14:paraId="303E9414" w14:textId="77777777" w:rsidR="00ED45CB" w:rsidRDefault="00703CCA">
      <w:pPr>
        <w:rPr>
          <w:kern w:val="0"/>
        </w:rPr>
      </w:pPr>
      <w:r>
        <w:rPr>
          <w:kern w:val="0"/>
        </w:rPr>
        <w:br w:type="page"/>
      </w:r>
    </w:p>
    <w:p w14:paraId="6BC39430"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10" w:name="_Toc344308263"/>
      <w:r>
        <w:rPr>
          <w:rFonts w:ascii="宋体" w:eastAsia="宋体" w:hAnsi="宋体" w:hint="eastAsia"/>
          <w:sz w:val="24"/>
          <w:szCs w:val="24"/>
        </w:rPr>
        <w:t>三、基金的基本情况</w:t>
      </w:r>
      <w:bookmarkEnd w:id="8"/>
      <w:bookmarkEnd w:id="9"/>
      <w:bookmarkEnd w:id="10"/>
    </w:p>
    <w:p w14:paraId="4918D5D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（一）基金名称</w:t>
      </w:r>
    </w:p>
    <w:p w14:paraId="58D19D2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博时黄金交易型开放式证券投资基金联接基金</w:t>
      </w:r>
    </w:p>
    <w:p w14:paraId="7C86FCD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（二）基金的类别</w:t>
      </w:r>
    </w:p>
    <w:p w14:paraId="619FBBB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联接基金</w:t>
      </w:r>
    </w:p>
    <w:p w14:paraId="47F1716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（三）基金的运作方式</w:t>
      </w:r>
    </w:p>
    <w:p w14:paraId="1498B4B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契约型、开放式</w:t>
      </w:r>
    </w:p>
    <w:p w14:paraId="415AB09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（四）基金投资目标</w:t>
      </w:r>
    </w:p>
    <w:p w14:paraId="4F3498D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通过主要投资于</w:t>
      </w:r>
      <w:r>
        <w:rPr>
          <w:rFonts w:ascii="Arial" w:hAnsi="Arial" w:cs="Arial" w:hint="eastAsia"/>
          <w:kern w:val="0"/>
          <w:szCs w:val="21"/>
        </w:rPr>
        <w:t>博时黄金</w:t>
      </w:r>
      <w:r>
        <w:rPr>
          <w:rFonts w:ascii="Arial" w:hAnsi="Arial" w:cs="Arial"/>
          <w:kern w:val="0"/>
          <w:szCs w:val="21"/>
        </w:rPr>
        <w:t>交易型开放式证券投资基金，紧密跟踪标的指数</w:t>
      </w:r>
      <w:r>
        <w:rPr>
          <w:rFonts w:ascii="Arial" w:hAnsi="Arial" w:cs="Arial" w:hint="eastAsia"/>
          <w:kern w:val="0"/>
          <w:szCs w:val="21"/>
        </w:rPr>
        <w:t>的市场</w:t>
      </w:r>
      <w:r>
        <w:rPr>
          <w:rFonts w:ascii="Arial" w:hAnsi="Arial" w:cs="Arial"/>
          <w:kern w:val="0"/>
          <w:szCs w:val="21"/>
        </w:rPr>
        <w:t>表现，追求跟踪偏离度和跟踪误差的最小化。</w:t>
      </w:r>
    </w:p>
    <w:p w14:paraId="2FD78A9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（五）基金份额初始面值</w:t>
      </w:r>
    </w:p>
    <w:p w14:paraId="7AEC24E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本基金的初始面值为人民币</w:t>
      </w:r>
      <w:r>
        <w:rPr>
          <w:rFonts w:ascii="Arial" w:hAnsi="Arial" w:cs="Arial" w:hint="eastAsia"/>
          <w:kern w:val="0"/>
          <w:szCs w:val="21"/>
        </w:rPr>
        <w:t>1.00</w:t>
      </w:r>
      <w:r>
        <w:rPr>
          <w:rFonts w:ascii="Arial" w:hAnsi="Arial" w:cs="Arial" w:hint="eastAsia"/>
          <w:kern w:val="0"/>
          <w:szCs w:val="21"/>
        </w:rPr>
        <w:t>元</w:t>
      </w:r>
    </w:p>
    <w:p w14:paraId="504FD92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（六）基金最低募集份额总额和最低募集金额</w:t>
      </w:r>
    </w:p>
    <w:p w14:paraId="2249978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本基金的募集份额总额应不少于</w:t>
      </w:r>
      <w:r>
        <w:rPr>
          <w:rFonts w:ascii="Arial" w:hAnsi="Arial" w:cs="Arial" w:hint="eastAsia"/>
          <w:kern w:val="0"/>
          <w:szCs w:val="21"/>
        </w:rPr>
        <w:t>2</w:t>
      </w:r>
      <w:r>
        <w:rPr>
          <w:rFonts w:ascii="Arial" w:hAnsi="Arial" w:cs="Arial" w:hint="eastAsia"/>
          <w:kern w:val="0"/>
          <w:szCs w:val="21"/>
        </w:rPr>
        <w:t>亿份，基金募集金额不少于</w:t>
      </w:r>
      <w:r>
        <w:rPr>
          <w:rFonts w:ascii="Arial" w:hAnsi="Arial" w:cs="Arial" w:hint="eastAsia"/>
          <w:kern w:val="0"/>
          <w:szCs w:val="21"/>
        </w:rPr>
        <w:t>2</w:t>
      </w:r>
      <w:r>
        <w:rPr>
          <w:rFonts w:ascii="Arial" w:hAnsi="Arial" w:cs="Arial" w:hint="eastAsia"/>
          <w:kern w:val="0"/>
          <w:szCs w:val="21"/>
        </w:rPr>
        <w:t>亿元人民币。</w:t>
      </w:r>
    </w:p>
    <w:p w14:paraId="7C4746B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（七）基金存续期限</w:t>
      </w:r>
    </w:p>
    <w:p w14:paraId="55710CE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不定期</w:t>
      </w:r>
    </w:p>
    <w:p w14:paraId="6D0826AC" w14:textId="77777777" w:rsidR="00ED45CB" w:rsidRDefault="00703CCA">
      <w:pPr>
        <w:adjustRightInd w:val="0"/>
        <w:snapToGrid w:val="0"/>
        <w:spacing w:line="360" w:lineRule="auto"/>
        <w:ind w:firstLineChars="200" w:firstLine="420"/>
        <w:rPr>
          <w:rFonts w:ascii="Arial" w:hAnsi="Arial"/>
          <w:szCs w:val="21"/>
        </w:rPr>
      </w:pPr>
      <w:r>
        <w:rPr>
          <w:rFonts w:ascii="Arial" w:hAnsi="Arial" w:hint="eastAsia"/>
          <w:szCs w:val="21"/>
        </w:rPr>
        <w:t>（八）基金的份额类别</w:t>
      </w:r>
    </w:p>
    <w:p w14:paraId="6CC075E4" w14:textId="77777777" w:rsidR="00ED45CB" w:rsidRDefault="00703CCA">
      <w:pPr>
        <w:adjustRightInd w:val="0"/>
        <w:snapToGrid w:val="0"/>
        <w:spacing w:line="360" w:lineRule="auto"/>
        <w:ind w:firstLineChars="200" w:firstLine="420"/>
        <w:rPr>
          <w:rFonts w:ascii="Arial" w:hAnsi="Arial"/>
          <w:szCs w:val="21"/>
        </w:rPr>
      </w:pPr>
      <w:r>
        <w:rPr>
          <w:rFonts w:ascii="Arial" w:hAnsi="Arial" w:hint="eastAsia"/>
          <w:szCs w:val="21"/>
        </w:rPr>
        <w:t>本基金根据申购费用、赎回费用收取方式的不同，将基金份额分为不同的类别。</w:t>
      </w:r>
    </w:p>
    <w:p w14:paraId="2E778AC4" w14:textId="77777777" w:rsidR="00ED45CB" w:rsidRDefault="00703CCA">
      <w:pPr>
        <w:adjustRightInd w:val="0"/>
        <w:snapToGrid w:val="0"/>
        <w:spacing w:line="360" w:lineRule="auto"/>
        <w:ind w:firstLineChars="200" w:firstLine="420"/>
        <w:rPr>
          <w:rFonts w:ascii="Arial" w:hAnsi="Arial"/>
          <w:szCs w:val="21"/>
        </w:rPr>
      </w:pPr>
      <w:r>
        <w:rPr>
          <w:rFonts w:ascii="Arial" w:hAnsi="Arial" w:hint="eastAsia"/>
          <w:szCs w:val="21"/>
        </w:rPr>
        <w:t>在投资者认购、申购时收取前端认购、申购费用，在赎回时根据持有期限收取赎回费用的基金份额，称为</w:t>
      </w:r>
      <w:r>
        <w:rPr>
          <w:rFonts w:ascii="Arial" w:hAnsi="Arial" w:hint="eastAsia"/>
          <w:szCs w:val="21"/>
        </w:rPr>
        <w:t>A</w:t>
      </w:r>
      <w:r>
        <w:rPr>
          <w:rFonts w:ascii="Arial" w:hAnsi="Arial" w:hint="eastAsia"/>
          <w:szCs w:val="21"/>
        </w:rPr>
        <w:t>类；从本类别基金资产中计</w:t>
      </w:r>
      <w:proofErr w:type="gramStart"/>
      <w:r>
        <w:rPr>
          <w:rFonts w:ascii="Arial" w:hAnsi="Arial" w:hint="eastAsia"/>
          <w:szCs w:val="21"/>
        </w:rPr>
        <w:t>提销售</w:t>
      </w:r>
      <w:proofErr w:type="gramEnd"/>
      <w:r>
        <w:rPr>
          <w:rFonts w:ascii="Arial" w:hAnsi="Arial" w:hint="eastAsia"/>
          <w:szCs w:val="21"/>
        </w:rPr>
        <w:t>服务费、不收取认购</w:t>
      </w:r>
      <w:r>
        <w:rPr>
          <w:rFonts w:ascii="Arial" w:hAnsi="Arial" w:hint="eastAsia"/>
          <w:szCs w:val="21"/>
        </w:rPr>
        <w:t>/</w:t>
      </w:r>
      <w:r>
        <w:rPr>
          <w:rFonts w:ascii="Arial" w:hAnsi="Arial" w:hint="eastAsia"/>
          <w:szCs w:val="21"/>
        </w:rPr>
        <w:t>申购费用，对于持有期限不少于</w:t>
      </w:r>
      <w:r>
        <w:rPr>
          <w:rFonts w:ascii="Arial" w:hAnsi="Arial" w:hint="eastAsia"/>
          <w:szCs w:val="21"/>
        </w:rPr>
        <w:t>30</w:t>
      </w:r>
      <w:r>
        <w:rPr>
          <w:rFonts w:ascii="Arial" w:hAnsi="Arial" w:hint="eastAsia"/>
          <w:szCs w:val="21"/>
        </w:rPr>
        <w:t>日的本类别基金份额的赎回亦不收取赎回费，但对持有期限少于</w:t>
      </w:r>
      <w:r>
        <w:rPr>
          <w:rFonts w:ascii="Arial" w:hAnsi="Arial" w:hint="eastAsia"/>
          <w:szCs w:val="21"/>
        </w:rPr>
        <w:t>30</w:t>
      </w:r>
      <w:r>
        <w:rPr>
          <w:rFonts w:ascii="Arial" w:hAnsi="Arial" w:hint="eastAsia"/>
          <w:szCs w:val="21"/>
        </w:rPr>
        <w:t>日的本类别基金份额的赎回收取赎回费的基金份额，称为</w:t>
      </w:r>
      <w:r>
        <w:rPr>
          <w:rFonts w:ascii="Arial" w:hAnsi="Arial" w:hint="eastAsia"/>
          <w:szCs w:val="21"/>
        </w:rPr>
        <w:t>C</w:t>
      </w:r>
      <w:r>
        <w:rPr>
          <w:rFonts w:ascii="Arial" w:hAnsi="Arial" w:hint="eastAsia"/>
          <w:szCs w:val="21"/>
        </w:rPr>
        <w:t>类。</w:t>
      </w:r>
    </w:p>
    <w:p w14:paraId="3B133A13" w14:textId="77777777" w:rsidR="00ED45CB" w:rsidRDefault="00703CCA">
      <w:pPr>
        <w:adjustRightInd w:val="0"/>
        <w:snapToGrid w:val="0"/>
        <w:spacing w:line="360" w:lineRule="auto"/>
        <w:ind w:firstLineChars="200" w:firstLine="420"/>
        <w:rPr>
          <w:rFonts w:ascii="Arial" w:hAnsi="Arial"/>
          <w:szCs w:val="21"/>
        </w:rPr>
      </w:pPr>
      <w:r>
        <w:rPr>
          <w:rFonts w:ascii="Arial" w:hAnsi="Arial" w:hint="eastAsia"/>
          <w:szCs w:val="21"/>
        </w:rPr>
        <w:t>本基金</w:t>
      </w:r>
      <w:r>
        <w:rPr>
          <w:rFonts w:ascii="Arial" w:hAnsi="Arial" w:hint="eastAsia"/>
          <w:szCs w:val="21"/>
        </w:rPr>
        <w:t>A</w:t>
      </w:r>
      <w:r>
        <w:rPr>
          <w:rFonts w:ascii="Arial" w:hAnsi="Arial" w:hint="eastAsia"/>
          <w:szCs w:val="21"/>
        </w:rPr>
        <w:t>类和</w:t>
      </w:r>
      <w:r>
        <w:rPr>
          <w:rFonts w:ascii="Arial" w:hAnsi="Arial" w:hint="eastAsia"/>
          <w:szCs w:val="21"/>
        </w:rPr>
        <w:t>C</w:t>
      </w:r>
      <w:r>
        <w:rPr>
          <w:rFonts w:ascii="Arial" w:hAnsi="Arial" w:hint="eastAsia"/>
          <w:szCs w:val="21"/>
        </w:rPr>
        <w:t>类基金份额分别设置代码。由于基金费用的不同，本基金</w:t>
      </w:r>
      <w:r>
        <w:rPr>
          <w:rFonts w:ascii="Arial" w:hAnsi="Arial" w:hint="eastAsia"/>
          <w:szCs w:val="21"/>
        </w:rPr>
        <w:t>A</w:t>
      </w:r>
      <w:r>
        <w:rPr>
          <w:rFonts w:ascii="Arial" w:hAnsi="Arial" w:hint="eastAsia"/>
          <w:szCs w:val="21"/>
        </w:rPr>
        <w:t>类基金份额和</w:t>
      </w:r>
      <w:r>
        <w:rPr>
          <w:rFonts w:ascii="Arial" w:hAnsi="Arial" w:hint="eastAsia"/>
          <w:szCs w:val="21"/>
        </w:rPr>
        <w:t>C</w:t>
      </w:r>
      <w:r>
        <w:rPr>
          <w:rFonts w:ascii="Arial" w:hAnsi="Arial" w:hint="eastAsia"/>
          <w:szCs w:val="21"/>
        </w:rPr>
        <w:t>类基金份额将分别计算基金份额净值，计算公式为计算日各类别基金资产净值除以计算日发售在外的该类别基金份额总数。</w:t>
      </w:r>
    </w:p>
    <w:p w14:paraId="6BA7BF9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hint="eastAsia"/>
          <w:szCs w:val="21"/>
        </w:rPr>
        <w:t>投资者可自行选择认购、申购的基金份额类别。本基金不同基金份额类别之间不得互相转换。</w:t>
      </w:r>
    </w:p>
    <w:p w14:paraId="1D6D279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（九）</w:t>
      </w:r>
      <w:r>
        <w:rPr>
          <w:rFonts w:ascii="Arial" w:hAnsi="Arial" w:cs="Arial"/>
          <w:kern w:val="0"/>
          <w:szCs w:val="21"/>
        </w:rPr>
        <w:t>本基金与博时黄金交易型开放式证券投资基金的联系与区别</w:t>
      </w:r>
    </w:p>
    <w:p w14:paraId="7F95C1A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在投资方法和交易方式等方面，本基金与博时黄金交易型开放式证券投资基金的联系与区别主要体现在以下几个方面：</w:t>
      </w:r>
    </w:p>
    <w:p w14:paraId="2F33C53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联系：</w:t>
      </w:r>
    </w:p>
    <w:p w14:paraId="7020BD3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w:t>
      </w:r>
      <w:r>
        <w:rPr>
          <w:rFonts w:ascii="Arial" w:hAnsi="Arial" w:cs="Arial"/>
          <w:kern w:val="0"/>
          <w:szCs w:val="21"/>
        </w:rPr>
        <w:t>两只基金跟踪同一个标的指数即</w:t>
      </w:r>
      <w:r>
        <w:rPr>
          <w:rFonts w:ascii="Arial" w:hAnsi="Arial" w:cs="Arial" w:hint="eastAsia"/>
          <w:kern w:val="0"/>
          <w:szCs w:val="21"/>
        </w:rPr>
        <w:t>上海黄金交易所</w:t>
      </w:r>
      <w:r>
        <w:rPr>
          <w:rFonts w:ascii="Arial" w:hAnsi="Arial" w:cs="Arial" w:hint="eastAsia"/>
          <w:kern w:val="0"/>
          <w:szCs w:val="21"/>
        </w:rPr>
        <w:t>AU99.99</w:t>
      </w:r>
      <w:r>
        <w:rPr>
          <w:rFonts w:ascii="Arial" w:hAnsi="Arial" w:cs="Arial" w:hint="eastAsia"/>
          <w:kern w:val="0"/>
          <w:szCs w:val="21"/>
        </w:rPr>
        <w:t>价格</w:t>
      </w:r>
      <w:r>
        <w:rPr>
          <w:rFonts w:ascii="Arial" w:hAnsi="Arial" w:cs="Arial"/>
          <w:kern w:val="0"/>
          <w:szCs w:val="21"/>
        </w:rPr>
        <w:t>。</w:t>
      </w:r>
    </w:p>
    <w:p w14:paraId="3308E89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w:t>
      </w:r>
      <w:r>
        <w:rPr>
          <w:rFonts w:ascii="Arial" w:hAnsi="Arial" w:cs="Arial"/>
          <w:kern w:val="0"/>
          <w:szCs w:val="21"/>
        </w:rPr>
        <w:t>两只基金的投资目标均为紧密跟踪标的指数即</w:t>
      </w:r>
      <w:r>
        <w:rPr>
          <w:rFonts w:ascii="Arial" w:hAnsi="Arial" w:cs="Arial" w:hint="eastAsia"/>
          <w:kern w:val="0"/>
          <w:szCs w:val="21"/>
        </w:rPr>
        <w:t>上海黄金交易所</w:t>
      </w:r>
      <w:r>
        <w:rPr>
          <w:rFonts w:ascii="Arial" w:hAnsi="Arial" w:cs="Arial" w:hint="eastAsia"/>
          <w:kern w:val="0"/>
          <w:szCs w:val="21"/>
        </w:rPr>
        <w:t>AU99.99</w:t>
      </w:r>
      <w:r>
        <w:rPr>
          <w:rFonts w:ascii="Arial" w:hAnsi="Arial" w:cs="Arial" w:hint="eastAsia"/>
          <w:kern w:val="0"/>
          <w:szCs w:val="21"/>
        </w:rPr>
        <w:t>的市场</w:t>
      </w:r>
      <w:r>
        <w:rPr>
          <w:rFonts w:ascii="Arial" w:hAnsi="Arial" w:cs="Arial"/>
          <w:kern w:val="0"/>
          <w:szCs w:val="21"/>
        </w:rPr>
        <w:t>表</w:t>
      </w:r>
      <w:r>
        <w:rPr>
          <w:rFonts w:ascii="Arial" w:hAnsi="Arial" w:cs="Arial"/>
          <w:kern w:val="0"/>
          <w:szCs w:val="21"/>
        </w:rPr>
        <w:lastRenderedPageBreak/>
        <w:t>现，追求跟踪偏离度和跟踪误差的最小化。</w:t>
      </w:r>
    </w:p>
    <w:p w14:paraId="77CEABA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w:t>
      </w:r>
      <w:r>
        <w:rPr>
          <w:rFonts w:ascii="Arial" w:hAnsi="Arial" w:cs="Arial"/>
          <w:kern w:val="0"/>
          <w:szCs w:val="21"/>
        </w:rPr>
        <w:t>两只基金具有相似的风险收益特征。</w:t>
      </w:r>
    </w:p>
    <w:p w14:paraId="4E9C59F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w:t>
      </w:r>
      <w:r>
        <w:rPr>
          <w:rFonts w:ascii="Arial" w:hAnsi="Arial" w:cs="Arial"/>
          <w:kern w:val="0"/>
          <w:szCs w:val="21"/>
        </w:rPr>
        <w:t>博时黄金交易型开放式证券投资基金是本基金的主要投资对象。</w:t>
      </w:r>
    </w:p>
    <w:p w14:paraId="5F3373F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区别：</w:t>
      </w:r>
    </w:p>
    <w:p w14:paraId="53F425B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w:t>
      </w:r>
      <w:r>
        <w:rPr>
          <w:rFonts w:ascii="Arial" w:hAnsi="Arial" w:cs="Arial"/>
          <w:kern w:val="0"/>
          <w:szCs w:val="21"/>
        </w:rPr>
        <w:t>基金的投资管理方式不同：博时黄金交易型开放式证券投资基金</w:t>
      </w:r>
      <w:r>
        <w:rPr>
          <w:rFonts w:ascii="Arial" w:hAnsi="Arial" w:cs="Arial" w:hint="eastAsia"/>
          <w:kern w:val="0"/>
          <w:szCs w:val="21"/>
        </w:rPr>
        <w:t>（以下或简称“</w:t>
      </w:r>
      <w:r>
        <w:rPr>
          <w:rFonts w:ascii="Arial" w:hAnsi="Arial" w:cs="Arial"/>
          <w:kern w:val="0"/>
          <w:szCs w:val="21"/>
        </w:rPr>
        <w:t>ETF</w:t>
      </w:r>
      <w:r>
        <w:rPr>
          <w:rFonts w:ascii="Arial" w:hAnsi="Arial" w:cs="Arial" w:hint="eastAsia"/>
          <w:kern w:val="0"/>
          <w:szCs w:val="21"/>
        </w:rPr>
        <w:t>”）</w:t>
      </w:r>
      <w:r>
        <w:rPr>
          <w:rFonts w:ascii="Arial" w:hAnsi="Arial" w:cs="Arial"/>
          <w:kern w:val="0"/>
          <w:szCs w:val="21"/>
        </w:rPr>
        <w:t>通过直接买卖标的指数</w:t>
      </w:r>
      <w:r>
        <w:rPr>
          <w:rFonts w:ascii="Arial" w:hAnsi="Arial" w:cs="Arial" w:hint="eastAsia"/>
          <w:kern w:val="0"/>
          <w:szCs w:val="21"/>
        </w:rPr>
        <w:t>所对应的黄金合约以及上海黄金交易所交易的其他黄金现货合约</w:t>
      </w:r>
      <w:r>
        <w:rPr>
          <w:rFonts w:ascii="Arial" w:hAnsi="Arial" w:cs="Arial"/>
          <w:kern w:val="0"/>
          <w:szCs w:val="21"/>
        </w:rPr>
        <w:t>等，直接跟踪复制标的指数的表现；而本基金则是通过买卖该</w:t>
      </w:r>
      <w:r>
        <w:rPr>
          <w:rFonts w:ascii="Arial" w:hAnsi="Arial" w:cs="Arial"/>
          <w:kern w:val="0"/>
          <w:szCs w:val="21"/>
        </w:rPr>
        <w:t>ETF</w:t>
      </w:r>
      <w:r>
        <w:rPr>
          <w:rFonts w:ascii="Arial" w:hAnsi="Arial" w:cs="Arial"/>
          <w:kern w:val="0"/>
          <w:szCs w:val="21"/>
        </w:rPr>
        <w:t>（包括在该</w:t>
      </w:r>
      <w:r>
        <w:rPr>
          <w:rFonts w:ascii="Arial" w:hAnsi="Arial" w:cs="Arial"/>
          <w:kern w:val="0"/>
          <w:szCs w:val="21"/>
        </w:rPr>
        <w:t>ETF</w:t>
      </w:r>
      <w:r>
        <w:rPr>
          <w:rFonts w:ascii="Arial" w:hAnsi="Arial" w:cs="Arial"/>
          <w:kern w:val="0"/>
          <w:szCs w:val="21"/>
        </w:rPr>
        <w:t>的一级市场进行篮子组合的申购与赎回，也包括在该</w:t>
      </w:r>
      <w:r>
        <w:rPr>
          <w:rFonts w:ascii="Arial" w:hAnsi="Arial" w:cs="Arial"/>
          <w:kern w:val="0"/>
          <w:szCs w:val="21"/>
        </w:rPr>
        <w:t>ETF</w:t>
      </w:r>
      <w:r>
        <w:rPr>
          <w:rFonts w:ascii="Arial" w:hAnsi="Arial" w:cs="Arial"/>
          <w:kern w:val="0"/>
          <w:szCs w:val="21"/>
        </w:rPr>
        <w:t>的二级市场以现金直接买卖</w:t>
      </w:r>
      <w:r>
        <w:rPr>
          <w:rFonts w:ascii="Arial" w:hAnsi="Arial" w:cs="Arial"/>
          <w:kern w:val="0"/>
          <w:szCs w:val="21"/>
        </w:rPr>
        <w:t>ETF</w:t>
      </w:r>
      <w:r>
        <w:rPr>
          <w:rFonts w:ascii="Arial" w:hAnsi="Arial" w:cs="Arial"/>
          <w:kern w:val="0"/>
          <w:szCs w:val="21"/>
        </w:rPr>
        <w:t>份额），间接跟踪标的指数的表现。</w:t>
      </w:r>
    </w:p>
    <w:p w14:paraId="5857C1A9" w14:textId="77777777" w:rsidR="00ED45CB" w:rsidRDefault="00703CCA">
      <w:pPr>
        <w:adjustRightInd w:val="0"/>
        <w:snapToGrid w:val="0"/>
        <w:spacing w:line="360" w:lineRule="auto"/>
        <w:ind w:firstLineChars="200" w:firstLine="420"/>
        <w:rPr>
          <w:rFonts w:ascii="Arial" w:hAnsi="Arial" w:cs="Arial"/>
          <w:kern w:val="0"/>
          <w:szCs w:val="21"/>
        </w:rPr>
      </w:pPr>
      <w:bookmarkStart w:id="11" w:name="OLE_LINK8"/>
      <w:bookmarkStart w:id="12" w:name="OLE_LINK10"/>
      <w:r>
        <w:rPr>
          <w:rFonts w:ascii="Arial" w:hAnsi="Arial" w:cs="Arial" w:hint="eastAsia"/>
          <w:kern w:val="0"/>
          <w:szCs w:val="21"/>
        </w:rPr>
        <w:t>2</w:t>
      </w:r>
      <w:r>
        <w:rPr>
          <w:rFonts w:ascii="Arial" w:hAnsi="Arial" w:cs="Arial" w:hint="eastAsia"/>
          <w:kern w:val="0"/>
          <w:szCs w:val="21"/>
        </w:rPr>
        <w:t>、</w:t>
      </w:r>
      <w:r>
        <w:rPr>
          <w:rFonts w:ascii="Arial" w:hAnsi="Arial" w:cs="Arial"/>
          <w:kern w:val="0"/>
          <w:szCs w:val="21"/>
        </w:rPr>
        <w:t>基金的申购赎回不同：博时黄金交易型开放式证券投资基金采用</w:t>
      </w:r>
      <w:r>
        <w:rPr>
          <w:rFonts w:ascii="Arial" w:hAnsi="Arial" w:cs="Arial" w:hint="eastAsia"/>
          <w:kern w:val="0"/>
          <w:szCs w:val="21"/>
        </w:rPr>
        <w:t>黄金合约</w:t>
      </w:r>
      <w:r>
        <w:rPr>
          <w:rFonts w:ascii="Arial" w:hAnsi="Arial" w:cs="Arial"/>
          <w:kern w:val="0"/>
          <w:szCs w:val="21"/>
        </w:rPr>
        <w:t>篮子组合的方式进行基金份额的申购与赎回；而本基金的认购、申购和赎回均采用现金方式。</w:t>
      </w:r>
    </w:p>
    <w:bookmarkEnd w:id="11"/>
    <w:bookmarkEnd w:id="12"/>
    <w:p w14:paraId="39AD449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w:t>
      </w:r>
      <w:r>
        <w:rPr>
          <w:rFonts w:ascii="Arial" w:hAnsi="Arial" w:cs="Arial"/>
          <w:kern w:val="0"/>
          <w:szCs w:val="21"/>
        </w:rPr>
        <w:t>基金是否挂牌交易不同：博时黄金交易型开放式证券投资基金在</w:t>
      </w:r>
      <w:r>
        <w:rPr>
          <w:rFonts w:ascii="Arial" w:hAnsi="Arial" w:cs="Arial" w:hint="eastAsia"/>
          <w:kern w:val="0"/>
          <w:szCs w:val="21"/>
        </w:rPr>
        <w:t>深</w:t>
      </w:r>
      <w:r>
        <w:rPr>
          <w:rFonts w:ascii="Arial" w:hAnsi="Arial" w:cs="Arial"/>
          <w:kern w:val="0"/>
          <w:szCs w:val="21"/>
        </w:rPr>
        <w:t>交所挂牌交易；而本基金则不上市交易。</w:t>
      </w:r>
    </w:p>
    <w:p w14:paraId="472E1B2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w:t>
      </w:r>
      <w:r>
        <w:rPr>
          <w:rFonts w:ascii="Arial" w:hAnsi="Arial" w:cs="Arial"/>
          <w:kern w:val="0"/>
          <w:szCs w:val="21"/>
        </w:rPr>
        <w:t>价格揭示机制不同：博时黄金交易型开放式证券投资基金有实时市场交易价格和每日净值；而本基金只揭示每日基金净值。</w:t>
      </w:r>
    </w:p>
    <w:p w14:paraId="4ED51C2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w:t>
      </w:r>
      <w:r>
        <w:rPr>
          <w:rFonts w:ascii="Arial" w:hAnsi="Arial" w:cs="Arial"/>
          <w:kern w:val="0"/>
          <w:szCs w:val="21"/>
        </w:rPr>
        <w:t>投资人申购赎回基金的程序不同：博时黄金交易型开放式证券投资基金通过指定券商办理基金的申购与赎回；而本基金则通过银行等场外销售机构办理基金的申购与赎回。</w:t>
      </w:r>
    </w:p>
    <w:p w14:paraId="60A70F9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（十）</w:t>
      </w:r>
      <w:r>
        <w:rPr>
          <w:rFonts w:ascii="Arial" w:hAnsi="Arial" w:cs="Arial"/>
          <w:kern w:val="0"/>
          <w:szCs w:val="21"/>
        </w:rPr>
        <w:t>本基金与博时黄金交易型开放式证券投资基金业绩表现的差异</w:t>
      </w:r>
    </w:p>
    <w:p w14:paraId="040CF50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本基金的业绩表现与博时黄金交易型开放式证券投资基金的业绩表现可能会出现差异，差异产生的主要原因有以下几个方面：</w:t>
      </w:r>
    </w:p>
    <w:p w14:paraId="0020249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w:t>
      </w:r>
      <w:r>
        <w:rPr>
          <w:rFonts w:ascii="Arial" w:hAnsi="Arial" w:cs="Arial"/>
          <w:kern w:val="0"/>
          <w:szCs w:val="21"/>
        </w:rPr>
        <w:t>投资对象和投资范围的不同，会导致两只基金的业绩有差异。</w:t>
      </w:r>
    </w:p>
    <w:p w14:paraId="6C27BC8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w:t>
      </w:r>
      <w:r>
        <w:rPr>
          <w:rFonts w:ascii="Arial" w:hAnsi="Arial" w:cs="Arial"/>
          <w:kern w:val="0"/>
          <w:szCs w:val="21"/>
        </w:rPr>
        <w:t>投资管理方式的不同，如在指数</w:t>
      </w:r>
      <w:proofErr w:type="gramStart"/>
      <w:r>
        <w:rPr>
          <w:rFonts w:ascii="Arial" w:hAnsi="Arial" w:cs="Arial"/>
          <w:kern w:val="0"/>
          <w:szCs w:val="21"/>
        </w:rPr>
        <w:t>化投资</w:t>
      </w:r>
      <w:proofErr w:type="gramEnd"/>
      <w:r>
        <w:rPr>
          <w:rFonts w:ascii="Arial" w:hAnsi="Arial" w:cs="Arial"/>
          <w:kern w:val="0"/>
          <w:szCs w:val="21"/>
        </w:rPr>
        <w:t>过程中，不同的管理方式会导致跟踪指数的水平、技术手段、买入卖出的时机选择等的不同，会导致两只基金的业绩有差异。</w:t>
      </w:r>
    </w:p>
    <w:p w14:paraId="4B781F1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w:t>
      </w:r>
      <w:r>
        <w:rPr>
          <w:rFonts w:ascii="Arial" w:hAnsi="Arial" w:cs="Arial"/>
          <w:kern w:val="0"/>
          <w:szCs w:val="21"/>
        </w:rPr>
        <w:t>基金规模、投资成本、各种费用与税收的不同，会导致两只基金的业绩有差异。由于两只基金的投资对象和投资范围不同，投资管理方式不同，基金规模也可能不同，所以，本基金的投资成本、各种费用及税收可能不同于博时黄金交易型开放式证券投资基金。</w:t>
      </w:r>
    </w:p>
    <w:p w14:paraId="5A4DCFC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w:t>
      </w:r>
      <w:r>
        <w:rPr>
          <w:rFonts w:ascii="Arial" w:hAnsi="Arial" w:cs="Arial"/>
          <w:kern w:val="0"/>
          <w:szCs w:val="21"/>
        </w:rPr>
        <w:t>现金比例及现金管理方式的不同，会导致两只基金的业绩有差异。本基金须对现金或者到期日在一年以内的政府债券的投资比例不低于基金资产净值的</w:t>
      </w:r>
      <w:r>
        <w:rPr>
          <w:rFonts w:ascii="Arial" w:hAnsi="Arial" w:cs="Arial"/>
          <w:kern w:val="0"/>
          <w:szCs w:val="21"/>
        </w:rPr>
        <w:t>5%</w:t>
      </w:r>
      <w:r>
        <w:rPr>
          <w:rFonts w:ascii="Arial" w:hAnsi="Arial" w:cs="Arial"/>
          <w:kern w:val="0"/>
          <w:szCs w:val="21"/>
        </w:rPr>
        <w:t>，而博时黄金交易型开放式证券投资基金则没有这项规定。</w:t>
      </w:r>
    </w:p>
    <w:p w14:paraId="7629135B" w14:textId="77777777" w:rsidR="00ED45CB" w:rsidRDefault="00703CCA">
      <w:pPr>
        <w:spacing w:before="100" w:beforeAutospacing="1" w:after="100" w:afterAutospacing="1" w:line="400" w:lineRule="exact"/>
        <w:ind w:firstLine="420"/>
        <w:rPr>
          <w:rFonts w:ascii="宋体" w:hAnsi="宋体"/>
          <w:kern w:val="0"/>
          <w:szCs w:val="21"/>
        </w:rPr>
      </w:pPr>
      <w:r>
        <w:rPr>
          <w:rFonts w:ascii="宋体" w:hAnsi="宋体"/>
          <w:kern w:val="0"/>
          <w:szCs w:val="21"/>
        </w:rPr>
        <w:br w:type="page"/>
      </w:r>
    </w:p>
    <w:p w14:paraId="20D872E3"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13" w:name="_Toc88037839"/>
      <w:bookmarkStart w:id="14" w:name="_Toc344308264"/>
      <w:bookmarkStart w:id="15" w:name="_Toc122336542"/>
      <w:r>
        <w:rPr>
          <w:rFonts w:ascii="宋体" w:eastAsia="宋体" w:hAnsi="宋体" w:hint="eastAsia"/>
          <w:sz w:val="24"/>
          <w:szCs w:val="24"/>
        </w:rPr>
        <w:t>四、基金份额的发售与认购</w:t>
      </w:r>
      <w:bookmarkEnd w:id="13"/>
      <w:bookmarkEnd w:id="14"/>
      <w:bookmarkEnd w:id="15"/>
    </w:p>
    <w:p w14:paraId="2ABC267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（一）发售时间</w:t>
      </w:r>
    </w:p>
    <w:p w14:paraId="0F1B647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 xml:space="preserve"> </w:t>
      </w:r>
      <w:r>
        <w:rPr>
          <w:rFonts w:ascii="Arial" w:hAnsi="Arial" w:cs="Arial" w:hint="eastAsia"/>
          <w:kern w:val="0"/>
          <w:szCs w:val="21"/>
        </w:rPr>
        <w:t>本基金募集期限自基金份额发售之日起不超过</w:t>
      </w:r>
      <w:r>
        <w:rPr>
          <w:rFonts w:ascii="Arial" w:hAnsi="Arial" w:cs="Arial" w:hint="eastAsia"/>
          <w:kern w:val="0"/>
          <w:szCs w:val="21"/>
        </w:rPr>
        <w:t>3</w:t>
      </w:r>
      <w:r>
        <w:rPr>
          <w:rFonts w:ascii="Arial" w:hAnsi="Arial" w:cs="Arial" w:hint="eastAsia"/>
          <w:kern w:val="0"/>
          <w:szCs w:val="21"/>
        </w:rPr>
        <w:t>个月，具体发售时间由基金管理人根据相关法律法规以及本基金合同的规定确定，并在基金份额发售公告中披露。</w:t>
      </w:r>
    </w:p>
    <w:p w14:paraId="28E9F18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（二）发售方式</w:t>
      </w:r>
    </w:p>
    <w:p w14:paraId="31E3F97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本基金通过各销售机构的基金销售网点向投资者公开发售，各销售机构的具体名单</w:t>
      </w:r>
      <w:proofErr w:type="gramStart"/>
      <w:r>
        <w:rPr>
          <w:rFonts w:ascii="Arial" w:hAnsi="Arial" w:cs="Arial" w:hint="eastAsia"/>
          <w:kern w:val="0"/>
          <w:szCs w:val="21"/>
        </w:rPr>
        <w:t>见基金</w:t>
      </w:r>
      <w:proofErr w:type="gramEnd"/>
      <w:r>
        <w:rPr>
          <w:rFonts w:ascii="Arial" w:hAnsi="Arial" w:cs="Arial" w:hint="eastAsia"/>
          <w:kern w:val="0"/>
          <w:szCs w:val="21"/>
        </w:rPr>
        <w:t>份额发售公告。</w:t>
      </w:r>
    </w:p>
    <w:p w14:paraId="11E6759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本基金认购采取全额缴款认购的方式。基金投资者在募集期内可多次认购，认购一经受理不得撤销。</w:t>
      </w:r>
    </w:p>
    <w:p w14:paraId="513A0B8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基金销售机构认购申请的受理并不代表该申请一定成功，而仅代表销售机构确实接收到认购申请。认购的确认以注册登记机构或基金管理人的确认结果为准。</w:t>
      </w:r>
    </w:p>
    <w:p w14:paraId="3AD8320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（三）发售对象</w:t>
      </w:r>
    </w:p>
    <w:p w14:paraId="1304DC9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本基金的发售对象为个人投资者、机构投资者（有关法律法规规定禁止购买者除外）、合格境外机构投资者和法律法规或中国证监会允许购买证券投资基金的其他投资者</w:t>
      </w:r>
    </w:p>
    <w:p w14:paraId="3C8E50D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（四）基金认购费用</w:t>
      </w:r>
    </w:p>
    <w:p w14:paraId="3AC0EBE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szCs w:val="21"/>
        </w:rPr>
        <w:t>本基金</w:t>
      </w:r>
      <w:r>
        <w:rPr>
          <w:rFonts w:ascii="Arial" w:hAnsi="Arial"/>
          <w:szCs w:val="21"/>
        </w:rPr>
        <w:t>A</w:t>
      </w:r>
      <w:r>
        <w:rPr>
          <w:rFonts w:ascii="Arial" w:hAnsi="Arial"/>
          <w:szCs w:val="21"/>
        </w:rPr>
        <w:t>类基金份额在认购时收取基金认购费用；</w:t>
      </w:r>
      <w:r>
        <w:rPr>
          <w:rFonts w:ascii="Arial" w:hAnsi="Arial"/>
          <w:szCs w:val="21"/>
        </w:rPr>
        <w:t>C</w:t>
      </w:r>
      <w:r>
        <w:rPr>
          <w:rFonts w:ascii="Arial" w:hAnsi="Arial"/>
          <w:szCs w:val="21"/>
        </w:rPr>
        <w:t>类基金份额不收取认购费用。</w:t>
      </w:r>
    </w:p>
    <w:p w14:paraId="1625D60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本基金认购费率不高于</w:t>
      </w:r>
      <w:r>
        <w:rPr>
          <w:rFonts w:ascii="Arial" w:hAnsi="Arial" w:cs="Arial" w:hint="eastAsia"/>
          <w:kern w:val="0"/>
          <w:szCs w:val="21"/>
        </w:rPr>
        <w:t>5%</w:t>
      </w:r>
      <w:r>
        <w:rPr>
          <w:rFonts w:ascii="Arial" w:hAnsi="Arial" w:cs="Arial" w:hint="eastAsia"/>
          <w:kern w:val="0"/>
          <w:szCs w:val="21"/>
        </w:rPr>
        <w:t>，实际执行费率在招募说明书中载明。认购费用用于本基金的市场推广、销售、注册登记等募集期间发生的各项费用，不列入基金财产。</w:t>
      </w:r>
    </w:p>
    <w:p w14:paraId="44919D3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（五）认购份额的计算方法</w:t>
      </w:r>
    </w:p>
    <w:p w14:paraId="214947C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基金认购份额具体的计算方法在招募说明书中列示。</w:t>
      </w:r>
    </w:p>
    <w:p w14:paraId="1353A6B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（六）募集期间认购资金利息的处理方式</w:t>
      </w:r>
    </w:p>
    <w:p w14:paraId="0B2F72E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本基金的有效认购款项在基金募集期间产生的利息在基金合同生效后将折算为基金份额，</w:t>
      </w:r>
      <w:proofErr w:type="gramStart"/>
      <w:r>
        <w:rPr>
          <w:rFonts w:ascii="Arial" w:hAnsi="Arial" w:cs="Arial" w:hint="eastAsia"/>
          <w:kern w:val="0"/>
          <w:szCs w:val="21"/>
        </w:rPr>
        <w:t>归基金</w:t>
      </w:r>
      <w:proofErr w:type="gramEnd"/>
      <w:r>
        <w:rPr>
          <w:rFonts w:ascii="Arial" w:hAnsi="Arial" w:cs="Arial" w:hint="eastAsia"/>
          <w:kern w:val="0"/>
          <w:szCs w:val="21"/>
        </w:rPr>
        <w:t>份额持有人所有。</w:t>
      </w:r>
      <w:r>
        <w:rPr>
          <w:rFonts w:ascii="Arial" w:hAnsi="Arial" w:cs="Arial"/>
          <w:kern w:val="0"/>
          <w:szCs w:val="21"/>
        </w:rPr>
        <w:t>利息</w:t>
      </w:r>
      <w:r>
        <w:rPr>
          <w:rFonts w:ascii="Arial" w:hAnsi="Arial" w:cs="Arial" w:hint="eastAsia"/>
          <w:kern w:val="0"/>
          <w:szCs w:val="21"/>
        </w:rPr>
        <w:t>的具体金额，</w:t>
      </w:r>
      <w:r>
        <w:rPr>
          <w:rFonts w:ascii="Arial" w:hAnsi="Arial" w:cs="Arial"/>
          <w:kern w:val="0"/>
          <w:szCs w:val="21"/>
        </w:rPr>
        <w:t>以</w:t>
      </w:r>
      <w:r>
        <w:rPr>
          <w:rFonts w:ascii="Arial" w:hAnsi="Arial" w:cs="Arial" w:hint="eastAsia"/>
          <w:kern w:val="0"/>
          <w:szCs w:val="21"/>
        </w:rPr>
        <w:t>注册登记</w:t>
      </w:r>
      <w:r>
        <w:rPr>
          <w:rFonts w:ascii="Arial" w:hAnsi="Arial" w:cs="Arial"/>
          <w:kern w:val="0"/>
          <w:szCs w:val="21"/>
        </w:rPr>
        <w:t>机构</w:t>
      </w:r>
      <w:r>
        <w:rPr>
          <w:rFonts w:ascii="Arial" w:hAnsi="Arial" w:cs="Arial" w:hint="eastAsia"/>
          <w:kern w:val="0"/>
          <w:szCs w:val="21"/>
        </w:rPr>
        <w:t>的记录</w:t>
      </w:r>
      <w:r>
        <w:rPr>
          <w:rFonts w:ascii="Arial" w:hAnsi="Arial" w:cs="Arial"/>
          <w:kern w:val="0"/>
          <w:szCs w:val="21"/>
        </w:rPr>
        <w:t>为准。</w:t>
      </w:r>
    </w:p>
    <w:p w14:paraId="3657D92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（七）基金认购的具体规定</w:t>
      </w:r>
    </w:p>
    <w:p w14:paraId="6332100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投资者认购原则、认购限额、认购份额的计算公式、认购时间安排、投资者认购应提交的文件和办理的手续等事项，由基金管理人根据相关法律法规以及本基金合同的规定确定，并在招募说明书和基金份额发售公告中披露。</w:t>
      </w:r>
    </w:p>
    <w:p w14:paraId="129D76C5" w14:textId="77777777" w:rsidR="00ED45CB" w:rsidRDefault="00703CCA">
      <w:pPr>
        <w:adjustRightInd w:val="0"/>
        <w:snapToGrid w:val="0"/>
        <w:spacing w:line="360" w:lineRule="auto"/>
        <w:ind w:firstLineChars="200" w:firstLine="420"/>
        <w:rPr>
          <w:rFonts w:ascii="宋体" w:hAnsi="宋体"/>
          <w:kern w:val="0"/>
          <w:szCs w:val="21"/>
        </w:rPr>
      </w:pPr>
      <w:r>
        <w:rPr>
          <w:rFonts w:ascii="Arial" w:hAnsi="Arial" w:cs="Arial" w:hint="eastAsia"/>
          <w:kern w:val="0"/>
          <w:szCs w:val="21"/>
        </w:rPr>
        <w:t>（八）基金募集期间募集的资金应当存入专门账户，在基金募集结束前任何人不得动用。</w:t>
      </w:r>
    </w:p>
    <w:p w14:paraId="3DE22D12" w14:textId="77777777" w:rsidR="00ED45CB" w:rsidRDefault="00703CCA">
      <w:pPr>
        <w:spacing w:before="100" w:beforeAutospacing="1" w:after="100" w:afterAutospacing="1" w:line="400" w:lineRule="exact"/>
        <w:rPr>
          <w:rFonts w:ascii="宋体" w:hAnsi="宋体"/>
          <w:szCs w:val="21"/>
        </w:rPr>
      </w:pPr>
      <w:r>
        <w:rPr>
          <w:rFonts w:ascii="宋体" w:hAnsi="宋体"/>
          <w:szCs w:val="21"/>
        </w:rPr>
        <w:br w:type="page"/>
      </w:r>
    </w:p>
    <w:p w14:paraId="28E7ECA6"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16" w:name="_Toc88037840"/>
      <w:bookmarkStart w:id="17" w:name="_Toc122336543"/>
      <w:bookmarkStart w:id="18" w:name="_Toc344308265"/>
      <w:r>
        <w:rPr>
          <w:rFonts w:ascii="宋体" w:eastAsia="宋体" w:hAnsi="宋体" w:hint="eastAsia"/>
          <w:sz w:val="24"/>
          <w:szCs w:val="24"/>
        </w:rPr>
        <w:t>五、基金的备案</w:t>
      </w:r>
      <w:bookmarkEnd w:id="16"/>
      <w:bookmarkEnd w:id="17"/>
      <w:bookmarkEnd w:id="18"/>
    </w:p>
    <w:p w14:paraId="646E5F5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（一）基金备案的条件</w:t>
      </w:r>
    </w:p>
    <w:p w14:paraId="794D626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本基金募集期限届满或基金管理人提前结束募集时，具备下列条件的，基金管理人应当按照规定办理验资和基金备案手续：</w:t>
      </w:r>
    </w:p>
    <w:p w14:paraId="28C5E22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、基金募集份额总额不少于</w:t>
      </w:r>
      <w:r>
        <w:rPr>
          <w:rFonts w:ascii="Arial" w:hAnsi="Arial" w:cs="Arial" w:hint="eastAsia"/>
          <w:kern w:val="0"/>
          <w:szCs w:val="21"/>
        </w:rPr>
        <w:t>2</w:t>
      </w:r>
      <w:r>
        <w:rPr>
          <w:rFonts w:ascii="Arial" w:hAnsi="Arial" w:cs="Arial" w:hint="eastAsia"/>
          <w:kern w:val="0"/>
          <w:szCs w:val="21"/>
        </w:rPr>
        <w:t>亿份，基金募集金额不少于</w:t>
      </w:r>
      <w:r>
        <w:rPr>
          <w:rFonts w:ascii="Arial" w:hAnsi="Arial" w:cs="Arial" w:hint="eastAsia"/>
          <w:kern w:val="0"/>
          <w:szCs w:val="21"/>
        </w:rPr>
        <w:t>2</w:t>
      </w:r>
      <w:r>
        <w:rPr>
          <w:rFonts w:ascii="Arial" w:hAnsi="Arial" w:cs="Arial" w:hint="eastAsia"/>
          <w:kern w:val="0"/>
          <w:szCs w:val="21"/>
        </w:rPr>
        <w:t>亿元人民币；</w:t>
      </w:r>
    </w:p>
    <w:p w14:paraId="4A8234C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、基金份额持有人的人数不少于</w:t>
      </w:r>
      <w:r>
        <w:rPr>
          <w:rFonts w:ascii="Arial" w:hAnsi="Arial" w:cs="Arial" w:hint="eastAsia"/>
          <w:kern w:val="0"/>
          <w:szCs w:val="21"/>
        </w:rPr>
        <w:t>200</w:t>
      </w:r>
      <w:r>
        <w:rPr>
          <w:rFonts w:ascii="Arial" w:hAnsi="Arial" w:cs="Arial" w:hint="eastAsia"/>
          <w:kern w:val="0"/>
          <w:szCs w:val="21"/>
        </w:rPr>
        <w:t>人。</w:t>
      </w:r>
    </w:p>
    <w:p w14:paraId="002EC59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（二）基金的备案</w:t>
      </w:r>
    </w:p>
    <w:p w14:paraId="1D5F779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基金募集期限届满或基金管理人提前结束募集时，具备上述基金备案条件的，基金管理人应当自募集期限届满或募集结束之日起</w:t>
      </w:r>
      <w:r>
        <w:rPr>
          <w:rFonts w:ascii="Arial" w:hAnsi="Arial" w:cs="Arial" w:hint="eastAsia"/>
          <w:kern w:val="0"/>
          <w:szCs w:val="21"/>
        </w:rPr>
        <w:t>10</w:t>
      </w:r>
      <w:r>
        <w:rPr>
          <w:rFonts w:ascii="Arial" w:hAnsi="Arial" w:cs="Arial" w:hint="eastAsia"/>
          <w:kern w:val="0"/>
          <w:szCs w:val="21"/>
        </w:rPr>
        <w:t>日内聘请法定验资机构验资，自收到验资报告之日起</w:t>
      </w:r>
      <w:r>
        <w:rPr>
          <w:rFonts w:ascii="Arial" w:hAnsi="Arial" w:cs="Arial" w:hint="eastAsia"/>
          <w:kern w:val="0"/>
          <w:szCs w:val="21"/>
        </w:rPr>
        <w:t>10</w:t>
      </w:r>
      <w:r>
        <w:rPr>
          <w:rFonts w:ascii="Arial" w:hAnsi="Arial" w:cs="Arial" w:hint="eastAsia"/>
          <w:kern w:val="0"/>
          <w:szCs w:val="21"/>
        </w:rPr>
        <w:t>日内，向中国证监会提交验资报告，办理基金备案手续。</w:t>
      </w:r>
    </w:p>
    <w:p w14:paraId="727BC31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（三）基金合同的生效</w:t>
      </w:r>
    </w:p>
    <w:p w14:paraId="10F8D69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、自中国证监会书面确认之日起，基金备案手续办理完毕，基金合同生效；</w:t>
      </w:r>
    </w:p>
    <w:p w14:paraId="354C914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、基金管理人应当在收到中国证监会确认文件的次日对基金合同生效事宜予以公告。</w:t>
      </w:r>
    </w:p>
    <w:p w14:paraId="556F374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（四）基金募集失败的处理方式</w:t>
      </w:r>
    </w:p>
    <w:p w14:paraId="26A76AE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基金募集期限届满，不能满足基金备案的条件的，或者</w:t>
      </w:r>
      <w:r>
        <w:rPr>
          <w:rFonts w:ascii="Arial" w:hAnsi="Arial" w:cs="Arial"/>
          <w:kern w:val="0"/>
          <w:szCs w:val="21"/>
        </w:rPr>
        <w:t>博时黄金交易型开放式证券投资基金</w:t>
      </w:r>
      <w:r>
        <w:rPr>
          <w:rFonts w:ascii="Arial" w:hAnsi="Arial" w:cs="Arial" w:hint="eastAsia"/>
          <w:kern w:val="0"/>
          <w:szCs w:val="21"/>
        </w:rPr>
        <w:t>募集失败的，</w:t>
      </w:r>
      <w:proofErr w:type="gramStart"/>
      <w:r>
        <w:rPr>
          <w:rFonts w:ascii="Arial" w:hAnsi="Arial" w:cs="Arial" w:hint="eastAsia"/>
          <w:kern w:val="0"/>
          <w:szCs w:val="21"/>
        </w:rPr>
        <w:t>则基金</w:t>
      </w:r>
      <w:proofErr w:type="gramEnd"/>
      <w:r>
        <w:rPr>
          <w:rFonts w:ascii="Arial" w:hAnsi="Arial" w:cs="Arial" w:hint="eastAsia"/>
          <w:kern w:val="0"/>
          <w:szCs w:val="21"/>
        </w:rPr>
        <w:t>募集失败。基金管理人应当：</w:t>
      </w:r>
    </w:p>
    <w:p w14:paraId="7FBC821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、以其固有财产承担因募集行为而产生的债务和费用；</w:t>
      </w:r>
    </w:p>
    <w:p w14:paraId="7DD7C7A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、在基金募集期限届满后</w:t>
      </w:r>
      <w:r>
        <w:rPr>
          <w:rFonts w:ascii="Arial" w:hAnsi="Arial" w:cs="Arial" w:hint="eastAsia"/>
          <w:kern w:val="0"/>
          <w:szCs w:val="21"/>
        </w:rPr>
        <w:t>30</w:t>
      </w:r>
      <w:r>
        <w:rPr>
          <w:rFonts w:ascii="Arial" w:hAnsi="Arial" w:cs="Arial" w:hint="eastAsia"/>
          <w:kern w:val="0"/>
          <w:szCs w:val="21"/>
        </w:rPr>
        <w:t>日内返还投资者已缴纳的认购款项，并加计银行同期活期存款利息。</w:t>
      </w:r>
    </w:p>
    <w:p w14:paraId="5A144CE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（五）基金存续期内的基金份额持有人数量和资产规模</w:t>
      </w:r>
    </w:p>
    <w:p w14:paraId="57D6388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本合同存续期内，基金份额持有人数量不满</w:t>
      </w:r>
      <w:r>
        <w:rPr>
          <w:rFonts w:ascii="Arial" w:hAnsi="Arial" w:cs="Arial" w:hint="eastAsia"/>
          <w:kern w:val="0"/>
          <w:szCs w:val="21"/>
        </w:rPr>
        <w:t>200</w:t>
      </w:r>
      <w:r>
        <w:rPr>
          <w:rFonts w:ascii="Arial" w:hAnsi="Arial" w:cs="Arial" w:hint="eastAsia"/>
          <w:kern w:val="0"/>
          <w:szCs w:val="21"/>
        </w:rPr>
        <w:t>人或者基金资产净值低于</w:t>
      </w:r>
      <w:r>
        <w:rPr>
          <w:rFonts w:ascii="Arial" w:hAnsi="Arial" w:cs="Arial" w:hint="eastAsia"/>
          <w:kern w:val="0"/>
          <w:szCs w:val="21"/>
        </w:rPr>
        <w:t>5000</w:t>
      </w:r>
      <w:r>
        <w:rPr>
          <w:rFonts w:ascii="Arial" w:hAnsi="Arial" w:cs="Arial" w:hint="eastAsia"/>
          <w:kern w:val="0"/>
          <w:szCs w:val="21"/>
        </w:rPr>
        <w:t>万元的，基金管理人应当及时报告中国证监会；连续</w:t>
      </w:r>
      <w:r>
        <w:rPr>
          <w:rFonts w:ascii="Arial" w:hAnsi="Arial" w:cs="Arial" w:hint="eastAsia"/>
          <w:kern w:val="0"/>
          <w:szCs w:val="21"/>
        </w:rPr>
        <w:t>20</w:t>
      </w:r>
      <w:r>
        <w:rPr>
          <w:rFonts w:ascii="Arial" w:hAnsi="Arial" w:cs="Arial" w:hint="eastAsia"/>
          <w:kern w:val="0"/>
          <w:szCs w:val="21"/>
        </w:rPr>
        <w:t>个工作日出现前述情形的，基金管理人应当向中国证监会说明原因和报送解决方案。</w:t>
      </w:r>
    </w:p>
    <w:p w14:paraId="5043058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法律法规或监管部门另有规定的，按其规定办理。</w:t>
      </w:r>
    </w:p>
    <w:p w14:paraId="3638FE1D" w14:textId="77777777" w:rsidR="00ED45CB" w:rsidRDefault="00703CCA">
      <w:pPr>
        <w:spacing w:before="100" w:beforeAutospacing="1" w:after="100" w:afterAutospacing="1" w:line="400" w:lineRule="exact"/>
        <w:ind w:firstLine="420"/>
        <w:rPr>
          <w:rFonts w:ascii="宋体" w:hAnsi="宋体"/>
          <w:szCs w:val="21"/>
        </w:rPr>
      </w:pPr>
      <w:r>
        <w:rPr>
          <w:rFonts w:ascii="宋体" w:hAnsi="宋体"/>
          <w:szCs w:val="21"/>
        </w:rPr>
        <w:br w:type="page"/>
      </w:r>
    </w:p>
    <w:p w14:paraId="43797D18"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19" w:name="_Toc344308266"/>
      <w:bookmarkStart w:id="20" w:name="_Toc122336544"/>
      <w:bookmarkStart w:id="21" w:name="_Toc88037841"/>
      <w:r>
        <w:rPr>
          <w:rFonts w:ascii="宋体" w:eastAsia="宋体" w:hAnsi="宋体" w:hint="eastAsia"/>
          <w:sz w:val="24"/>
          <w:szCs w:val="24"/>
        </w:rPr>
        <w:t>六、基金份额的申购、赎回与转换</w:t>
      </w:r>
      <w:bookmarkEnd w:id="19"/>
      <w:bookmarkEnd w:id="20"/>
      <w:bookmarkEnd w:id="21"/>
    </w:p>
    <w:p w14:paraId="26C0E46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（一）申购与赎回的场所</w:t>
      </w:r>
    </w:p>
    <w:p w14:paraId="5106FF5C" w14:textId="5B26B313"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的销售机构包括基金管理人和基金管理人委托的代销机构。具体的销售网点将由基金管理人在招募说明书、基金份额发售公告或其他公告中列明。基金管理人可根据情况变更或增减销售机构，并在基金管理人网站公示。投资者可以在销售机构办理基金销售业务的营业场所或按销售机构提供的其他方式办理基金的申购与赎回。</w:t>
      </w:r>
    </w:p>
    <w:p w14:paraId="147F524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（二）申购与赎回办理的开放日及时间</w:t>
      </w:r>
    </w:p>
    <w:p w14:paraId="7383355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、开放日及开放时间</w:t>
      </w:r>
    </w:p>
    <w:p w14:paraId="0BA15CF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本基金的开放日为本合同生效后基金管理人公告开始办理申购或赎回之日</w:t>
      </w:r>
      <w:r>
        <w:rPr>
          <w:rFonts w:ascii="Arial" w:hAnsi="Arial" w:cs="Arial" w:hint="eastAsia"/>
          <w:kern w:val="0"/>
          <w:szCs w:val="21"/>
        </w:rPr>
        <w:t>,</w:t>
      </w:r>
      <w:r>
        <w:rPr>
          <w:rFonts w:ascii="Arial" w:hAnsi="Arial" w:cs="Arial" w:hint="eastAsia"/>
          <w:kern w:val="0"/>
          <w:szCs w:val="21"/>
        </w:rPr>
        <w:t>具体业务办理时间以销售机构公布的时间为准。</w:t>
      </w:r>
    </w:p>
    <w:p w14:paraId="4879136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若出现新的证券交易市场、证券交易所交易时间变更或其他特殊情况，基金管理人将视情况对前述开放日及开放时间进行相应的调整并公告。</w:t>
      </w:r>
    </w:p>
    <w:p w14:paraId="67EB1B4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不得在基金合同约定之外的日期或者时间办理基金份额的申购、赎回或者转换。投资人在基金合同约定之外的日期和时间提出申购、赎回或转换申请的，视为下一个开放日的申请，其基金份额申购、赎回价格为下次办理基金份额申购、赎回时间所在开放日的价格。</w:t>
      </w:r>
    </w:p>
    <w:p w14:paraId="41836FF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、申购与赎回的开始时间</w:t>
      </w:r>
    </w:p>
    <w:p w14:paraId="6A6ABDB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本基金的申购自基金合同生效日起不超过</w:t>
      </w:r>
      <w:r>
        <w:rPr>
          <w:rFonts w:ascii="Arial" w:hAnsi="Arial" w:cs="Arial" w:hint="eastAsia"/>
          <w:kern w:val="0"/>
          <w:szCs w:val="21"/>
        </w:rPr>
        <w:t>3</w:t>
      </w:r>
      <w:r>
        <w:rPr>
          <w:rFonts w:ascii="Arial" w:hAnsi="Arial" w:cs="Arial" w:hint="eastAsia"/>
          <w:kern w:val="0"/>
          <w:szCs w:val="21"/>
        </w:rPr>
        <w:t>个月的时间开始办理。</w:t>
      </w:r>
    </w:p>
    <w:p w14:paraId="1BFC88F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本基金的赎回自基金合同生效日起不超过</w:t>
      </w:r>
      <w:r>
        <w:rPr>
          <w:rFonts w:ascii="Arial" w:hAnsi="Arial" w:cs="Arial" w:hint="eastAsia"/>
          <w:kern w:val="0"/>
          <w:szCs w:val="21"/>
        </w:rPr>
        <w:t>3</w:t>
      </w:r>
      <w:r>
        <w:rPr>
          <w:rFonts w:ascii="Arial" w:hAnsi="Arial" w:cs="Arial" w:hint="eastAsia"/>
          <w:kern w:val="0"/>
          <w:szCs w:val="21"/>
        </w:rPr>
        <w:t>个月的时间开始办理。</w:t>
      </w:r>
    </w:p>
    <w:p w14:paraId="421F5F1F" w14:textId="69C1B5E5"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在确定申购开始时间与赎回开始时间后，由基金管理人最迟于申购或赎回开始前按规定在指定媒介上公告。</w:t>
      </w:r>
    </w:p>
    <w:p w14:paraId="4890F79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（三）申购与赎回的原则</w:t>
      </w:r>
    </w:p>
    <w:p w14:paraId="7C78033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、“未知价”原则，即基金的申购与赎回价格以受理申请当日基金份额净值为基准进行计算；</w:t>
      </w:r>
    </w:p>
    <w:p w14:paraId="23207C9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、基金采用金额申购和份额赎回的方式，即申购以金额申请，赎回以份额申请；</w:t>
      </w:r>
    </w:p>
    <w:p w14:paraId="3058B9C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基金份额持有人在赎回基金份额时，基金管理人按先进先出的原则，即对该基金份额持有人在该销售机构托管的基金份额进行处理时，申购确认日期在先的基金份额先赎回，申购确认日期在后的基金份额后赎回，以确定所适用的赎回费率；</w:t>
      </w:r>
    </w:p>
    <w:p w14:paraId="56DC942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、当日的申购与赎回申请可以在当日业务办理时间结束前撤销，在当日的业务办理时间结束后不得撤销；</w:t>
      </w:r>
    </w:p>
    <w:p w14:paraId="672BD210" w14:textId="2E6BCBAD"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、基金管理人在不损害基金份额持有人权益的情况下可更改上述原则，但最迟应在新的原则实施前按规定在指定媒介上公告。</w:t>
      </w:r>
    </w:p>
    <w:p w14:paraId="1726975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（四）申购与赎回的程序</w:t>
      </w:r>
    </w:p>
    <w:p w14:paraId="3E89A5A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、申购与赎回申请的提出</w:t>
      </w:r>
    </w:p>
    <w:p w14:paraId="41A59DF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基金投资者须按销售机构规定的手续，在开放日的业务办理时间内提出申购或赎回的申请。</w:t>
      </w:r>
    </w:p>
    <w:p w14:paraId="09AAB8F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投资者申购本基金，须按销售机构规定的方式全额交付申购款项。</w:t>
      </w:r>
    </w:p>
    <w:p w14:paraId="7586D59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投资者提交赎回申请时，其在销售机构（网点）必须有足够的基金份额余额。</w:t>
      </w:r>
    </w:p>
    <w:p w14:paraId="50BBDC7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、申购与赎回申请的确认</w:t>
      </w:r>
    </w:p>
    <w:p w14:paraId="520685E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基金管理人应自身或要求注册登记机构在</w:t>
      </w:r>
      <w:r>
        <w:rPr>
          <w:rFonts w:ascii="Arial" w:hAnsi="Arial" w:cs="Arial" w:hint="eastAsia"/>
          <w:kern w:val="0"/>
          <w:szCs w:val="21"/>
        </w:rPr>
        <w:t>T+1</w:t>
      </w:r>
      <w:r>
        <w:rPr>
          <w:rFonts w:ascii="Arial" w:hAnsi="Arial" w:cs="Arial" w:hint="eastAsia"/>
          <w:kern w:val="0"/>
          <w:szCs w:val="21"/>
        </w:rPr>
        <w:t>日对基金投资者申购、赎回申请的有效性进行确认。投资者应在</w:t>
      </w:r>
      <w:r>
        <w:rPr>
          <w:rFonts w:ascii="Arial" w:hAnsi="Arial" w:cs="Arial" w:hint="eastAsia"/>
          <w:kern w:val="0"/>
          <w:szCs w:val="21"/>
        </w:rPr>
        <w:t>T+2</w:t>
      </w:r>
      <w:r>
        <w:rPr>
          <w:rFonts w:ascii="Arial" w:hAnsi="Arial" w:cs="Arial" w:hint="eastAsia"/>
          <w:kern w:val="0"/>
          <w:szCs w:val="21"/>
        </w:rPr>
        <w:t>日后（包括该日）及时到销售网点柜台或以销售机构规定的其他方式查询申请的确认情况。</w:t>
      </w:r>
    </w:p>
    <w:p w14:paraId="5F4B7DE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基金销售机构申购与赎回申请的受理并不代表该申请一定成功，而仅代表销售机构确实接收到申请。申购与赎回申请的确认以基金注册登记机构或基金管理人的确认结果为准。</w:t>
      </w:r>
    </w:p>
    <w:p w14:paraId="6E29ED5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、申购与赎回申请的款项支付</w:t>
      </w:r>
    </w:p>
    <w:p w14:paraId="59832E6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申购采用全额缴款方式，若申购不成功，申购款项将退回投资者账户。</w:t>
      </w:r>
    </w:p>
    <w:p w14:paraId="1898BCF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投资者赎回申请成交后，基金管理人应通过注册登记机构按规定向投资者支付赎回款项，赎回款项在自受理基金投资者有效赎回申请之日起不超过</w:t>
      </w:r>
      <w:r>
        <w:rPr>
          <w:rFonts w:ascii="Arial" w:hAnsi="Arial" w:cs="Arial" w:hint="eastAsia"/>
          <w:kern w:val="0"/>
          <w:szCs w:val="21"/>
        </w:rPr>
        <w:t>7</w:t>
      </w:r>
      <w:r>
        <w:rPr>
          <w:rFonts w:ascii="Arial" w:hAnsi="Arial" w:cs="Arial" w:hint="eastAsia"/>
          <w:kern w:val="0"/>
          <w:szCs w:val="21"/>
        </w:rPr>
        <w:t>个工作日的时间</w:t>
      </w:r>
      <w:proofErr w:type="gramStart"/>
      <w:r>
        <w:rPr>
          <w:rFonts w:ascii="Arial" w:hAnsi="Arial" w:cs="Arial" w:hint="eastAsia"/>
          <w:kern w:val="0"/>
          <w:szCs w:val="21"/>
        </w:rPr>
        <w:t>内划往投资者</w:t>
      </w:r>
      <w:proofErr w:type="gramEnd"/>
      <w:r>
        <w:rPr>
          <w:rFonts w:ascii="Arial" w:hAnsi="Arial" w:cs="Arial" w:hint="eastAsia"/>
          <w:kern w:val="0"/>
          <w:szCs w:val="21"/>
        </w:rPr>
        <w:t>银行账户。在发生巨额赎回时，赎回款项的支付办法按本基金合同和有关法律法规规定处理。</w:t>
      </w:r>
    </w:p>
    <w:p w14:paraId="3696913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基金管理人可以在法律法规允许的范围内，对上述业务办理时间进行调整，并提前公告。</w:t>
      </w:r>
    </w:p>
    <w:p w14:paraId="494D04D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（五）申购与赎回的数额限制</w:t>
      </w:r>
    </w:p>
    <w:p w14:paraId="2AC0094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、本基金申购和赎回的数额限制由基金管理人确定并在招募说明书中列示。</w:t>
      </w:r>
    </w:p>
    <w:p w14:paraId="243163E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说明书或相关公告。</w:t>
      </w:r>
    </w:p>
    <w:p w14:paraId="15D17C38" w14:textId="0C598598"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、基金管理人可根据市场情况，合理调整对申购金额和赎回份额的数量限制，基金管理人进行前述调整必须提前按规定在指定媒介上公告。</w:t>
      </w:r>
    </w:p>
    <w:p w14:paraId="20971CC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（六）申购份额与赎回金额的计算方式</w:t>
      </w:r>
    </w:p>
    <w:p w14:paraId="6037CD1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申购份额的计算方式：申购的有效份额为按实际确认的申购金额在扣除申购费用后，以申请当日基金份额净值为基准计算，各计算结果均按照四舍五入方法，保留小数点后两位，由此误差产生的损失由基金财产承担，产生的收益</w:t>
      </w:r>
      <w:proofErr w:type="gramStart"/>
      <w:r>
        <w:rPr>
          <w:rFonts w:ascii="Arial" w:hAnsi="Arial" w:cs="Arial" w:hint="eastAsia"/>
          <w:kern w:val="0"/>
          <w:szCs w:val="21"/>
        </w:rPr>
        <w:t>归基金</w:t>
      </w:r>
      <w:proofErr w:type="gramEnd"/>
      <w:r>
        <w:rPr>
          <w:rFonts w:ascii="Arial" w:hAnsi="Arial" w:cs="Arial" w:hint="eastAsia"/>
          <w:kern w:val="0"/>
          <w:szCs w:val="21"/>
        </w:rPr>
        <w:t>财产所有。</w:t>
      </w:r>
    </w:p>
    <w:p w14:paraId="57C4D50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基金申购份额具体的计算方法在招募说明书中列示。</w:t>
      </w:r>
    </w:p>
    <w:p w14:paraId="352D8BA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、赎回金额的计算方式：赎回金额为按实际确认的有效赎回份额乘以申请当日基金份额净值的金额，净赎回金额为赎回金额扣除赎回费用的金额，各计算结果均按照四舍五入方</w:t>
      </w:r>
      <w:r>
        <w:rPr>
          <w:rFonts w:ascii="Arial" w:hAnsi="Arial" w:cs="Arial" w:hint="eastAsia"/>
          <w:kern w:val="0"/>
          <w:szCs w:val="21"/>
        </w:rPr>
        <w:lastRenderedPageBreak/>
        <w:t>法，保留小数点后两位，由此误差产生的损失由基金财产承担，产生的收益</w:t>
      </w:r>
      <w:proofErr w:type="gramStart"/>
      <w:r>
        <w:rPr>
          <w:rFonts w:ascii="Arial" w:hAnsi="Arial" w:cs="Arial" w:hint="eastAsia"/>
          <w:kern w:val="0"/>
          <w:szCs w:val="21"/>
        </w:rPr>
        <w:t>归基金</w:t>
      </w:r>
      <w:proofErr w:type="gramEnd"/>
      <w:r>
        <w:rPr>
          <w:rFonts w:ascii="Arial" w:hAnsi="Arial" w:cs="Arial" w:hint="eastAsia"/>
          <w:kern w:val="0"/>
          <w:szCs w:val="21"/>
        </w:rPr>
        <w:t>财产所有。</w:t>
      </w:r>
    </w:p>
    <w:p w14:paraId="2F52F67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基金赎回金额具体的计算方法在招募说明书中列示。</w:t>
      </w:r>
    </w:p>
    <w:p w14:paraId="1CC5C53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（七）申购和赎回的费用及其用途</w:t>
      </w:r>
    </w:p>
    <w:p w14:paraId="6A2B993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w:t>
      </w:r>
      <w:r>
        <w:rPr>
          <w:rFonts w:ascii="Arial" w:hAnsi="Arial"/>
          <w:szCs w:val="21"/>
        </w:rPr>
        <w:t>本基金</w:t>
      </w:r>
      <w:r>
        <w:rPr>
          <w:rFonts w:ascii="Arial" w:hAnsi="Arial"/>
          <w:szCs w:val="21"/>
        </w:rPr>
        <w:t>A</w:t>
      </w:r>
      <w:r>
        <w:rPr>
          <w:rFonts w:ascii="Arial" w:hAnsi="Arial"/>
          <w:szCs w:val="21"/>
        </w:rPr>
        <w:t>类基金份额收取申购费用，且最高不超过申购金额的</w:t>
      </w:r>
      <w:r>
        <w:rPr>
          <w:rFonts w:ascii="Arial" w:hAnsi="Arial"/>
          <w:szCs w:val="21"/>
        </w:rPr>
        <w:t>5%</w:t>
      </w:r>
      <w:r>
        <w:rPr>
          <w:rFonts w:ascii="Arial" w:hAnsi="Arial"/>
          <w:szCs w:val="21"/>
        </w:rPr>
        <w:t>，</w:t>
      </w:r>
      <w:r>
        <w:rPr>
          <w:rFonts w:ascii="Arial" w:hAnsi="Arial"/>
          <w:szCs w:val="21"/>
        </w:rPr>
        <w:t>C</w:t>
      </w:r>
      <w:r>
        <w:rPr>
          <w:rFonts w:ascii="Arial" w:hAnsi="Arial"/>
          <w:szCs w:val="21"/>
        </w:rPr>
        <w:t>类基金份额不收取申购费用。</w:t>
      </w:r>
      <w:r>
        <w:rPr>
          <w:rFonts w:ascii="Arial" w:hAnsi="Arial" w:hint="eastAsia"/>
          <w:szCs w:val="21"/>
        </w:rPr>
        <w:t>本基金赎回费率最高不超过</w:t>
      </w:r>
      <w:r>
        <w:rPr>
          <w:rFonts w:ascii="Arial" w:hAnsi="Arial" w:hint="eastAsia"/>
          <w:szCs w:val="21"/>
        </w:rPr>
        <w:t>5</w:t>
      </w:r>
      <w:r>
        <w:rPr>
          <w:rFonts w:ascii="Arial" w:hAnsi="Arial"/>
          <w:szCs w:val="21"/>
        </w:rPr>
        <w:t>%</w:t>
      </w:r>
      <w:r>
        <w:rPr>
          <w:rFonts w:ascii="Arial" w:hAnsi="Arial" w:hint="eastAsia"/>
          <w:szCs w:val="21"/>
        </w:rPr>
        <w:t>。</w:t>
      </w:r>
    </w:p>
    <w:p w14:paraId="25A26CD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、本基金申购费率在招募说明书中载明。投资者在一天之内如有多笔申购，适用费率按单笔分别计算。</w:t>
      </w:r>
    </w:p>
    <w:p w14:paraId="63371A7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、本基金的赎回费率在招募说明书中载明。</w:t>
      </w:r>
    </w:p>
    <w:p w14:paraId="54006D8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、本基金的申购费用由申购人承担，主要用于本基金的市场推广、销售、注册登记等各项费用，不列入基金财产。</w:t>
      </w:r>
    </w:p>
    <w:p w14:paraId="2F76A36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本基金的赎回费用由基金份额持有人承担，其中，对持续持有期少于</w:t>
      </w:r>
      <w:r>
        <w:rPr>
          <w:rFonts w:ascii="Arial" w:hAnsi="Arial" w:cs="Arial" w:hint="eastAsia"/>
          <w:kern w:val="0"/>
          <w:szCs w:val="21"/>
        </w:rPr>
        <w:t>7</w:t>
      </w:r>
      <w:r>
        <w:rPr>
          <w:rFonts w:ascii="Arial" w:hAnsi="Arial" w:cs="Arial" w:hint="eastAsia"/>
          <w:kern w:val="0"/>
          <w:szCs w:val="21"/>
        </w:rPr>
        <w:t>日的投资者收取不低于</w:t>
      </w:r>
      <w:r>
        <w:rPr>
          <w:rFonts w:ascii="Arial" w:hAnsi="Arial" w:cs="Arial" w:hint="eastAsia"/>
          <w:kern w:val="0"/>
          <w:szCs w:val="21"/>
        </w:rPr>
        <w:t>1.5%</w:t>
      </w:r>
      <w:r>
        <w:rPr>
          <w:rFonts w:ascii="Arial" w:hAnsi="Arial" w:cs="Arial" w:hint="eastAsia"/>
          <w:kern w:val="0"/>
          <w:szCs w:val="21"/>
        </w:rPr>
        <w:t>的赎回费，并将上述赎回费全额计入基金财产，对其他</w:t>
      </w:r>
      <w:r>
        <w:rPr>
          <w:rFonts w:ascii="Arial" w:hAnsi="Arial" w:cs="Arial"/>
          <w:kern w:val="0"/>
          <w:szCs w:val="21"/>
        </w:rPr>
        <w:t>投资者收取的</w:t>
      </w:r>
      <w:r>
        <w:rPr>
          <w:rFonts w:ascii="Arial" w:hAnsi="Arial" w:cs="Arial" w:hint="eastAsia"/>
          <w:kern w:val="0"/>
          <w:szCs w:val="21"/>
        </w:rPr>
        <w:t>赎回费</w:t>
      </w:r>
      <w:r>
        <w:rPr>
          <w:rFonts w:ascii="Arial" w:hAnsi="Arial" w:cs="Arial"/>
          <w:kern w:val="0"/>
          <w:szCs w:val="21"/>
        </w:rPr>
        <w:t>中</w:t>
      </w:r>
      <w:r>
        <w:rPr>
          <w:rFonts w:ascii="Arial" w:hAnsi="Arial" w:cs="Arial" w:hint="eastAsia"/>
          <w:kern w:val="0"/>
          <w:szCs w:val="21"/>
        </w:rPr>
        <w:t>不低于</w:t>
      </w:r>
      <w:r>
        <w:rPr>
          <w:rFonts w:ascii="Arial" w:hAnsi="Arial" w:cs="Arial" w:hint="eastAsia"/>
          <w:kern w:val="0"/>
          <w:szCs w:val="21"/>
        </w:rPr>
        <w:t>25%</w:t>
      </w:r>
      <w:r>
        <w:rPr>
          <w:rFonts w:ascii="Arial" w:hAnsi="Arial" w:cs="Arial" w:hint="eastAsia"/>
          <w:kern w:val="0"/>
          <w:szCs w:val="21"/>
        </w:rPr>
        <w:t>的部分归入基金财产（具体比例见招募说明书），其余部分用于支付注册登记费等相关手续费。</w:t>
      </w:r>
    </w:p>
    <w:p w14:paraId="75671AE0" w14:textId="378D97AE"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、基金管理人可以在法律法规和本基金合同规定范围内调整申购费率和调低赎回费率。费率如发生变更，基金管理人应在调整实施前按规定在指定媒介上公告。</w:t>
      </w:r>
    </w:p>
    <w:p w14:paraId="0F7F04A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基金管理人可以在不违背法律法规规定及基金合同约定的情形下根据市场情况制定基金促销计划，针对特定交易方式（如网上交易等）等进行基金交易的投资者定期或不定期地开展基金促销活动。在基金促销活动期间，按相关监管部门要求履行相关手续后基金管理人可以适当调低基金申购费率和基金赎回费率。</w:t>
      </w:r>
    </w:p>
    <w:p w14:paraId="16E154B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（八）申购与赎回的注册登记</w:t>
      </w:r>
    </w:p>
    <w:p w14:paraId="5D7B4A6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、经基金销售机构同意，基金投资者提出的申购和赎回申请，在基金管理人规定的时间之前可以撤销。</w:t>
      </w:r>
    </w:p>
    <w:p w14:paraId="5DE2BA3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、投资者</w:t>
      </w:r>
      <w:r>
        <w:rPr>
          <w:rFonts w:ascii="Arial" w:hAnsi="Arial" w:cs="Arial" w:hint="eastAsia"/>
          <w:kern w:val="0"/>
          <w:szCs w:val="21"/>
        </w:rPr>
        <w:t>T</w:t>
      </w:r>
      <w:r>
        <w:rPr>
          <w:rFonts w:ascii="Arial" w:hAnsi="Arial" w:cs="Arial" w:hint="eastAsia"/>
          <w:kern w:val="0"/>
          <w:szCs w:val="21"/>
        </w:rPr>
        <w:t>日申购基金成功后，基金注册登记机构在</w:t>
      </w:r>
      <w:r>
        <w:rPr>
          <w:rFonts w:ascii="Arial" w:hAnsi="Arial" w:cs="Arial" w:hint="eastAsia"/>
          <w:kern w:val="0"/>
          <w:szCs w:val="21"/>
        </w:rPr>
        <w:t>T</w:t>
      </w: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日为投资者增加权益并办理注册登记手续，投资者自</w:t>
      </w:r>
      <w:r>
        <w:rPr>
          <w:rFonts w:ascii="Arial" w:hAnsi="Arial" w:cs="Arial" w:hint="eastAsia"/>
          <w:kern w:val="0"/>
          <w:szCs w:val="21"/>
        </w:rPr>
        <w:t>T</w:t>
      </w: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日起有权赎回该部分基金份额。</w:t>
      </w:r>
    </w:p>
    <w:p w14:paraId="5E0EDDE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、投资者</w:t>
      </w:r>
      <w:r>
        <w:rPr>
          <w:rFonts w:ascii="Arial" w:hAnsi="Arial" w:cs="Arial" w:hint="eastAsia"/>
          <w:kern w:val="0"/>
          <w:szCs w:val="21"/>
        </w:rPr>
        <w:t>T</w:t>
      </w:r>
      <w:r>
        <w:rPr>
          <w:rFonts w:ascii="Arial" w:hAnsi="Arial" w:cs="Arial" w:hint="eastAsia"/>
          <w:kern w:val="0"/>
          <w:szCs w:val="21"/>
        </w:rPr>
        <w:t>日赎回基金成功后，基金注册登记机构在</w:t>
      </w:r>
      <w:r>
        <w:rPr>
          <w:rFonts w:ascii="Arial" w:hAnsi="Arial" w:cs="Arial" w:hint="eastAsia"/>
          <w:kern w:val="0"/>
          <w:szCs w:val="21"/>
        </w:rPr>
        <w:t>T</w:t>
      </w: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日为投资者扣除权益并办理相应的注册登记手续。</w:t>
      </w:r>
    </w:p>
    <w:p w14:paraId="7B637513" w14:textId="35519542"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、基金管理人可在法律法规允许的范围内，对上述注册登记办理时间进行调整，并最迟于开始实施前按规定在指定媒介上公告。</w:t>
      </w:r>
    </w:p>
    <w:p w14:paraId="318F66C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（九）巨额赎回的认定及处理方式</w:t>
      </w:r>
    </w:p>
    <w:p w14:paraId="6566599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、巨额赎回的认定</w:t>
      </w:r>
    </w:p>
    <w:p w14:paraId="2289229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单个开放日中，本基金的基金份额净赎回申请（赎回</w:t>
      </w:r>
      <w:proofErr w:type="gramStart"/>
      <w:r>
        <w:rPr>
          <w:rFonts w:ascii="Arial" w:hAnsi="Arial" w:cs="Arial" w:hint="eastAsia"/>
          <w:kern w:val="0"/>
          <w:szCs w:val="21"/>
        </w:rPr>
        <w:t>申请总</w:t>
      </w:r>
      <w:proofErr w:type="gramEnd"/>
      <w:r>
        <w:rPr>
          <w:rFonts w:ascii="Arial" w:hAnsi="Arial" w:cs="Arial" w:hint="eastAsia"/>
          <w:kern w:val="0"/>
          <w:szCs w:val="21"/>
        </w:rPr>
        <w:t>份额扣除申购总份额后的余额）与净转出申请（转出</w:t>
      </w:r>
      <w:proofErr w:type="gramStart"/>
      <w:r>
        <w:rPr>
          <w:rFonts w:ascii="Arial" w:hAnsi="Arial" w:cs="Arial" w:hint="eastAsia"/>
          <w:kern w:val="0"/>
          <w:szCs w:val="21"/>
        </w:rPr>
        <w:t>申请总</w:t>
      </w:r>
      <w:proofErr w:type="gramEnd"/>
      <w:r>
        <w:rPr>
          <w:rFonts w:ascii="Arial" w:hAnsi="Arial" w:cs="Arial" w:hint="eastAsia"/>
          <w:kern w:val="0"/>
          <w:szCs w:val="21"/>
        </w:rPr>
        <w:t>份额扣除转入</w:t>
      </w:r>
      <w:proofErr w:type="gramStart"/>
      <w:r>
        <w:rPr>
          <w:rFonts w:ascii="Arial" w:hAnsi="Arial" w:cs="Arial" w:hint="eastAsia"/>
          <w:kern w:val="0"/>
          <w:szCs w:val="21"/>
        </w:rPr>
        <w:t>申请总</w:t>
      </w:r>
      <w:proofErr w:type="gramEnd"/>
      <w:r>
        <w:rPr>
          <w:rFonts w:ascii="Arial" w:hAnsi="Arial" w:cs="Arial" w:hint="eastAsia"/>
          <w:kern w:val="0"/>
          <w:szCs w:val="21"/>
        </w:rPr>
        <w:t>份额后的余额）之和超过上一日基金总份额的</w:t>
      </w:r>
      <w:r>
        <w:rPr>
          <w:rFonts w:ascii="Arial" w:hAnsi="Arial" w:cs="Arial" w:hint="eastAsia"/>
          <w:kern w:val="0"/>
          <w:szCs w:val="21"/>
        </w:rPr>
        <w:t>10%</w:t>
      </w:r>
      <w:r>
        <w:rPr>
          <w:rFonts w:ascii="Arial" w:hAnsi="Arial" w:cs="Arial" w:hint="eastAsia"/>
          <w:kern w:val="0"/>
          <w:szCs w:val="21"/>
        </w:rPr>
        <w:t>，为巨额赎回。</w:t>
      </w:r>
    </w:p>
    <w:p w14:paraId="0201086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2</w:t>
      </w:r>
      <w:r>
        <w:rPr>
          <w:rFonts w:ascii="Arial" w:hAnsi="Arial" w:cs="Arial" w:hint="eastAsia"/>
          <w:kern w:val="0"/>
          <w:szCs w:val="21"/>
        </w:rPr>
        <w:t>、巨额赎回的处理方式</w:t>
      </w:r>
    </w:p>
    <w:p w14:paraId="7CABE91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出现巨额赎回时，基金管理人可以根据本基金当时的资产组合状况决定接受全额赎回或部分延期赎回。</w:t>
      </w:r>
    </w:p>
    <w:p w14:paraId="6A1A5F3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）接受全额赎回：当基金管理人认为有能力兑付投资者的全部赎回申请时，按正常赎回程序执行。</w:t>
      </w:r>
    </w:p>
    <w:p w14:paraId="10C2B5F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）部分延期赎回：当基金管理人认为兑付投资者的赎回申请有困难，或认为兑付投资者的赎回申请进行的资产变现可能使基金资产净值发生较大波动时，基金管理人在当日接受赎回比例不低于上一日基金总份额</w:t>
      </w:r>
      <w:r>
        <w:rPr>
          <w:rFonts w:ascii="Arial" w:hAnsi="Arial" w:cs="Arial" w:hint="eastAsia"/>
          <w:kern w:val="0"/>
          <w:szCs w:val="21"/>
        </w:rPr>
        <w:t>10</w:t>
      </w:r>
      <w:r>
        <w:rPr>
          <w:rFonts w:ascii="Arial" w:hAnsi="Arial" w:cs="Arial" w:hint="eastAsia"/>
          <w:kern w:val="0"/>
          <w:szCs w:val="21"/>
        </w:rPr>
        <w:t>％的前提下，对其余赎回申请延期办理。对于当日的赎回申请，应当按单个基金份额持有人申请赎回份额占当日申请赎回总份额的比例，确定该基金份额持有人当日受理的赎回份额；未受理部分除投资者在提交赎回申请时选择将当日未获受理部分予以撤销者外，延迟至下一开放日办理，赎回价格为下一个开放日的价格。转入下一开放日的赎回申请不享有赎回优先权，以此类推，直到全部赎回为止。</w:t>
      </w:r>
    </w:p>
    <w:p w14:paraId="18CC86E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）本基金发生巨额赎回时，对于单个基金份额持有人当日赎回申请超过上一开放日基金总份额</w:t>
      </w:r>
      <w:r>
        <w:rPr>
          <w:rFonts w:ascii="Arial" w:hAnsi="Arial" w:cs="Arial" w:hint="eastAsia"/>
          <w:kern w:val="0"/>
          <w:szCs w:val="21"/>
        </w:rPr>
        <w:t>10%</w:t>
      </w:r>
      <w:r>
        <w:rPr>
          <w:rFonts w:ascii="Arial" w:hAnsi="Arial" w:cs="Arial" w:hint="eastAsia"/>
          <w:kern w:val="0"/>
          <w:szCs w:val="21"/>
        </w:rPr>
        <w:t>以上的部分，基金管理人有权对其进行延期办理（被延期赎回的赎回申请，将自动转入下一个开放日继续赎回，延期的赎回申请与下一开放日赎回申请一并处理，无优先权</w:t>
      </w:r>
      <w:proofErr w:type="gramStart"/>
      <w:r>
        <w:rPr>
          <w:rFonts w:ascii="Arial" w:hAnsi="Arial" w:cs="Arial" w:hint="eastAsia"/>
          <w:kern w:val="0"/>
          <w:szCs w:val="21"/>
        </w:rPr>
        <w:t>并以下</w:t>
      </w:r>
      <w:proofErr w:type="gramEnd"/>
      <w:r>
        <w:rPr>
          <w:rFonts w:ascii="Arial" w:hAnsi="Arial" w:cs="Arial" w:hint="eastAsia"/>
          <w:kern w:val="0"/>
          <w:szCs w:val="21"/>
        </w:rPr>
        <w:t>一</w:t>
      </w:r>
      <w:proofErr w:type="gramStart"/>
      <w:r>
        <w:rPr>
          <w:rFonts w:ascii="Arial" w:hAnsi="Arial" w:cs="Arial" w:hint="eastAsia"/>
          <w:kern w:val="0"/>
          <w:szCs w:val="21"/>
        </w:rPr>
        <w:t>开放日某一</w:t>
      </w:r>
      <w:r>
        <w:rPr>
          <w:rFonts w:ascii="Arial" w:hAnsi="Arial" w:cs="Arial"/>
          <w:kern w:val="0"/>
          <w:szCs w:val="21"/>
        </w:rPr>
        <w:t>类</w:t>
      </w:r>
      <w:proofErr w:type="gramEnd"/>
      <w:r>
        <w:rPr>
          <w:rFonts w:ascii="Arial" w:hAnsi="Arial" w:cs="Arial"/>
          <w:kern w:val="0"/>
          <w:szCs w:val="21"/>
        </w:rPr>
        <w:t>别</w:t>
      </w:r>
      <w:r>
        <w:rPr>
          <w:rFonts w:ascii="Arial" w:hAnsi="Arial" w:cs="Arial" w:hint="eastAsia"/>
          <w:kern w:val="0"/>
          <w:szCs w:val="21"/>
        </w:rPr>
        <w:t>的基金份额净值为基础计算赎回金额，以此类推，直到全部赎回为止）；对于该基金份额持有人申请赎回的份额中未超过上一开放日基金总份额</w:t>
      </w:r>
      <w:r>
        <w:rPr>
          <w:rFonts w:ascii="Arial" w:hAnsi="Arial" w:cs="Arial" w:hint="eastAsia"/>
          <w:kern w:val="0"/>
          <w:szCs w:val="21"/>
        </w:rPr>
        <w:t>10</w:t>
      </w:r>
      <w:r>
        <w:rPr>
          <w:rFonts w:ascii="Arial" w:hAnsi="Arial" w:cs="Arial" w:hint="eastAsia"/>
          <w:kern w:val="0"/>
          <w:szCs w:val="21"/>
        </w:rPr>
        <w:t>％的部分，基金管理人根据前段“（</w:t>
      </w:r>
      <w:r>
        <w:rPr>
          <w:rFonts w:ascii="Arial" w:hAnsi="Arial" w:cs="Arial" w:hint="eastAsia"/>
          <w:kern w:val="0"/>
          <w:szCs w:val="21"/>
        </w:rPr>
        <w:t>1</w:t>
      </w:r>
      <w:r>
        <w:rPr>
          <w:rFonts w:ascii="Arial" w:hAnsi="Arial" w:cs="Arial" w:hint="eastAsia"/>
          <w:kern w:val="0"/>
          <w:szCs w:val="21"/>
        </w:rPr>
        <w:t>）接受全额赎回”或“（</w:t>
      </w:r>
      <w:r>
        <w:rPr>
          <w:rFonts w:ascii="Arial" w:hAnsi="Arial" w:cs="Arial" w:hint="eastAsia"/>
          <w:kern w:val="0"/>
          <w:szCs w:val="21"/>
        </w:rPr>
        <w:t>2</w:t>
      </w:r>
      <w:r>
        <w:rPr>
          <w:rFonts w:ascii="Arial" w:hAnsi="Arial" w:cs="Arial" w:hint="eastAsia"/>
          <w:kern w:val="0"/>
          <w:szCs w:val="21"/>
        </w:rPr>
        <w:t>）部分延期赎回”的约定方式与其他基金份额持有人的赎回申请一并办理。但是，如该持有人在提交赎回申请时选择取消赎回，则其当日未获受理的部分赎回申请将被撤销。</w:t>
      </w:r>
    </w:p>
    <w:p w14:paraId="7960E7AB" w14:textId="22AB2963"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4</w:t>
      </w:r>
      <w:r>
        <w:rPr>
          <w:rFonts w:ascii="Arial" w:hAnsi="Arial" w:cs="Arial" w:hint="eastAsia"/>
          <w:kern w:val="0"/>
          <w:szCs w:val="21"/>
        </w:rPr>
        <w:t>）当发生巨额赎回并延期办理时，基金管理人应当通过邮寄、传真或招募说明书规定的其他方式，在</w:t>
      </w:r>
      <w:r>
        <w:rPr>
          <w:rFonts w:ascii="Arial" w:hAnsi="Arial" w:cs="Arial" w:hint="eastAsia"/>
          <w:kern w:val="0"/>
          <w:szCs w:val="21"/>
        </w:rPr>
        <w:t>3</w:t>
      </w:r>
      <w:r>
        <w:rPr>
          <w:rFonts w:ascii="Arial" w:hAnsi="Arial" w:cs="Arial" w:hint="eastAsia"/>
          <w:kern w:val="0"/>
          <w:szCs w:val="21"/>
        </w:rPr>
        <w:t>个工作日内通知基金份额持有人，说明有关处理方法，并在</w:t>
      </w:r>
      <w:r>
        <w:rPr>
          <w:rFonts w:ascii="Arial" w:hAnsi="Arial" w:cs="Arial" w:hint="eastAsia"/>
          <w:kern w:val="0"/>
          <w:szCs w:val="21"/>
        </w:rPr>
        <w:t>2</w:t>
      </w:r>
      <w:r>
        <w:rPr>
          <w:rFonts w:ascii="Arial" w:hAnsi="Arial" w:cs="Arial" w:hint="eastAsia"/>
          <w:kern w:val="0"/>
          <w:szCs w:val="21"/>
        </w:rPr>
        <w:t>日内在在指定媒体予以上公告。</w:t>
      </w:r>
    </w:p>
    <w:p w14:paraId="15A48675" w14:textId="1B5F7915"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5</w:t>
      </w:r>
      <w:r>
        <w:rPr>
          <w:rFonts w:ascii="Arial" w:hAnsi="Arial" w:cs="Arial" w:hint="eastAsia"/>
          <w:kern w:val="0"/>
          <w:szCs w:val="21"/>
        </w:rPr>
        <w:t>）暂停接受和延缓支付：本基金连续</w:t>
      </w:r>
      <w:r>
        <w:rPr>
          <w:rFonts w:ascii="Arial" w:hAnsi="Arial" w:cs="Arial" w:hint="eastAsia"/>
          <w:kern w:val="0"/>
          <w:szCs w:val="21"/>
        </w:rPr>
        <w:t>2</w:t>
      </w:r>
      <w:r>
        <w:rPr>
          <w:rFonts w:ascii="Arial" w:hAnsi="Arial" w:cs="Arial" w:hint="eastAsia"/>
          <w:kern w:val="0"/>
          <w:szCs w:val="21"/>
        </w:rPr>
        <w:t>个开放日以上发生巨额赎回，如基金管理人认为有必要，可暂停接受赎回申请；已经接受的赎回申请可以延缓支付赎回款项，但延缓期限不得超过</w:t>
      </w:r>
      <w:r>
        <w:rPr>
          <w:rFonts w:ascii="Arial" w:hAnsi="Arial" w:cs="Arial" w:hint="eastAsia"/>
          <w:kern w:val="0"/>
          <w:szCs w:val="21"/>
        </w:rPr>
        <w:t>20</w:t>
      </w:r>
      <w:r>
        <w:rPr>
          <w:rFonts w:ascii="Arial" w:hAnsi="Arial" w:cs="Arial" w:hint="eastAsia"/>
          <w:kern w:val="0"/>
          <w:szCs w:val="21"/>
        </w:rPr>
        <w:t>个工作日，并应当在指定媒介上公告。</w:t>
      </w:r>
    </w:p>
    <w:p w14:paraId="63C6E961" w14:textId="38B4E45C"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（十）拒绝或暂停申购的情形及处理</w:t>
      </w:r>
    </w:p>
    <w:p w14:paraId="60F414E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、在如下情况下，基金管理人可以拒绝或暂停接受投资者的申购申请：</w:t>
      </w:r>
    </w:p>
    <w:p w14:paraId="0ED242D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）因不可抗力导致基金管理人无法受理投资者的申购申请；</w:t>
      </w:r>
    </w:p>
    <w:p w14:paraId="335A63E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）证券交易场所交易时间非正常停市，导致基金管理人无法计算当日基金资产净值；</w:t>
      </w:r>
    </w:p>
    <w:p w14:paraId="2DB696A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）发生本基金合同规定的暂停基金财产估值情况；</w:t>
      </w:r>
    </w:p>
    <w:p w14:paraId="50BECF2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）基金财产规模过大，使基金管理人无法找到合适的投资品种，或其他可能对基金业绩产生负面影响，从而损害现有基金份额持有人的利益的情形；</w:t>
      </w:r>
    </w:p>
    <w:p w14:paraId="431CD08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）本基金的资产组合中的重要部分发生暂停交易或其他重大事件，继续接受申购可</w:t>
      </w:r>
      <w:r>
        <w:rPr>
          <w:rFonts w:ascii="Arial" w:hAnsi="Arial" w:cs="Arial" w:hint="eastAsia"/>
          <w:kern w:val="0"/>
          <w:szCs w:val="21"/>
        </w:rPr>
        <w:lastRenderedPageBreak/>
        <w:t>能会影响或损害基金份额持有人利益时；</w:t>
      </w:r>
    </w:p>
    <w:p w14:paraId="43786C9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）基金管理人、基金托管人、基金销售机构或注册登记机构因技术故障或异常情况导致基金销售系统或基金注册登记系统或基金会计系统无法正常运行；</w:t>
      </w:r>
    </w:p>
    <w:p w14:paraId="7DEB84E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）目标</w:t>
      </w:r>
      <w:r>
        <w:rPr>
          <w:rFonts w:ascii="Arial" w:hAnsi="Arial" w:cs="Arial" w:hint="eastAsia"/>
          <w:kern w:val="0"/>
          <w:szCs w:val="21"/>
        </w:rPr>
        <w:t>ETF</w:t>
      </w:r>
      <w:r>
        <w:rPr>
          <w:rFonts w:ascii="Arial" w:hAnsi="Arial" w:cs="Arial" w:hint="eastAsia"/>
          <w:kern w:val="0"/>
          <w:szCs w:val="21"/>
        </w:rPr>
        <w:t>暂停申购、暂停上市或二级市场交易停牌，基金管理人认为有必要暂停本基金申购的情形；</w:t>
      </w:r>
    </w:p>
    <w:p w14:paraId="4F56386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）基金管理人认为会有损于现有基金份额持有人利益或对存量基金份额持有人利益构成潜在重大不利影响的某些或某笔申购；</w:t>
      </w:r>
    </w:p>
    <w:p w14:paraId="39BFBBE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9</w:t>
      </w:r>
      <w:r>
        <w:rPr>
          <w:rFonts w:ascii="Arial" w:hAnsi="Arial" w:cs="Arial" w:hint="eastAsia"/>
          <w:kern w:val="0"/>
          <w:szCs w:val="21"/>
        </w:rPr>
        <w:t>）当前一估值日基金资产净值</w:t>
      </w:r>
      <w:r>
        <w:rPr>
          <w:rFonts w:ascii="Arial" w:hAnsi="Arial" w:cs="Arial" w:hint="eastAsia"/>
          <w:kern w:val="0"/>
          <w:szCs w:val="21"/>
        </w:rPr>
        <w:t>50%</w:t>
      </w:r>
      <w:r>
        <w:rPr>
          <w:rFonts w:ascii="Arial" w:hAnsi="Arial" w:cs="Arial" w:hint="eastAsia"/>
          <w:kern w:val="0"/>
          <w:szCs w:val="21"/>
        </w:rPr>
        <w:t>以上的资产出现无可参考的活跃市场价格且采用估值技术</w:t>
      </w:r>
      <w:proofErr w:type="gramStart"/>
      <w:r>
        <w:rPr>
          <w:rFonts w:ascii="Arial" w:hAnsi="Arial" w:cs="Arial" w:hint="eastAsia"/>
          <w:kern w:val="0"/>
          <w:szCs w:val="21"/>
        </w:rPr>
        <w:t>仍导致</w:t>
      </w:r>
      <w:proofErr w:type="gramEnd"/>
      <w:r>
        <w:rPr>
          <w:rFonts w:ascii="Arial" w:hAnsi="Arial" w:cs="Arial" w:hint="eastAsia"/>
          <w:kern w:val="0"/>
          <w:szCs w:val="21"/>
        </w:rPr>
        <w:t>公允价值存在重大不确定性时，经与基金托管人协商确认后，基金管理人应当暂停接受基金申购申请；</w:t>
      </w:r>
    </w:p>
    <w:p w14:paraId="0B97CAD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10</w:t>
      </w:r>
      <w:r>
        <w:rPr>
          <w:rFonts w:ascii="Arial" w:hAnsi="Arial" w:cs="Arial" w:hint="eastAsia"/>
          <w:kern w:val="0"/>
          <w:szCs w:val="21"/>
        </w:rPr>
        <w:t>）法律法规规定或经中国证监会认定的其他情形。</w:t>
      </w:r>
    </w:p>
    <w:p w14:paraId="594D1F4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基金管理人决定拒绝或暂停接受某些投资者的申购申请时，申购款项将退回投资者账户。发生上述除第（</w:t>
      </w:r>
      <w:r>
        <w:rPr>
          <w:rFonts w:ascii="Arial" w:hAnsi="Arial" w:cs="Arial" w:hint="eastAsia"/>
          <w:kern w:val="0"/>
          <w:szCs w:val="21"/>
        </w:rPr>
        <w:t>8</w:t>
      </w:r>
      <w:r>
        <w:rPr>
          <w:rFonts w:ascii="Arial" w:hAnsi="Arial" w:cs="Arial" w:hint="eastAsia"/>
          <w:kern w:val="0"/>
          <w:szCs w:val="21"/>
        </w:rPr>
        <w:t>）项以外的其他情形之一</w:t>
      </w:r>
      <w:proofErr w:type="gramStart"/>
      <w:r>
        <w:rPr>
          <w:rFonts w:ascii="Arial" w:hAnsi="Arial" w:cs="Arial" w:hint="eastAsia"/>
          <w:kern w:val="0"/>
          <w:szCs w:val="21"/>
        </w:rPr>
        <w:t>且基金</w:t>
      </w:r>
      <w:proofErr w:type="gramEnd"/>
      <w:r>
        <w:rPr>
          <w:rFonts w:ascii="Arial" w:hAnsi="Arial" w:cs="Arial" w:hint="eastAsia"/>
          <w:kern w:val="0"/>
          <w:szCs w:val="21"/>
        </w:rPr>
        <w:t>管理人决定暂停申购时，基金管理人决定暂停接受申购申请时，应当依法公告。在暂停申购的情形消除时，基金管理人应及时恢复申购业务的办理并依法公告。</w:t>
      </w:r>
    </w:p>
    <w:p w14:paraId="7EB5AEB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、在以下情况下，基金管理人可以暂停接受投资者的赎回申请：</w:t>
      </w:r>
    </w:p>
    <w:p w14:paraId="1AFCD76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）因不可抗力导致基金管理人无法支付赎回款项；</w:t>
      </w:r>
    </w:p>
    <w:p w14:paraId="70E18A4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）证券交易场所交易时间非正常停市，导致基金管理人无法计算当日基金资产净值；</w:t>
      </w:r>
    </w:p>
    <w:p w14:paraId="17828E2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）基金连续发生巨额赎回，根据本基金合同规定，可以暂停接受赎回申请的情况；</w:t>
      </w:r>
    </w:p>
    <w:p w14:paraId="069519C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）发生本基金合同规定的暂停基金财产估值的情况；</w:t>
      </w:r>
    </w:p>
    <w:p w14:paraId="210BDC4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）本基金的资产组合中的重要部分发生暂停交易或其他重大事件，继续接受赎回可能会影响或损害基金份额持有人利益时；</w:t>
      </w:r>
    </w:p>
    <w:p w14:paraId="5F0EBE4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）目标</w:t>
      </w:r>
      <w:r>
        <w:rPr>
          <w:rFonts w:ascii="Arial" w:hAnsi="Arial" w:cs="Arial" w:hint="eastAsia"/>
          <w:kern w:val="0"/>
          <w:szCs w:val="21"/>
        </w:rPr>
        <w:t>ETF</w:t>
      </w:r>
      <w:r>
        <w:rPr>
          <w:rFonts w:ascii="Arial" w:hAnsi="Arial" w:cs="Arial" w:hint="eastAsia"/>
          <w:kern w:val="0"/>
          <w:szCs w:val="21"/>
        </w:rPr>
        <w:t>暂停赎回、暂停上市或二级市场交易停牌，基金管理人认为有必要暂停本基金赎回的情形；</w:t>
      </w:r>
    </w:p>
    <w:p w14:paraId="53A76B6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）当前一估值日基金资产净值</w:t>
      </w:r>
      <w:r>
        <w:rPr>
          <w:rFonts w:ascii="Arial" w:hAnsi="Arial" w:cs="Arial" w:hint="eastAsia"/>
          <w:kern w:val="0"/>
          <w:szCs w:val="21"/>
        </w:rPr>
        <w:t>50%</w:t>
      </w:r>
      <w:r>
        <w:rPr>
          <w:rFonts w:ascii="Arial" w:hAnsi="Arial" w:cs="Arial" w:hint="eastAsia"/>
          <w:kern w:val="0"/>
          <w:szCs w:val="21"/>
        </w:rPr>
        <w:t>以上的资产出现无可参考的活跃市场价格且采用估值技术</w:t>
      </w:r>
      <w:proofErr w:type="gramStart"/>
      <w:r>
        <w:rPr>
          <w:rFonts w:ascii="Arial" w:hAnsi="Arial" w:cs="Arial" w:hint="eastAsia"/>
          <w:kern w:val="0"/>
          <w:szCs w:val="21"/>
        </w:rPr>
        <w:t>仍导致</w:t>
      </w:r>
      <w:proofErr w:type="gramEnd"/>
      <w:r>
        <w:rPr>
          <w:rFonts w:ascii="Arial" w:hAnsi="Arial" w:cs="Arial" w:hint="eastAsia"/>
          <w:kern w:val="0"/>
          <w:szCs w:val="21"/>
        </w:rPr>
        <w:t>公允价值存在重大不确定性时，经与基金托管人协商确认后，基金管理人应当延缓支付赎回款项或暂停接受赎回申请；</w:t>
      </w:r>
    </w:p>
    <w:p w14:paraId="58CF7F8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）法律法规规定或经中国证监会认定的其他情形。</w:t>
      </w:r>
    </w:p>
    <w:p w14:paraId="2B5BE0E4" w14:textId="0EA96D13"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发生上述情形之一</w:t>
      </w:r>
      <w:proofErr w:type="gramStart"/>
      <w:r>
        <w:rPr>
          <w:rFonts w:ascii="Arial" w:hAnsi="Arial" w:cs="Arial" w:hint="eastAsia"/>
          <w:kern w:val="0"/>
          <w:szCs w:val="21"/>
        </w:rPr>
        <w:t>且基金</w:t>
      </w:r>
      <w:proofErr w:type="gramEnd"/>
      <w:r>
        <w:rPr>
          <w:rFonts w:ascii="Arial" w:hAnsi="Arial" w:cs="Arial" w:hint="eastAsia"/>
          <w:kern w:val="0"/>
          <w:szCs w:val="21"/>
        </w:rPr>
        <w:t>管理人决定暂停赎回的，基金管理人应按规定向中国证监会备案，并及时公告。除非发生巨额赎回，已接受的赎回申请，基金管理人应当足额支付。</w:t>
      </w:r>
    </w:p>
    <w:p w14:paraId="7ECF60E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在暂停赎回的情况消除时，基金管理人应及时恢复赎回业务的办理并依法公告。</w:t>
      </w:r>
    </w:p>
    <w:p w14:paraId="74C60C42" w14:textId="2A84665A"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、暂停基金的申购、赎回，基金管理人应按规定公告。</w:t>
      </w:r>
    </w:p>
    <w:p w14:paraId="6CD1279A" w14:textId="34574C55"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、暂停申购或赎回期间结束，基金重新开放时，基金管理人应依法公告。</w:t>
      </w:r>
    </w:p>
    <w:p w14:paraId="2EE920E1" w14:textId="000B06C3"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）如果发生暂停的时间为一天，基金管理人将按规定在指定媒介，刊登基金重新开</w:t>
      </w:r>
      <w:r>
        <w:rPr>
          <w:rFonts w:ascii="Arial" w:hAnsi="Arial" w:cs="Arial" w:hint="eastAsia"/>
          <w:kern w:val="0"/>
          <w:szCs w:val="21"/>
        </w:rPr>
        <w:lastRenderedPageBreak/>
        <w:t>放申购或赎回的公告，并公告最近一个开放日的基金份额净值。</w:t>
      </w:r>
    </w:p>
    <w:p w14:paraId="409F1ACD" w14:textId="55D0C55C"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如果发生暂停的时间超过一天但少于两周，暂停结束，基金重新开放申购或赎回时，基金管理人将按规定在指定媒介，刊登基金重新开放申购或赎回的公告，并在重新开放申购或赎回日公告最近一个开放日的基金份额净值。</w:t>
      </w:r>
    </w:p>
    <w:p w14:paraId="32D3F3C1" w14:textId="6814E032"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如果发生暂停的时间超过两周，暂停期间，基金管理人应每两周至少重复刊登暂停公告一次；当连续暂停时间超过两个月时，可对重复刊登暂停公告的频率进行调整。暂停结束，基金重新开放申购或赎回时，基金管理人应按规定在指定媒介连续刊登基金重新开放申购或赎回的公告，并在重新开放申购或赎回日公告最近一个开放日的基金份额净值。</w:t>
      </w:r>
    </w:p>
    <w:p w14:paraId="083AFF5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（十一）基金转换</w:t>
      </w:r>
    </w:p>
    <w:p w14:paraId="5A6195D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可以根据相关法律法规以及本基金合同的规定，在条件成熟的情况下提供本基金与基金管理人管理的其他基金之间的转换服务。基金转换可以收取一定的转换费，相关规则由基金管理人届时根据相关法律法规及本基金合同的规定制定并公告。</w:t>
      </w:r>
      <w:bookmarkStart w:id="22" w:name="_Toc107116886"/>
    </w:p>
    <w:p w14:paraId="6CBE9459" w14:textId="77777777" w:rsidR="00ED45CB" w:rsidRDefault="00703CCA">
      <w:pPr>
        <w:adjustRightInd w:val="0"/>
        <w:snapToGrid w:val="0"/>
        <w:spacing w:line="360" w:lineRule="auto"/>
        <w:ind w:firstLineChars="200" w:firstLine="420"/>
        <w:rPr>
          <w:rFonts w:ascii="宋体" w:hAnsi="宋体"/>
          <w:kern w:val="0"/>
          <w:szCs w:val="21"/>
        </w:rPr>
      </w:pPr>
      <w:r>
        <w:rPr>
          <w:rFonts w:ascii="Arial" w:hAnsi="Arial" w:cs="Arial"/>
          <w:kern w:val="0"/>
          <w:szCs w:val="21"/>
        </w:rPr>
        <w:br w:type="page"/>
      </w:r>
    </w:p>
    <w:p w14:paraId="664E1776"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23" w:name="_Toc344308267"/>
      <w:bookmarkStart w:id="24" w:name="_Toc122336545"/>
      <w:r>
        <w:rPr>
          <w:rFonts w:ascii="宋体" w:eastAsia="宋体" w:hAnsi="宋体" w:hint="eastAsia"/>
          <w:sz w:val="24"/>
          <w:szCs w:val="24"/>
        </w:rPr>
        <w:t>七、基金的</w:t>
      </w:r>
      <w:proofErr w:type="gramStart"/>
      <w:r>
        <w:rPr>
          <w:rFonts w:ascii="宋体" w:eastAsia="宋体" w:hAnsi="宋体" w:hint="eastAsia"/>
          <w:sz w:val="24"/>
          <w:szCs w:val="24"/>
        </w:rPr>
        <w:t>非交易</w:t>
      </w:r>
      <w:proofErr w:type="gramEnd"/>
      <w:r>
        <w:rPr>
          <w:rFonts w:ascii="宋体" w:eastAsia="宋体" w:hAnsi="宋体" w:hint="eastAsia"/>
          <w:sz w:val="24"/>
          <w:szCs w:val="24"/>
        </w:rPr>
        <w:t>过户、转托管、冻结与质押</w:t>
      </w:r>
      <w:bookmarkEnd w:id="22"/>
      <w:bookmarkEnd w:id="23"/>
      <w:bookmarkEnd w:id="24"/>
    </w:p>
    <w:p w14:paraId="5CE6F0E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（一）基金注册登记机构只受理继承、捐赠、司法强制执行和经注册登记机构认可的其他情况下的</w:t>
      </w:r>
      <w:proofErr w:type="gramStart"/>
      <w:r>
        <w:rPr>
          <w:rFonts w:ascii="Arial" w:hAnsi="Arial" w:cs="Arial" w:hint="eastAsia"/>
          <w:kern w:val="0"/>
          <w:szCs w:val="21"/>
        </w:rPr>
        <w:t>非交易</w:t>
      </w:r>
      <w:proofErr w:type="gramEnd"/>
      <w:r>
        <w:rPr>
          <w:rFonts w:ascii="Arial" w:hAnsi="Arial" w:cs="Arial" w:hint="eastAsia"/>
          <w:kern w:val="0"/>
          <w:szCs w:val="21"/>
        </w:rPr>
        <w:t>过户。其中：</w:t>
      </w:r>
    </w:p>
    <w:p w14:paraId="22B451A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“捐赠”仅指基金份额持有人将其合法持有的基金份额捐赠给福利性质的基金会或社会团体的情形；</w:t>
      </w:r>
    </w:p>
    <w:p w14:paraId="7AADC3B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“司法强制执行”是指司法机构依据生效司法文书将基金份额持有人持有的基金份额强制划转给其他自然人、法人、社会团体或其他组织。</w:t>
      </w:r>
    </w:p>
    <w:p w14:paraId="773B39D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办理</w:t>
      </w:r>
      <w:proofErr w:type="gramStart"/>
      <w:r>
        <w:rPr>
          <w:rFonts w:ascii="Arial" w:hAnsi="Arial" w:cs="Arial" w:hint="eastAsia"/>
          <w:kern w:val="0"/>
          <w:szCs w:val="21"/>
        </w:rPr>
        <w:t>非交易</w:t>
      </w:r>
      <w:proofErr w:type="gramEnd"/>
      <w:r>
        <w:rPr>
          <w:rFonts w:ascii="Arial" w:hAnsi="Arial" w:cs="Arial" w:hint="eastAsia"/>
          <w:kern w:val="0"/>
          <w:szCs w:val="21"/>
        </w:rPr>
        <w:t>过户业务必须提供基金注册登记机构规定的相关资料。</w:t>
      </w:r>
    </w:p>
    <w:p w14:paraId="3626196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（二）符合条件的</w:t>
      </w:r>
      <w:proofErr w:type="gramStart"/>
      <w:r>
        <w:rPr>
          <w:rFonts w:ascii="Arial" w:hAnsi="Arial" w:cs="Arial" w:hint="eastAsia"/>
          <w:kern w:val="0"/>
          <w:szCs w:val="21"/>
        </w:rPr>
        <w:t>非交易</w:t>
      </w:r>
      <w:proofErr w:type="gramEnd"/>
      <w:r>
        <w:rPr>
          <w:rFonts w:ascii="Arial" w:hAnsi="Arial" w:cs="Arial" w:hint="eastAsia"/>
          <w:kern w:val="0"/>
          <w:szCs w:val="21"/>
        </w:rPr>
        <w:t>过户申请自申请受理日起二个月内办理；申请人按基金注册登记机构规定的标准缴纳过户费用。</w:t>
      </w:r>
    </w:p>
    <w:p w14:paraId="6EA9AF2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（三）基金份额持有人可以办理其基金份额在不同销售机构的转托管手续。转托管在转出方进行申报，基金份额转托管一次完成。投资者于</w:t>
      </w:r>
      <w:r>
        <w:rPr>
          <w:rFonts w:ascii="Arial" w:hAnsi="Arial" w:cs="Arial" w:hint="eastAsia"/>
          <w:kern w:val="0"/>
          <w:szCs w:val="21"/>
        </w:rPr>
        <w:t>T</w:t>
      </w:r>
      <w:r>
        <w:rPr>
          <w:rFonts w:ascii="Arial" w:hAnsi="Arial" w:cs="Arial" w:hint="eastAsia"/>
          <w:kern w:val="0"/>
          <w:szCs w:val="21"/>
        </w:rPr>
        <w:t>日转托管基金份额成功后，转托管份额于</w:t>
      </w:r>
      <w:r>
        <w:rPr>
          <w:rFonts w:ascii="Arial" w:hAnsi="Arial" w:cs="Arial" w:hint="eastAsia"/>
          <w:kern w:val="0"/>
          <w:szCs w:val="21"/>
        </w:rPr>
        <w:t>T+1</w:t>
      </w:r>
      <w:r>
        <w:rPr>
          <w:rFonts w:ascii="Arial" w:hAnsi="Arial" w:cs="Arial" w:hint="eastAsia"/>
          <w:kern w:val="0"/>
          <w:szCs w:val="21"/>
        </w:rPr>
        <w:t>日到达转入方网点，投资者可于</w:t>
      </w:r>
      <w:r>
        <w:rPr>
          <w:rFonts w:ascii="Arial" w:hAnsi="Arial" w:cs="Arial" w:hint="eastAsia"/>
          <w:kern w:val="0"/>
          <w:szCs w:val="21"/>
        </w:rPr>
        <w:t>T+2</w:t>
      </w:r>
      <w:r>
        <w:rPr>
          <w:rFonts w:ascii="Arial" w:hAnsi="Arial" w:cs="Arial" w:hint="eastAsia"/>
          <w:kern w:val="0"/>
          <w:szCs w:val="21"/>
        </w:rPr>
        <w:t>日起赎回该部分基金份额。</w:t>
      </w:r>
    </w:p>
    <w:p w14:paraId="7EB24FF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（四）基金注册登记机构只受理国家有权机关依法要求的基金账户或基金份额的冻结与解冻。基金账户或基金份额被冻结的，被冻结部分产生的权益（包括现金分红和红利再投资）一并冻结。</w:t>
      </w:r>
    </w:p>
    <w:p w14:paraId="19B302C3" w14:textId="77777777" w:rsidR="00ED45CB" w:rsidRDefault="00703CCA">
      <w:pPr>
        <w:adjustRightInd w:val="0"/>
        <w:snapToGrid w:val="0"/>
        <w:spacing w:line="360" w:lineRule="auto"/>
        <w:ind w:firstLineChars="200" w:firstLine="420"/>
        <w:rPr>
          <w:rFonts w:ascii="宋体" w:hAnsi="宋体"/>
          <w:color w:val="000000"/>
          <w:szCs w:val="21"/>
        </w:rPr>
      </w:pPr>
      <w:r>
        <w:rPr>
          <w:rFonts w:ascii="Arial" w:hAnsi="Arial" w:cs="Arial" w:hint="eastAsia"/>
          <w:kern w:val="0"/>
          <w:szCs w:val="21"/>
        </w:rPr>
        <w:t>（五）如相关法律法规允许基金管理人办理基金份额的质押业务或其他基金业务，基金管理人将制定和实施相应的业务规则。</w:t>
      </w:r>
    </w:p>
    <w:p w14:paraId="037DBDB2" w14:textId="77777777" w:rsidR="00ED45CB" w:rsidRDefault="00703CCA">
      <w:pPr>
        <w:spacing w:before="100" w:beforeAutospacing="1" w:after="100" w:afterAutospacing="1" w:line="400" w:lineRule="exact"/>
        <w:ind w:firstLine="420"/>
        <w:rPr>
          <w:rFonts w:ascii="宋体" w:hAnsi="宋体"/>
          <w:kern w:val="0"/>
          <w:szCs w:val="21"/>
        </w:rPr>
      </w:pPr>
      <w:r>
        <w:rPr>
          <w:rFonts w:ascii="宋体" w:hAnsi="宋体"/>
          <w:kern w:val="0"/>
          <w:szCs w:val="21"/>
        </w:rPr>
        <w:br w:type="page"/>
      </w:r>
    </w:p>
    <w:p w14:paraId="09E31AC0"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25" w:name="_Toc122336546"/>
      <w:bookmarkStart w:id="26" w:name="_Toc88037842"/>
      <w:bookmarkStart w:id="27" w:name="_Toc344308268"/>
      <w:r>
        <w:rPr>
          <w:rFonts w:ascii="宋体" w:eastAsia="宋体" w:hAnsi="宋体" w:hint="eastAsia"/>
          <w:sz w:val="24"/>
          <w:szCs w:val="24"/>
        </w:rPr>
        <w:t>八、基金合同当事人及其权利义务</w:t>
      </w:r>
      <w:bookmarkEnd w:id="25"/>
      <w:bookmarkEnd w:id="26"/>
      <w:bookmarkEnd w:id="27"/>
    </w:p>
    <w:p w14:paraId="6885FD5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（一）基金管理人</w:t>
      </w:r>
    </w:p>
    <w:p w14:paraId="7755827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、基金管理人基本情况</w:t>
      </w:r>
    </w:p>
    <w:p w14:paraId="267A28F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名称：</w:t>
      </w:r>
      <w:r>
        <w:rPr>
          <w:rFonts w:ascii="Arial" w:hAnsi="Arial" w:cs="Arial"/>
          <w:kern w:val="0"/>
          <w:szCs w:val="21"/>
        </w:rPr>
        <w:t>博时基金管理有限公司</w:t>
      </w:r>
    </w:p>
    <w:p w14:paraId="3781F4E1" w14:textId="68BE38C8"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住所：</w:t>
      </w:r>
      <w:r w:rsidRPr="00703CCA">
        <w:rPr>
          <w:rFonts w:ascii="Arial" w:hAnsi="Arial" w:cs="Arial" w:hint="eastAsia"/>
          <w:kern w:val="0"/>
          <w:szCs w:val="21"/>
        </w:rPr>
        <w:t>深圳市福田区莲花街道福新社区益田路</w:t>
      </w:r>
      <w:r w:rsidRPr="00703CCA">
        <w:rPr>
          <w:rFonts w:ascii="Arial" w:hAnsi="Arial" w:cs="Arial" w:hint="eastAsia"/>
          <w:kern w:val="0"/>
          <w:szCs w:val="21"/>
        </w:rPr>
        <w:t>5999</w:t>
      </w:r>
      <w:r w:rsidRPr="00703CCA">
        <w:rPr>
          <w:rFonts w:ascii="Arial" w:hAnsi="Arial" w:cs="Arial" w:hint="eastAsia"/>
          <w:kern w:val="0"/>
          <w:szCs w:val="21"/>
        </w:rPr>
        <w:t>号基金大厦</w:t>
      </w:r>
      <w:r w:rsidRPr="00703CCA">
        <w:rPr>
          <w:rFonts w:ascii="Arial" w:hAnsi="Arial" w:cs="Arial" w:hint="eastAsia"/>
          <w:kern w:val="0"/>
          <w:szCs w:val="21"/>
        </w:rPr>
        <w:t>21</w:t>
      </w:r>
      <w:r w:rsidRPr="00703CCA">
        <w:rPr>
          <w:rFonts w:ascii="Arial" w:hAnsi="Arial" w:cs="Arial" w:hint="eastAsia"/>
          <w:kern w:val="0"/>
          <w:szCs w:val="21"/>
        </w:rPr>
        <w:t>层</w:t>
      </w:r>
    </w:p>
    <w:p w14:paraId="0F9C263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法定代表人：</w:t>
      </w:r>
      <w:r>
        <w:rPr>
          <w:rFonts w:ascii="Arial" w:hAnsi="Arial" w:cs="Arial"/>
          <w:kern w:val="0"/>
          <w:szCs w:val="21"/>
        </w:rPr>
        <w:t>张光华</w:t>
      </w:r>
    </w:p>
    <w:p w14:paraId="7472FAF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成立日期：</w:t>
      </w:r>
      <w:r>
        <w:rPr>
          <w:rFonts w:ascii="Arial" w:hAnsi="Arial" w:cs="Arial"/>
          <w:kern w:val="0"/>
          <w:szCs w:val="21"/>
        </w:rPr>
        <w:t>1998</w:t>
      </w:r>
      <w:r>
        <w:rPr>
          <w:rFonts w:ascii="Arial" w:hAnsi="Arial" w:cs="Arial"/>
          <w:kern w:val="0"/>
          <w:szCs w:val="21"/>
        </w:rPr>
        <w:t>年</w:t>
      </w:r>
      <w:r>
        <w:rPr>
          <w:rFonts w:ascii="Arial" w:hAnsi="Arial" w:cs="Arial"/>
          <w:kern w:val="0"/>
          <w:szCs w:val="21"/>
        </w:rPr>
        <w:t>7</w:t>
      </w:r>
      <w:r>
        <w:rPr>
          <w:rFonts w:ascii="Arial" w:hAnsi="Arial" w:cs="Arial"/>
          <w:kern w:val="0"/>
          <w:szCs w:val="21"/>
        </w:rPr>
        <w:t>月</w:t>
      </w:r>
      <w:r>
        <w:rPr>
          <w:rFonts w:ascii="Arial" w:hAnsi="Arial" w:cs="Arial"/>
          <w:kern w:val="0"/>
          <w:szCs w:val="21"/>
        </w:rPr>
        <w:t>13</w:t>
      </w:r>
      <w:r>
        <w:rPr>
          <w:rFonts w:ascii="Arial" w:hAnsi="Arial" w:cs="Arial"/>
          <w:kern w:val="0"/>
          <w:szCs w:val="21"/>
        </w:rPr>
        <w:t>日</w:t>
      </w:r>
    </w:p>
    <w:p w14:paraId="7A12167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批准设立机关：中国证券监督管理委员会</w:t>
      </w:r>
    </w:p>
    <w:p w14:paraId="22F5ADE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批准设立文号：中国证监会证</w:t>
      </w:r>
      <w:proofErr w:type="gramStart"/>
      <w:r>
        <w:rPr>
          <w:rFonts w:ascii="Arial" w:hAnsi="Arial" w:cs="Arial" w:hint="eastAsia"/>
          <w:kern w:val="0"/>
          <w:szCs w:val="21"/>
        </w:rPr>
        <w:t>监基金字</w:t>
      </w:r>
      <w:proofErr w:type="gramEnd"/>
      <w:r>
        <w:rPr>
          <w:rFonts w:ascii="Arial" w:hAnsi="Arial" w:cs="Arial" w:hint="eastAsia"/>
          <w:kern w:val="0"/>
          <w:szCs w:val="21"/>
        </w:rPr>
        <w:t>【</w:t>
      </w:r>
      <w:r>
        <w:rPr>
          <w:rFonts w:ascii="Arial" w:hAnsi="Arial" w:cs="Arial" w:hint="eastAsia"/>
          <w:kern w:val="0"/>
          <w:szCs w:val="21"/>
        </w:rPr>
        <w:t>1998</w:t>
      </w:r>
      <w:r>
        <w:rPr>
          <w:rFonts w:ascii="Arial" w:hAnsi="Arial" w:cs="Arial" w:hint="eastAsia"/>
          <w:kern w:val="0"/>
          <w:szCs w:val="21"/>
        </w:rPr>
        <w:t>】</w:t>
      </w:r>
      <w:r>
        <w:rPr>
          <w:rFonts w:ascii="Arial" w:hAnsi="Arial" w:cs="Arial" w:hint="eastAsia"/>
          <w:kern w:val="0"/>
          <w:szCs w:val="21"/>
        </w:rPr>
        <w:t>26</w:t>
      </w:r>
      <w:r>
        <w:rPr>
          <w:rFonts w:ascii="Arial" w:hAnsi="Arial" w:cs="Arial" w:hint="eastAsia"/>
          <w:kern w:val="0"/>
          <w:szCs w:val="21"/>
        </w:rPr>
        <w:t>号</w:t>
      </w:r>
    </w:p>
    <w:p w14:paraId="461E21F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经营范围：</w:t>
      </w:r>
      <w:r>
        <w:rPr>
          <w:rFonts w:ascii="Arial" w:hAnsi="Arial" w:cs="Arial"/>
          <w:kern w:val="0"/>
          <w:szCs w:val="21"/>
        </w:rPr>
        <w:t>基金募集；基金销售；资产管理；中国证监会许可的其他业务</w:t>
      </w:r>
    </w:p>
    <w:p w14:paraId="0D098B1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组织形式：有限责任公司</w:t>
      </w:r>
    </w:p>
    <w:p w14:paraId="42290DE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注册资本：</w:t>
      </w:r>
      <w:r>
        <w:rPr>
          <w:rFonts w:ascii="Arial" w:hAnsi="Arial" w:cs="Arial" w:hint="eastAsia"/>
          <w:kern w:val="0"/>
          <w:szCs w:val="21"/>
        </w:rPr>
        <w:t>2.5</w:t>
      </w:r>
      <w:r>
        <w:rPr>
          <w:rFonts w:ascii="Arial" w:hAnsi="Arial" w:cs="Arial" w:hint="eastAsia"/>
          <w:kern w:val="0"/>
          <w:szCs w:val="21"/>
        </w:rPr>
        <w:t>亿元人民币</w:t>
      </w:r>
    </w:p>
    <w:p w14:paraId="3C08158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存续期间：持续经营</w:t>
      </w:r>
    </w:p>
    <w:p w14:paraId="1D2E295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、基金管理人的权利</w:t>
      </w:r>
    </w:p>
    <w:p w14:paraId="0EF3E36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）依法募集基金，办理基金备案手续；</w:t>
      </w:r>
    </w:p>
    <w:p w14:paraId="3D673A7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）依照法律法规和基金合同独立管理运用基金财产；</w:t>
      </w:r>
    </w:p>
    <w:p w14:paraId="3C399CA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）根据法律法规和基金合同的规定，制订、修改并公布有关基金认购、申购、赎回、转托管、基金转换、</w:t>
      </w:r>
      <w:proofErr w:type="gramStart"/>
      <w:r>
        <w:rPr>
          <w:rFonts w:ascii="Arial" w:hAnsi="Arial" w:cs="Arial" w:hint="eastAsia"/>
          <w:kern w:val="0"/>
          <w:szCs w:val="21"/>
        </w:rPr>
        <w:t>非交易</w:t>
      </w:r>
      <w:proofErr w:type="gramEnd"/>
      <w:r>
        <w:rPr>
          <w:rFonts w:ascii="Arial" w:hAnsi="Arial" w:cs="Arial" w:hint="eastAsia"/>
          <w:kern w:val="0"/>
          <w:szCs w:val="21"/>
        </w:rPr>
        <w:t>过户、冻结、收益分配等方面的业务规则；</w:t>
      </w:r>
    </w:p>
    <w:p w14:paraId="093A79F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）根据法律法规和基金合同的规定决定本基金的相关费率结构和收费方式，获得基金管理费，收取认购费、申购费、赎回费及其他事先核准或公告的合理费用以及法律法规规定的其他费用；</w:t>
      </w:r>
    </w:p>
    <w:p w14:paraId="236602C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）根据法律法规和基金合同的规定销售基金份额；</w:t>
      </w:r>
    </w:p>
    <w:p w14:paraId="1B84498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在本合同的有效期内，在不违反公平、合理原则以及不妨碍基金托管人遵守相关法律法规及其行业监管要求的基础上，基金管理人有权对基金托管人履行本合同的情况进行必要的监督。如认为基金托管人违反了法律法规或基金合同规定对基金财产、其他基金合同当事人的利益造成重大损失的，应及时呈报中国证监会和中国银监会，以及采取其他必要措施以保护本基金及相关基金合同当事人的利益；</w:t>
      </w:r>
    </w:p>
    <w:p w14:paraId="3D06A33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）根据基金合同的规定选择适当的基金代销机构并有权依照代销协议和有关法律法规对基金代销机构行为进行必要的监督和检查；</w:t>
      </w:r>
    </w:p>
    <w:p w14:paraId="42AFDAD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）自行担任基金注册登记机构或选择、更换基金注册登记机构，办理基金注册登记业务，并按照基金合同规定对基金注册登记机构进行必要的监督和检查；</w:t>
      </w:r>
    </w:p>
    <w:p w14:paraId="6F6AE82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9</w:t>
      </w:r>
      <w:r>
        <w:rPr>
          <w:rFonts w:ascii="Arial" w:hAnsi="Arial" w:cs="Arial" w:hint="eastAsia"/>
          <w:kern w:val="0"/>
          <w:szCs w:val="21"/>
        </w:rPr>
        <w:t>）在基金合同约定的范围内，拒绝或暂停受理申购和赎回的申请；</w:t>
      </w:r>
    </w:p>
    <w:p w14:paraId="73592B0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w:t>
      </w:r>
      <w:r>
        <w:rPr>
          <w:rFonts w:ascii="Arial" w:hAnsi="Arial" w:cs="Arial" w:hint="eastAsia"/>
          <w:kern w:val="0"/>
          <w:szCs w:val="21"/>
        </w:rPr>
        <w:t>10</w:t>
      </w:r>
      <w:r>
        <w:rPr>
          <w:rFonts w:ascii="Arial" w:hAnsi="Arial" w:cs="Arial" w:hint="eastAsia"/>
          <w:kern w:val="0"/>
          <w:szCs w:val="21"/>
        </w:rPr>
        <w:t>）在法律法规允许的前提下，为基金份额持有人的利益依法为基金进行融资、融券；</w:t>
      </w:r>
    </w:p>
    <w:p w14:paraId="3ED3DBE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11</w:t>
      </w:r>
      <w:r>
        <w:rPr>
          <w:rFonts w:ascii="Arial" w:hAnsi="Arial" w:cs="Arial" w:hint="eastAsia"/>
          <w:kern w:val="0"/>
          <w:szCs w:val="21"/>
        </w:rPr>
        <w:t>）依据法律法规和基金合同的规定，制订基金收益分配方案；</w:t>
      </w:r>
    </w:p>
    <w:p w14:paraId="60A7B6E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12</w:t>
      </w:r>
      <w:r>
        <w:rPr>
          <w:rFonts w:ascii="Arial" w:hAnsi="Arial" w:cs="Arial" w:hint="eastAsia"/>
          <w:kern w:val="0"/>
          <w:szCs w:val="21"/>
        </w:rPr>
        <w:t>）按照法律法规，代表基金对被投资企业行使股东权利，代表基金行使因投资于其他证券所产生的权利；</w:t>
      </w:r>
    </w:p>
    <w:p w14:paraId="1D1FDC0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13</w:t>
      </w:r>
      <w:r>
        <w:rPr>
          <w:rFonts w:ascii="Arial" w:hAnsi="Arial" w:cs="Arial" w:hint="eastAsia"/>
          <w:kern w:val="0"/>
          <w:szCs w:val="21"/>
        </w:rPr>
        <w:t>）在基金托管人职责终止时，提名新的基金托管人；</w:t>
      </w:r>
    </w:p>
    <w:p w14:paraId="6A4825B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14</w:t>
      </w:r>
      <w:r>
        <w:rPr>
          <w:rFonts w:ascii="Arial" w:hAnsi="Arial" w:cs="Arial" w:hint="eastAsia"/>
          <w:kern w:val="0"/>
          <w:szCs w:val="21"/>
        </w:rPr>
        <w:t>）依据法律法规和基金合同的规定，召集基金份额持有人大会；</w:t>
      </w:r>
    </w:p>
    <w:p w14:paraId="6CDCF53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15</w:t>
      </w:r>
      <w:r>
        <w:rPr>
          <w:rFonts w:ascii="Arial" w:hAnsi="Arial" w:cs="Arial" w:hint="eastAsia"/>
          <w:kern w:val="0"/>
          <w:szCs w:val="21"/>
        </w:rPr>
        <w:t>）选择、更换事务所、会计师事务所、证券经纪商或其他为基金提供服务的外部机构并确定有关费率；</w:t>
      </w:r>
    </w:p>
    <w:p w14:paraId="73B911B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16</w:t>
      </w:r>
      <w:r>
        <w:rPr>
          <w:rFonts w:ascii="Arial" w:hAnsi="Arial" w:cs="Arial" w:hint="eastAsia"/>
          <w:kern w:val="0"/>
          <w:szCs w:val="21"/>
        </w:rPr>
        <w:t>）法律法规、基金合同规定的其他权利。</w:t>
      </w:r>
    </w:p>
    <w:p w14:paraId="1DEA146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、基金管理人的义务</w:t>
      </w:r>
    </w:p>
    <w:p w14:paraId="381E0C7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）依法申请并募集基金，办理或者中国证监会认定的其他机构代为办理基金份额的发售、申购、赎回和登记事宜；</w:t>
      </w:r>
    </w:p>
    <w:p w14:paraId="73D1D30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）办理基金备案手续；</w:t>
      </w:r>
      <w:r>
        <w:rPr>
          <w:rFonts w:ascii="Arial" w:hAnsi="Arial" w:cs="Arial" w:hint="eastAsia"/>
          <w:kern w:val="0"/>
          <w:szCs w:val="21"/>
        </w:rPr>
        <w:t xml:space="preserve"> </w:t>
      </w:r>
    </w:p>
    <w:p w14:paraId="539A8A0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）自基金合同生效之日起，以诚实信用、勤勉尽责的原则管理和运用基金财产；</w:t>
      </w:r>
    </w:p>
    <w:p w14:paraId="6AAE864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）配备足够的具有专业资格的人员进行基金投资分析、决策，以专业化的经营方式管理和运作基金财产；</w:t>
      </w:r>
    </w:p>
    <w:p w14:paraId="4461900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）建立健全内部风险控制、监察与稽核、财务管理及人事管理等制度，保证所管理的基金财产和基金管理人的财产相互独立，对所管理的不同基金分别管理、分别记账，进行证券投资；</w:t>
      </w:r>
    </w:p>
    <w:p w14:paraId="6DDE642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）按基金合同的约定确定基金收益分配方案，及时向基金份额持有人分配基金收益；</w:t>
      </w:r>
    </w:p>
    <w:p w14:paraId="07B44A2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）除依据《基金法》、基金合同及其他有关规定外，不得为自己及任何第三人谋取利益，不得委托第三人运作基金财产；</w:t>
      </w:r>
      <w:r>
        <w:rPr>
          <w:rFonts w:ascii="Arial" w:hAnsi="Arial" w:cs="Arial" w:hint="eastAsia"/>
          <w:kern w:val="0"/>
          <w:szCs w:val="21"/>
        </w:rPr>
        <w:t xml:space="preserve"> </w:t>
      </w:r>
    </w:p>
    <w:p w14:paraId="2A8DF09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）进行基金会计核算并编制基金的财务会计报告；</w:t>
      </w:r>
    </w:p>
    <w:p w14:paraId="2254C28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9</w:t>
      </w:r>
      <w:r>
        <w:rPr>
          <w:rFonts w:ascii="Arial" w:hAnsi="Arial" w:cs="Arial" w:hint="eastAsia"/>
          <w:kern w:val="0"/>
          <w:szCs w:val="21"/>
        </w:rPr>
        <w:t>）依法接受基金托管人的监督；</w:t>
      </w:r>
    </w:p>
    <w:p w14:paraId="28B87D4E" w14:textId="4F06DCB2"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10</w:t>
      </w:r>
      <w:r>
        <w:rPr>
          <w:rFonts w:ascii="Arial" w:hAnsi="Arial" w:cs="Arial" w:hint="eastAsia"/>
          <w:kern w:val="0"/>
          <w:szCs w:val="21"/>
        </w:rPr>
        <w:t>）编制季度报告、中期报告和年度报告；</w:t>
      </w:r>
    </w:p>
    <w:p w14:paraId="48ABEA4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11</w:t>
      </w:r>
      <w:r>
        <w:rPr>
          <w:rFonts w:ascii="Arial" w:hAnsi="Arial" w:cs="Arial" w:hint="eastAsia"/>
          <w:kern w:val="0"/>
          <w:szCs w:val="21"/>
        </w:rPr>
        <w:t>）采取适当合理的措施使计算开放式基金份额认购、申购、赎回和注销价格的方法符合基金合同等法律文件的规定；</w:t>
      </w:r>
      <w:r>
        <w:rPr>
          <w:rFonts w:ascii="Arial" w:hAnsi="Arial" w:cs="Arial" w:hint="eastAsia"/>
          <w:kern w:val="0"/>
          <w:szCs w:val="21"/>
        </w:rPr>
        <w:t xml:space="preserve"> </w:t>
      </w:r>
    </w:p>
    <w:p w14:paraId="0646C66A" w14:textId="554D883B"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12</w:t>
      </w:r>
      <w:r>
        <w:rPr>
          <w:rFonts w:ascii="Arial" w:hAnsi="Arial" w:cs="Arial" w:hint="eastAsia"/>
          <w:kern w:val="0"/>
          <w:szCs w:val="21"/>
        </w:rPr>
        <w:t>）计算并公告基金净值信息，确定基金份额申购、赎回价格；</w:t>
      </w:r>
    </w:p>
    <w:p w14:paraId="64367B3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13</w:t>
      </w:r>
      <w:r>
        <w:rPr>
          <w:rFonts w:ascii="Arial" w:hAnsi="Arial" w:cs="Arial" w:hint="eastAsia"/>
          <w:kern w:val="0"/>
          <w:szCs w:val="21"/>
        </w:rPr>
        <w:t>）严格按照《基金法》、基金合同及其他有关规定，履行信息披露及报告义务；</w:t>
      </w:r>
    </w:p>
    <w:p w14:paraId="1921DB5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14</w:t>
      </w:r>
      <w:r>
        <w:rPr>
          <w:rFonts w:ascii="Arial" w:hAnsi="Arial" w:cs="Arial" w:hint="eastAsia"/>
          <w:kern w:val="0"/>
          <w:szCs w:val="21"/>
        </w:rPr>
        <w:t>）保守基金商业秘密，不泄露基金投资计划、投资意向等。除基金法、基金合同及其他有关规定另有规定外，在基金信息公开披露前应予以保密，不得向他人泄露；</w:t>
      </w:r>
    </w:p>
    <w:p w14:paraId="42E8D48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15</w:t>
      </w:r>
      <w:r>
        <w:rPr>
          <w:rFonts w:ascii="Arial" w:hAnsi="Arial" w:cs="Arial" w:hint="eastAsia"/>
          <w:kern w:val="0"/>
          <w:szCs w:val="21"/>
        </w:rPr>
        <w:t>）按规定受理申购和赎回申请，及时、足额支付赎回款项；</w:t>
      </w:r>
    </w:p>
    <w:p w14:paraId="792E07C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16</w:t>
      </w:r>
      <w:r>
        <w:rPr>
          <w:rFonts w:ascii="Arial" w:hAnsi="Arial" w:cs="Arial" w:hint="eastAsia"/>
          <w:kern w:val="0"/>
          <w:szCs w:val="21"/>
        </w:rPr>
        <w:t>）保存基金财产管理业务活动的记录、账册、报表、代表基金签订的重大合同及</w:t>
      </w:r>
      <w:r>
        <w:rPr>
          <w:rFonts w:ascii="Arial" w:hAnsi="Arial" w:cs="Arial" w:hint="eastAsia"/>
          <w:kern w:val="0"/>
          <w:szCs w:val="21"/>
        </w:rPr>
        <w:lastRenderedPageBreak/>
        <w:t>其他相关资料；</w:t>
      </w:r>
    </w:p>
    <w:p w14:paraId="75EE054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17</w:t>
      </w:r>
      <w:r>
        <w:rPr>
          <w:rFonts w:ascii="Arial" w:hAnsi="Arial" w:cs="Arial" w:hint="eastAsia"/>
          <w:kern w:val="0"/>
          <w:szCs w:val="21"/>
        </w:rPr>
        <w:t>）依据《基金法》、基金合同及其他有关规定召集基金份额持有人大会或配合基金托管人、基金份额持有人依法召集基金份额持有人大会；</w:t>
      </w:r>
    </w:p>
    <w:p w14:paraId="474CA16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18</w:t>
      </w:r>
      <w:r>
        <w:rPr>
          <w:rFonts w:ascii="Arial" w:hAnsi="Arial" w:cs="Arial" w:hint="eastAsia"/>
          <w:kern w:val="0"/>
          <w:szCs w:val="21"/>
        </w:rPr>
        <w:t>）以基金管理人名义，代表基金份额持有人利益行使诉讼权利或实施其他法律行为；</w:t>
      </w:r>
    </w:p>
    <w:p w14:paraId="61D8999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19</w:t>
      </w:r>
      <w:r>
        <w:rPr>
          <w:rFonts w:ascii="Arial" w:hAnsi="Arial" w:cs="Arial" w:hint="eastAsia"/>
          <w:kern w:val="0"/>
          <w:szCs w:val="21"/>
        </w:rPr>
        <w:t>）组织并参加基金财产清算小组，参与基金财产的保管、清理、估价、变现和分配；</w:t>
      </w:r>
    </w:p>
    <w:p w14:paraId="4D8970B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20</w:t>
      </w:r>
      <w:r>
        <w:rPr>
          <w:rFonts w:ascii="Arial" w:hAnsi="Arial" w:cs="Arial" w:hint="eastAsia"/>
          <w:kern w:val="0"/>
          <w:szCs w:val="21"/>
        </w:rPr>
        <w:t>）因违反基金合同导致基金财产的损失或损害基金份额持有人的合法权益，应承担赔偿责任，其赔偿责任不因其退任而免除；</w:t>
      </w:r>
    </w:p>
    <w:p w14:paraId="2CB669D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21</w:t>
      </w:r>
      <w:r>
        <w:rPr>
          <w:rFonts w:ascii="Arial" w:hAnsi="Arial" w:cs="Arial" w:hint="eastAsia"/>
          <w:kern w:val="0"/>
          <w:szCs w:val="21"/>
        </w:rPr>
        <w:t>）基金托管人违反基金合同造成基金财产损失时，应为基金份额持有人利益向基金托管人追偿；</w:t>
      </w:r>
    </w:p>
    <w:p w14:paraId="6D07F20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22</w:t>
      </w:r>
      <w:r>
        <w:rPr>
          <w:rFonts w:ascii="Arial" w:hAnsi="Arial" w:cs="Arial" w:hint="eastAsia"/>
          <w:kern w:val="0"/>
          <w:szCs w:val="21"/>
        </w:rPr>
        <w:t>）法律法规、基金合同及中国证监会规定的其他义务。</w:t>
      </w:r>
    </w:p>
    <w:p w14:paraId="64DD50A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（二）基金托管人</w:t>
      </w:r>
    </w:p>
    <w:p w14:paraId="196C33F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、基金托管人基本情况</w:t>
      </w:r>
    </w:p>
    <w:p w14:paraId="6711888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名称：中国银行股份有限公司</w:t>
      </w:r>
    </w:p>
    <w:p w14:paraId="26AEA28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住所：北京市复兴门内大街</w:t>
      </w:r>
      <w:r>
        <w:rPr>
          <w:rFonts w:ascii="Arial" w:hAnsi="Arial" w:cs="Arial" w:hint="eastAsia"/>
          <w:kern w:val="0"/>
          <w:szCs w:val="21"/>
        </w:rPr>
        <w:t>1</w:t>
      </w:r>
      <w:r>
        <w:rPr>
          <w:rFonts w:ascii="Arial" w:hAnsi="Arial" w:cs="Arial" w:hint="eastAsia"/>
          <w:kern w:val="0"/>
          <w:szCs w:val="21"/>
        </w:rPr>
        <w:t>号</w:t>
      </w:r>
    </w:p>
    <w:p w14:paraId="149E74A2" w14:textId="1A702B09"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法定代表人：刘连舸</w:t>
      </w:r>
    </w:p>
    <w:p w14:paraId="1DED1EE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成立日期：</w:t>
      </w:r>
      <w:r>
        <w:rPr>
          <w:rFonts w:ascii="Arial" w:hAnsi="Arial" w:cs="Arial" w:hint="eastAsia"/>
          <w:kern w:val="0"/>
          <w:szCs w:val="21"/>
        </w:rPr>
        <w:t>1983</w:t>
      </w:r>
      <w:r>
        <w:rPr>
          <w:rFonts w:ascii="Arial" w:hAnsi="Arial" w:cs="Arial" w:hint="eastAsia"/>
          <w:kern w:val="0"/>
          <w:szCs w:val="21"/>
        </w:rPr>
        <w:t>年</w:t>
      </w:r>
      <w:r>
        <w:rPr>
          <w:rFonts w:ascii="Arial" w:hAnsi="Arial" w:cs="Arial" w:hint="eastAsia"/>
          <w:kern w:val="0"/>
          <w:szCs w:val="21"/>
        </w:rPr>
        <w:t>10</w:t>
      </w:r>
      <w:r>
        <w:rPr>
          <w:rFonts w:ascii="Arial" w:hAnsi="Arial" w:cs="Arial" w:hint="eastAsia"/>
          <w:kern w:val="0"/>
          <w:szCs w:val="21"/>
        </w:rPr>
        <w:t>月</w:t>
      </w:r>
      <w:r>
        <w:rPr>
          <w:rFonts w:ascii="Arial" w:hAnsi="Arial" w:cs="Arial" w:hint="eastAsia"/>
          <w:kern w:val="0"/>
          <w:szCs w:val="21"/>
        </w:rPr>
        <w:t>31</w:t>
      </w:r>
      <w:r>
        <w:rPr>
          <w:rFonts w:ascii="Arial" w:hAnsi="Arial" w:cs="Arial" w:hint="eastAsia"/>
          <w:kern w:val="0"/>
          <w:szCs w:val="21"/>
        </w:rPr>
        <w:t>日</w:t>
      </w:r>
    </w:p>
    <w:p w14:paraId="2CC84D2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基金托管业务批准文号：中国证监会</w:t>
      </w:r>
      <w:proofErr w:type="gramStart"/>
      <w:r>
        <w:rPr>
          <w:rFonts w:ascii="Arial" w:hAnsi="Arial" w:cs="Arial" w:hint="eastAsia"/>
          <w:kern w:val="0"/>
          <w:szCs w:val="21"/>
        </w:rPr>
        <w:t>证监基字</w:t>
      </w:r>
      <w:proofErr w:type="gramEnd"/>
      <w:r>
        <w:rPr>
          <w:rFonts w:ascii="Arial" w:hAnsi="Arial" w:cs="Arial" w:hint="eastAsia"/>
          <w:kern w:val="0"/>
          <w:szCs w:val="21"/>
        </w:rPr>
        <w:t>【</w:t>
      </w:r>
      <w:r>
        <w:rPr>
          <w:rFonts w:ascii="Arial" w:hAnsi="Arial" w:cs="Arial" w:hint="eastAsia"/>
          <w:kern w:val="0"/>
          <w:szCs w:val="21"/>
        </w:rPr>
        <w:t>1998</w:t>
      </w:r>
      <w:r>
        <w:rPr>
          <w:rFonts w:ascii="Arial" w:hAnsi="Arial" w:cs="Arial" w:hint="eastAsia"/>
          <w:kern w:val="0"/>
          <w:szCs w:val="21"/>
        </w:rPr>
        <w:t>】</w:t>
      </w:r>
      <w:r>
        <w:rPr>
          <w:rFonts w:ascii="Arial" w:hAnsi="Arial" w:cs="Arial" w:hint="eastAsia"/>
          <w:kern w:val="0"/>
          <w:szCs w:val="21"/>
        </w:rPr>
        <w:t>24</w:t>
      </w:r>
      <w:r>
        <w:rPr>
          <w:rFonts w:ascii="Arial" w:hAnsi="Arial" w:cs="Arial" w:hint="eastAsia"/>
          <w:kern w:val="0"/>
          <w:szCs w:val="21"/>
        </w:rPr>
        <w:t>号</w:t>
      </w:r>
    </w:p>
    <w:p w14:paraId="1B44AFF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组织形式：股份有限公司</w:t>
      </w:r>
    </w:p>
    <w:p w14:paraId="351EF4D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注册资本：人民币</w:t>
      </w:r>
      <w:r>
        <w:rPr>
          <w:rFonts w:ascii="Arial" w:hAnsi="Arial" w:cs="Arial" w:hint="eastAsia"/>
          <w:kern w:val="0"/>
          <w:szCs w:val="21"/>
        </w:rPr>
        <w:t>29438779.124100</w:t>
      </w:r>
      <w:r>
        <w:rPr>
          <w:rFonts w:ascii="Arial" w:hAnsi="Arial" w:cs="Arial" w:hint="eastAsia"/>
          <w:kern w:val="0"/>
          <w:szCs w:val="21"/>
        </w:rPr>
        <w:t>万元整</w:t>
      </w:r>
    </w:p>
    <w:p w14:paraId="7FA4983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存续期间：持续经营</w:t>
      </w:r>
    </w:p>
    <w:p w14:paraId="6870D005" w14:textId="77777777" w:rsidR="00ED45CB" w:rsidRDefault="00703CCA">
      <w:pPr>
        <w:adjustRightInd w:val="0"/>
        <w:snapToGrid w:val="0"/>
        <w:spacing w:line="360" w:lineRule="auto"/>
        <w:ind w:left="1469" w:hanging="1049"/>
        <w:rPr>
          <w:rFonts w:ascii="宋体" w:hAnsi="宋体"/>
          <w:szCs w:val="21"/>
        </w:rPr>
      </w:pPr>
      <w:r>
        <w:rPr>
          <w:rFonts w:ascii="宋体" w:hAnsi="宋体" w:hint="eastAsia"/>
          <w:szCs w:val="21"/>
        </w:rPr>
        <w:t>经营范围：吸收人民币存款；发放短期、中期和长期贷款；办理结算；办理票据贴现；发行金融债券；代理发行、代理兑付、承销政府债券；买卖政府债券；从事同业拆借；提供信用证服务及担保；代理收付款项及代理保险业务；提供保险箱服务；外汇存款；外汇贷款；外汇汇款；外币兑换；国际结算；同业外汇拆借；外汇票据的承兑和贴现；外汇借款；外汇担保；结汇、售汇；发行和代理发行股票以外的外币有价证券；买卖和代理买卖股票以外的外币有价证券；自营外汇买卖；代营外汇买卖；外汇信用卡的发行和代理国外信用卡的发行及付款；资信调查、咨询、见证业务；组织或参加银团贷款；国际贵金属买卖；海外分支机构经营与当地法律许可的一切银行业务；在港澳地区的分行依据当地法令可发行或参与代理发行当地货币；经中国人民银行批准的其他业务。</w:t>
      </w:r>
    </w:p>
    <w:p w14:paraId="4AE93FD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、基金托管人的权利</w:t>
      </w:r>
    </w:p>
    <w:p w14:paraId="7142BD6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w:t>
      </w:r>
      <w:r>
        <w:rPr>
          <w:rFonts w:ascii="Arial" w:hAnsi="Arial" w:cs="Arial" w:hint="eastAsia"/>
          <w:kern w:val="0"/>
          <w:szCs w:val="21"/>
        </w:rPr>
        <w:t>1</w:t>
      </w:r>
      <w:r>
        <w:rPr>
          <w:rFonts w:ascii="Arial" w:hAnsi="Arial" w:cs="Arial" w:hint="eastAsia"/>
          <w:kern w:val="0"/>
          <w:szCs w:val="21"/>
        </w:rPr>
        <w:t>）依据法律法规和基金合同的规定安全保管基金财产；</w:t>
      </w:r>
    </w:p>
    <w:p w14:paraId="2869B96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）依照基金合同的约定获得基金托管费；</w:t>
      </w:r>
    </w:p>
    <w:p w14:paraId="7AFB07F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）监督基金管理人对本基金的投资运作；</w:t>
      </w:r>
    </w:p>
    <w:p w14:paraId="0B6DCDF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）在基金管理人职责终止时，提名新的基金管理人；</w:t>
      </w:r>
      <w:r>
        <w:rPr>
          <w:rFonts w:ascii="Arial" w:hAnsi="Arial" w:cs="Arial" w:hint="eastAsia"/>
          <w:kern w:val="0"/>
          <w:szCs w:val="21"/>
        </w:rPr>
        <w:t xml:space="preserve"> </w:t>
      </w:r>
    </w:p>
    <w:p w14:paraId="0E82ABB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）依据法律法规和基金合同的规定召集基金份额持有人大会；</w:t>
      </w:r>
    </w:p>
    <w:p w14:paraId="4603179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）法律法规、基金合同规定的其他权利。</w:t>
      </w:r>
    </w:p>
    <w:p w14:paraId="7FAC38C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、基金托管人的义务</w:t>
      </w:r>
    </w:p>
    <w:p w14:paraId="0D0BAE2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）安全保管基金财产；</w:t>
      </w:r>
    </w:p>
    <w:p w14:paraId="1424989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）设立专门的基金托管部，具有符合要求的营业场所，配备足够的、合格的熟悉基金托管业务的专职人员，负责基金财产托管事宜；</w:t>
      </w:r>
    </w:p>
    <w:p w14:paraId="5AFE6F7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）按规定开设基金财产的资金账户和证券账户；</w:t>
      </w:r>
    </w:p>
    <w:p w14:paraId="6E07BC5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）除依据《基金法》、基金合同及其他有关规定外，不得以基金财产为自己及任何第三人谋取非法利益，不得委托第三人托管基金财产；</w:t>
      </w:r>
    </w:p>
    <w:p w14:paraId="39D13CB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）对所托管的不同基金财产分别设置账户，确保基金财产的完整和独立；</w:t>
      </w:r>
    </w:p>
    <w:p w14:paraId="2B12C33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）保管由基金管理人代表基金签订的与基金有关的重大合同及有关凭证；</w:t>
      </w:r>
    </w:p>
    <w:p w14:paraId="09D72E0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）保存基金托管业务活动的记录、账册、报表和其他相关资料；</w:t>
      </w:r>
    </w:p>
    <w:p w14:paraId="1F0DACB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）按照基金合同的约定，根据基金管理人的指令，及时办理清算、交割事宜；</w:t>
      </w:r>
      <w:r>
        <w:rPr>
          <w:rFonts w:ascii="Arial" w:hAnsi="Arial" w:cs="Arial" w:hint="eastAsia"/>
          <w:kern w:val="0"/>
          <w:szCs w:val="21"/>
        </w:rPr>
        <w:t xml:space="preserve"> </w:t>
      </w:r>
    </w:p>
    <w:p w14:paraId="6AA7D11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9</w:t>
      </w:r>
      <w:r>
        <w:rPr>
          <w:rFonts w:ascii="Arial" w:hAnsi="Arial" w:cs="Arial" w:hint="eastAsia"/>
          <w:kern w:val="0"/>
          <w:szCs w:val="21"/>
        </w:rPr>
        <w:t>）保守基金商业秘密。除《基金法》、基金合同及其他有关规定另有规定外，在基金信息公开披露前应予以保密，不得向他人泄露；</w:t>
      </w:r>
    </w:p>
    <w:p w14:paraId="430CDBF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10</w:t>
      </w:r>
      <w:r>
        <w:rPr>
          <w:rFonts w:ascii="Arial" w:hAnsi="Arial" w:cs="Arial" w:hint="eastAsia"/>
          <w:kern w:val="0"/>
          <w:szCs w:val="21"/>
        </w:rPr>
        <w:t>）根据法律法规及本合同的约定，办理与基金托管业务活动有关的信息披露事项；</w:t>
      </w:r>
    </w:p>
    <w:p w14:paraId="5F6025B7" w14:textId="5C2FA573"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11</w:t>
      </w:r>
      <w:r>
        <w:rPr>
          <w:rFonts w:ascii="Arial" w:hAnsi="Arial" w:cs="Arial" w:hint="eastAsia"/>
          <w:kern w:val="0"/>
          <w:szCs w:val="21"/>
        </w:rPr>
        <w:t>）对基金财务会计报告、中期和年度基金报告的相关内容出具意见，说明基金管理人在各重要方面的运作是否严格按照基金合同的规定进行；如果基金管理人有未执行基金合同规定的行为，还应当说明基金托管人是否采取了适当的措施；</w:t>
      </w:r>
    </w:p>
    <w:p w14:paraId="0693CF2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12</w:t>
      </w:r>
      <w:r>
        <w:rPr>
          <w:rFonts w:ascii="Arial" w:hAnsi="Arial" w:cs="Arial" w:hint="eastAsia"/>
          <w:kern w:val="0"/>
          <w:szCs w:val="21"/>
        </w:rPr>
        <w:t>）保存基金份额持有人名册；</w:t>
      </w:r>
    </w:p>
    <w:p w14:paraId="6F7EAD55" w14:textId="1874AA0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13</w:t>
      </w:r>
      <w:r>
        <w:rPr>
          <w:rFonts w:ascii="Arial" w:hAnsi="Arial" w:cs="Arial" w:hint="eastAsia"/>
          <w:kern w:val="0"/>
          <w:szCs w:val="21"/>
        </w:rPr>
        <w:t>）复核基金管理人计算的基金资产净值、基金份额净值和基金份额申购、赎回价格；</w:t>
      </w:r>
    </w:p>
    <w:p w14:paraId="69CC8F7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14</w:t>
      </w:r>
      <w:r>
        <w:rPr>
          <w:rFonts w:ascii="Arial" w:hAnsi="Arial" w:cs="Arial" w:hint="eastAsia"/>
          <w:kern w:val="0"/>
          <w:szCs w:val="21"/>
        </w:rPr>
        <w:t>）按规定制作相关账册并与基金管理人核对；</w:t>
      </w:r>
    </w:p>
    <w:p w14:paraId="67A980C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15</w:t>
      </w:r>
      <w:r>
        <w:rPr>
          <w:rFonts w:ascii="Arial" w:hAnsi="Arial" w:cs="Arial" w:hint="eastAsia"/>
          <w:kern w:val="0"/>
          <w:szCs w:val="21"/>
        </w:rPr>
        <w:t>）依据基金管理人的指令或有关规定向基金份额持有人支付基金收益和赎回款项；</w:t>
      </w:r>
    </w:p>
    <w:p w14:paraId="6CBD5DD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16</w:t>
      </w:r>
      <w:r>
        <w:rPr>
          <w:rFonts w:ascii="Arial" w:hAnsi="Arial" w:cs="Arial" w:hint="eastAsia"/>
          <w:kern w:val="0"/>
          <w:szCs w:val="21"/>
        </w:rPr>
        <w:t>）按照规定召集基金份额持有人大会或配合基金管理人、基金份额持有人依法召集基金份额持有人大会；</w:t>
      </w:r>
    </w:p>
    <w:p w14:paraId="37C66A0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17</w:t>
      </w:r>
      <w:r>
        <w:rPr>
          <w:rFonts w:ascii="Arial" w:hAnsi="Arial" w:cs="Arial" w:hint="eastAsia"/>
          <w:kern w:val="0"/>
          <w:szCs w:val="21"/>
        </w:rPr>
        <w:t>）按照法律法规监督基金管理人的投资运作；</w:t>
      </w:r>
    </w:p>
    <w:p w14:paraId="51DF90A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18</w:t>
      </w:r>
      <w:r>
        <w:rPr>
          <w:rFonts w:ascii="Arial" w:hAnsi="Arial" w:cs="Arial" w:hint="eastAsia"/>
          <w:kern w:val="0"/>
          <w:szCs w:val="21"/>
        </w:rPr>
        <w:t>）因过错违反基金合同导致基金财产损失，应承担赔偿责任，其责任不因其退任而免除；</w:t>
      </w:r>
    </w:p>
    <w:p w14:paraId="08BD09E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19</w:t>
      </w:r>
      <w:r>
        <w:rPr>
          <w:rFonts w:ascii="Arial" w:hAnsi="Arial" w:cs="Arial" w:hint="eastAsia"/>
          <w:kern w:val="0"/>
          <w:szCs w:val="21"/>
        </w:rPr>
        <w:t>）因基金管理人违反基金合同造成基金财产损失时，应为基金向基金管理人追偿，</w:t>
      </w:r>
      <w:r>
        <w:rPr>
          <w:rFonts w:ascii="Arial" w:hAnsi="Arial" w:cs="Arial" w:hint="eastAsia"/>
          <w:kern w:val="0"/>
          <w:szCs w:val="21"/>
        </w:rPr>
        <w:lastRenderedPageBreak/>
        <w:t>除法律法规另有规定外，基金托管人不承担连带责任；</w:t>
      </w:r>
    </w:p>
    <w:p w14:paraId="57325F8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20</w:t>
      </w:r>
      <w:r>
        <w:rPr>
          <w:rFonts w:ascii="Arial" w:hAnsi="Arial" w:cs="Arial" w:hint="eastAsia"/>
          <w:kern w:val="0"/>
          <w:szCs w:val="21"/>
        </w:rPr>
        <w:t>）法律法规、基金合同及中国证监会规定的其他义务。</w:t>
      </w:r>
    </w:p>
    <w:p w14:paraId="4286974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（三）基金份额持有人</w:t>
      </w:r>
    </w:p>
    <w:p w14:paraId="406565B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、基金投资者购买本</w:t>
      </w:r>
      <w:proofErr w:type="gramStart"/>
      <w:r>
        <w:rPr>
          <w:rFonts w:ascii="Arial" w:hAnsi="Arial" w:cs="Arial" w:hint="eastAsia"/>
          <w:kern w:val="0"/>
          <w:szCs w:val="21"/>
        </w:rPr>
        <w:t>基金基金</w:t>
      </w:r>
      <w:proofErr w:type="gramEnd"/>
      <w:r>
        <w:rPr>
          <w:rFonts w:ascii="Arial" w:hAnsi="Arial" w:cs="Arial" w:hint="eastAsia"/>
          <w:kern w:val="0"/>
          <w:szCs w:val="21"/>
        </w:rPr>
        <w:t>份额的行为即视为对基金合同的承认和接受，基金投资者</w:t>
      </w:r>
      <w:proofErr w:type="gramStart"/>
      <w:r>
        <w:rPr>
          <w:rFonts w:ascii="Arial" w:hAnsi="Arial" w:cs="Arial" w:hint="eastAsia"/>
          <w:kern w:val="0"/>
          <w:szCs w:val="21"/>
        </w:rPr>
        <w:t>自依据</w:t>
      </w:r>
      <w:proofErr w:type="gramEnd"/>
      <w:r>
        <w:rPr>
          <w:rFonts w:ascii="Arial" w:hAnsi="Arial" w:cs="Arial" w:hint="eastAsia"/>
          <w:kern w:val="0"/>
          <w:szCs w:val="21"/>
        </w:rPr>
        <w:t>基金合同取得基金份额，即成为基金份额持有人和基金合同当事人。基金份额持有人作为当事人并不以在基金合同上书面签章为必要条件。同一类别的每份基金份额具有同等的合法权益。</w:t>
      </w:r>
    </w:p>
    <w:p w14:paraId="0CFBF3C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、基金份额持有人的权利</w:t>
      </w:r>
    </w:p>
    <w:p w14:paraId="38C4BC8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）分享基金财产收益；</w:t>
      </w:r>
    </w:p>
    <w:p w14:paraId="6E81D56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）参与分配清算后的剩余基金财产；</w:t>
      </w:r>
    </w:p>
    <w:p w14:paraId="05E466A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）依法申请、赎回其持有的基金份额；</w:t>
      </w:r>
      <w:r>
        <w:rPr>
          <w:rFonts w:ascii="Arial" w:hAnsi="Arial" w:cs="Arial" w:hint="eastAsia"/>
          <w:kern w:val="0"/>
          <w:szCs w:val="21"/>
        </w:rPr>
        <w:t xml:space="preserve"> </w:t>
      </w:r>
    </w:p>
    <w:p w14:paraId="2643AC6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）按照规定要求召开基金份额持有人大会；</w:t>
      </w:r>
      <w:r>
        <w:rPr>
          <w:rFonts w:ascii="Arial" w:hAnsi="Arial" w:cs="Arial" w:hint="eastAsia"/>
          <w:kern w:val="0"/>
          <w:szCs w:val="21"/>
        </w:rPr>
        <w:t xml:space="preserve"> </w:t>
      </w:r>
    </w:p>
    <w:p w14:paraId="0D38BB3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）出席或者委派代表出席基金份额持有人大会，对基金份额持有人大会审议事项行使表决权；</w:t>
      </w:r>
      <w:r>
        <w:rPr>
          <w:rFonts w:ascii="Arial" w:hAnsi="Arial" w:cs="Arial" w:hint="eastAsia"/>
          <w:kern w:val="0"/>
          <w:szCs w:val="21"/>
        </w:rPr>
        <w:t xml:space="preserve"> </w:t>
      </w:r>
    </w:p>
    <w:p w14:paraId="5471F1E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）查阅或者复制公开披露的基金信息资料；</w:t>
      </w:r>
      <w:r>
        <w:rPr>
          <w:rFonts w:ascii="Arial" w:hAnsi="Arial" w:cs="Arial" w:hint="eastAsia"/>
          <w:kern w:val="0"/>
          <w:szCs w:val="21"/>
        </w:rPr>
        <w:t xml:space="preserve"> </w:t>
      </w:r>
    </w:p>
    <w:p w14:paraId="325955F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）监督基金管理人的投资运作；</w:t>
      </w:r>
    </w:p>
    <w:p w14:paraId="284325D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）对基金管理人、基金托管人、基金份额销售机构损害其合法权益的行为依法提起诉讼；</w:t>
      </w:r>
    </w:p>
    <w:p w14:paraId="3310804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9</w:t>
      </w:r>
      <w:r>
        <w:rPr>
          <w:rFonts w:ascii="Arial" w:hAnsi="Arial" w:cs="Arial" w:hint="eastAsia"/>
          <w:kern w:val="0"/>
          <w:szCs w:val="21"/>
        </w:rPr>
        <w:t>）法律法规、基金合同规定的其他权利。</w:t>
      </w:r>
    </w:p>
    <w:p w14:paraId="1B15FA5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、基金份额持有人的义务</w:t>
      </w:r>
    </w:p>
    <w:p w14:paraId="3531873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）遵守法律法规、基金合同及其他有关规定；</w:t>
      </w:r>
    </w:p>
    <w:p w14:paraId="481D17E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）缴纳基金认购、申购款项及基金合同规定的费用；</w:t>
      </w:r>
    </w:p>
    <w:p w14:paraId="1F29F6D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）在持有的基金份额范围内，承担基金亏损或者基金合同终止的有限责任；</w:t>
      </w:r>
    </w:p>
    <w:p w14:paraId="27EF89B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）不从事任何有损基金、其他基金份额持有人及其他基金合同当事人合法利益的活动；</w:t>
      </w:r>
    </w:p>
    <w:p w14:paraId="2B833C1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）执行基金份额持有人大会的决议；</w:t>
      </w:r>
    </w:p>
    <w:p w14:paraId="64A5664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）返还在基金交易过程中因任何原因获得的不当得利；</w:t>
      </w:r>
    </w:p>
    <w:p w14:paraId="3851411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）遵守基金管理人、销售机构和注册登记机构的相关交易及业务规则；</w:t>
      </w:r>
    </w:p>
    <w:p w14:paraId="203A783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）法律法规及基金合同规定的其他义务。</w:t>
      </w:r>
    </w:p>
    <w:p w14:paraId="7E2237DB" w14:textId="77777777" w:rsidR="00ED45CB" w:rsidRDefault="00703CCA">
      <w:pPr>
        <w:spacing w:before="100" w:beforeAutospacing="1" w:after="100" w:afterAutospacing="1" w:line="400" w:lineRule="exact"/>
        <w:ind w:firstLine="420"/>
        <w:rPr>
          <w:rFonts w:ascii="宋体" w:hAnsi="宋体"/>
          <w:szCs w:val="21"/>
        </w:rPr>
      </w:pPr>
      <w:r>
        <w:rPr>
          <w:rFonts w:ascii="宋体" w:hAnsi="宋体"/>
          <w:szCs w:val="21"/>
        </w:rPr>
        <w:br w:type="page"/>
      </w:r>
    </w:p>
    <w:p w14:paraId="01C5CC04"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28" w:name="_Toc344308269"/>
      <w:bookmarkStart w:id="29" w:name="_Toc122336547"/>
      <w:bookmarkStart w:id="30" w:name="_Toc88037843"/>
      <w:r>
        <w:rPr>
          <w:rFonts w:ascii="宋体" w:eastAsia="宋体" w:hAnsi="宋体" w:hint="eastAsia"/>
          <w:sz w:val="24"/>
          <w:szCs w:val="24"/>
        </w:rPr>
        <w:t>九、基金份额持有人大会</w:t>
      </w:r>
      <w:bookmarkEnd w:id="28"/>
      <w:bookmarkEnd w:id="29"/>
      <w:bookmarkEnd w:id="30"/>
    </w:p>
    <w:p w14:paraId="1C3067E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（一）本基金的基金份额持有人大会，由本基金的基金份额持有人组成，基金份额持有人可委托代理人参加会议并行使表决权。基金份额持有人持有的每一基金份额拥有平等的投票权。</w:t>
      </w:r>
    </w:p>
    <w:p w14:paraId="080E05F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（二）有以下情形之一时，应召</w:t>
      </w:r>
      <w:proofErr w:type="gramStart"/>
      <w:r>
        <w:rPr>
          <w:rFonts w:ascii="Arial" w:hAnsi="Arial" w:cs="Arial" w:hint="eastAsia"/>
          <w:kern w:val="0"/>
          <w:szCs w:val="21"/>
        </w:rPr>
        <w:t>开基金</w:t>
      </w:r>
      <w:proofErr w:type="gramEnd"/>
      <w:r>
        <w:rPr>
          <w:rFonts w:ascii="Arial" w:hAnsi="Arial" w:cs="Arial" w:hint="eastAsia"/>
          <w:kern w:val="0"/>
          <w:szCs w:val="21"/>
        </w:rPr>
        <w:t>份额持有人大会：</w:t>
      </w:r>
    </w:p>
    <w:p w14:paraId="1D06F24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、终止基金合同；</w:t>
      </w:r>
    </w:p>
    <w:p w14:paraId="2E894DB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、转换基金运作方式；</w:t>
      </w:r>
    </w:p>
    <w:p w14:paraId="6476F04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、提高基金管理人、基金托管人的报酬标准，但根据法律法规的要求提高该等报酬标准的除外；</w:t>
      </w:r>
    </w:p>
    <w:p w14:paraId="41EC66E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、更换基金管理人、基金托管人；</w:t>
      </w:r>
    </w:p>
    <w:p w14:paraId="25346B9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、变更基金类别；</w:t>
      </w:r>
    </w:p>
    <w:p w14:paraId="6711024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、变更基金投资目标、范围或策略；</w:t>
      </w:r>
    </w:p>
    <w:p w14:paraId="1291705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7</w:t>
      </w:r>
      <w:r>
        <w:rPr>
          <w:rFonts w:ascii="Arial" w:hAnsi="Arial" w:cs="Arial" w:hint="eastAsia"/>
          <w:kern w:val="0"/>
          <w:szCs w:val="21"/>
        </w:rPr>
        <w:t>、变更基金份额持有人大会议事程序、表决方式和表决程序；</w:t>
      </w:r>
    </w:p>
    <w:p w14:paraId="7090119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8</w:t>
      </w:r>
      <w:r>
        <w:rPr>
          <w:rFonts w:ascii="Arial" w:hAnsi="Arial" w:cs="Arial" w:hint="eastAsia"/>
          <w:kern w:val="0"/>
          <w:szCs w:val="21"/>
        </w:rPr>
        <w:t>、本基金与其他基金合并；</w:t>
      </w:r>
    </w:p>
    <w:p w14:paraId="6200F44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9</w:t>
      </w:r>
      <w:r>
        <w:rPr>
          <w:rFonts w:ascii="Arial" w:hAnsi="Arial" w:cs="Arial" w:hint="eastAsia"/>
          <w:kern w:val="0"/>
          <w:szCs w:val="21"/>
        </w:rPr>
        <w:t>、</w:t>
      </w:r>
      <w:r>
        <w:rPr>
          <w:rFonts w:ascii="Arial" w:hAnsi="Arial" w:cs="Arial"/>
          <w:kern w:val="0"/>
          <w:szCs w:val="21"/>
        </w:rPr>
        <w:t>基金管理人或基金托管人要求召开基金份额持有人大会；</w:t>
      </w:r>
    </w:p>
    <w:p w14:paraId="59A90B6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10</w:t>
      </w:r>
      <w:r>
        <w:rPr>
          <w:rFonts w:ascii="Arial" w:hAnsi="Arial" w:cs="Arial" w:hint="eastAsia"/>
          <w:kern w:val="0"/>
          <w:szCs w:val="21"/>
        </w:rPr>
        <w:t>、</w:t>
      </w:r>
      <w:r>
        <w:rPr>
          <w:rFonts w:ascii="Arial" w:hAnsi="Arial" w:cs="Arial"/>
          <w:kern w:val="0"/>
          <w:szCs w:val="21"/>
        </w:rPr>
        <w:t>单独或合计持有本基金总份额</w:t>
      </w:r>
      <w:r>
        <w:rPr>
          <w:rFonts w:ascii="Arial" w:hAnsi="Arial" w:cs="Arial"/>
          <w:kern w:val="0"/>
          <w:szCs w:val="21"/>
        </w:rPr>
        <w:t>10%</w:t>
      </w:r>
      <w:r>
        <w:rPr>
          <w:rFonts w:ascii="Arial" w:hAnsi="Arial" w:cs="Arial"/>
          <w:kern w:val="0"/>
          <w:szCs w:val="21"/>
        </w:rPr>
        <w:t>以上（含</w:t>
      </w:r>
      <w:r>
        <w:rPr>
          <w:rFonts w:ascii="Arial" w:hAnsi="Arial" w:cs="Arial"/>
          <w:kern w:val="0"/>
          <w:szCs w:val="21"/>
        </w:rPr>
        <w:t>10%</w:t>
      </w:r>
      <w:r>
        <w:rPr>
          <w:rFonts w:ascii="Arial" w:hAnsi="Arial" w:cs="Arial"/>
          <w:kern w:val="0"/>
          <w:szCs w:val="21"/>
        </w:rPr>
        <w:t>）基金份额的基金份额持有人（以基金管理人收到提议当日的基金份额计算，下同）就同一事项书面要求召开基金份额持有人大会；</w:t>
      </w:r>
    </w:p>
    <w:p w14:paraId="4527820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11</w:t>
      </w:r>
      <w:r>
        <w:rPr>
          <w:rFonts w:ascii="Arial" w:hAnsi="Arial" w:cs="Arial" w:hint="eastAsia"/>
          <w:kern w:val="0"/>
          <w:szCs w:val="21"/>
        </w:rPr>
        <w:t>、对基金合同当事人权利、义务产生重大影响，需召开基金份额持有人大会的变更基金合同等其他事项；</w:t>
      </w:r>
    </w:p>
    <w:p w14:paraId="17B419F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12</w:t>
      </w:r>
      <w:r>
        <w:rPr>
          <w:rFonts w:ascii="Arial" w:hAnsi="Arial" w:cs="Arial" w:hint="eastAsia"/>
          <w:kern w:val="0"/>
          <w:szCs w:val="21"/>
        </w:rPr>
        <w:t>、法律法规或中国证监会规定的其他应当召开基金份额持有人大会的事项。</w:t>
      </w:r>
    </w:p>
    <w:p w14:paraId="7353EC6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（三）有以下情形之一的，不需召开基金份额持有人大会：</w:t>
      </w:r>
    </w:p>
    <w:p w14:paraId="75A0C13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、调低基金管理费率、基金托管费率；</w:t>
      </w:r>
    </w:p>
    <w:p w14:paraId="33217C2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、在法律法规和基金合同规定的范围内调整本基金的申购费率、调低赎回费率或变更收费方式；</w:t>
      </w:r>
    </w:p>
    <w:p w14:paraId="26A4B2E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w:t>
      </w:r>
      <w:proofErr w:type="gramStart"/>
      <w:r>
        <w:rPr>
          <w:rFonts w:ascii="Arial" w:hAnsi="Arial" w:cs="Arial" w:hint="eastAsia"/>
          <w:kern w:val="0"/>
          <w:szCs w:val="21"/>
        </w:rPr>
        <w:t>因相应</w:t>
      </w:r>
      <w:proofErr w:type="gramEnd"/>
      <w:r>
        <w:rPr>
          <w:rFonts w:ascii="Arial" w:hAnsi="Arial" w:cs="Arial" w:hint="eastAsia"/>
          <w:kern w:val="0"/>
          <w:szCs w:val="21"/>
        </w:rPr>
        <w:t>的法律法规发生变动而应当对基金合同进行修改；</w:t>
      </w:r>
    </w:p>
    <w:p w14:paraId="1770B78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、对基金合同的修改不涉及基金合同当事人权利义务关系发生重大变化；</w:t>
      </w:r>
    </w:p>
    <w:p w14:paraId="5A3DFEA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、对基金合同的修改对基金份额持有人利益无实质性不利影响；</w:t>
      </w:r>
    </w:p>
    <w:p w14:paraId="175E23A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、基金管理人、代销机构、注册登记机构在法律法规规定或中国证监会许可的范围内调整有关基金认购、申购、赎回、转换、</w:t>
      </w:r>
      <w:proofErr w:type="gramStart"/>
      <w:r>
        <w:rPr>
          <w:rFonts w:ascii="Arial" w:hAnsi="Arial" w:cs="Arial" w:hint="eastAsia"/>
          <w:kern w:val="0"/>
          <w:szCs w:val="21"/>
        </w:rPr>
        <w:t>非交易</w:t>
      </w:r>
      <w:proofErr w:type="gramEnd"/>
      <w:r>
        <w:rPr>
          <w:rFonts w:ascii="Arial" w:hAnsi="Arial" w:cs="Arial" w:hint="eastAsia"/>
          <w:kern w:val="0"/>
          <w:szCs w:val="21"/>
        </w:rPr>
        <w:t>过户、转托管等业务的规则；</w:t>
      </w:r>
    </w:p>
    <w:p w14:paraId="1189B9B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7</w:t>
      </w:r>
      <w:r>
        <w:rPr>
          <w:rFonts w:ascii="Arial" w:hAnsi="Arial" w:cs="Arial" w:hint="eastAsia"/>
          <w:kern w:val="0"/>
          <w:szCs w:val="21"/>
        </w:rPr>
        <w:t>、除法律法规或基金合同规定应当召开基金份额持有人大会以外的其他情形。</w:t>
      </w:r>
    </w:p>
    <w:p w14:paraId="6BA6A6B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（四）召集方式：</w:t>
      </w:r>
    </w:p>
    <w:p w14:paraId="73561F9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1</w:t>
      </w:r>
      <w:r>
        <w:rPr>
          <w:rFonts w:ascii="Arial" w:hAnsi="Arial" w:cs="Arial" w:hint="eastAsia"/>
          <w:kern w:val="0"/>
          <w:szCs w:val="21"/>
        </w:rPr>
        <w:t>、除法律法规或基金合同另有约定外，基金份额持有人大会由基金管理人召集。基金管理人未按规定召集或不能召集时，由基金托管人召集。</w:t>
      </w:r>
    </w:p>
    <w:p w14:paraId="4A06690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、基金托管人认为有必要召开基金份额持有人大会的，应当向基金管理人提出书面提议。基金管理人应当自收到书面提议之日起</w:t>
      </w:r>
      <w:r>
        <w:rPr>
          <w:rFonts w:ascii="Arial" w:hAnsi="Arial" w:cs="Arial" w:hint="eastAsia"/>
          <w:kern w:val="0"/>
          <w:szCs w:val="21"/>
        </w:rPr>
        <w:t>10</w:t>
      </w:r>
      <w:r>
        <w:rPr>
          <w:rFonts w:ascii="Arial" w:hAnsi="Arial" w:cs="Arial" w:hint="eastAsia"/>
          <w:kern w:val="0"/>
          <w:szCs w:val="21"/>
        </w:rPr>
        <w:t>日内决定是否召集，并书面告知基金托管人。</w:t>
      </w:r>
      <w:r>
        <w:rPr>
          <w:rFonts w:ascii="Arial" w:hAnsi="Arial" w:cs="Arial" w:hint="eastAsia"/>
          <w:kern w:val="0"/>
          <w:szCs w:val="21"/>
        </w:rPr>
        <w:br/>
      </w:r>
      <w:r>
        <w:rPr>
          <w:rFonts w:ascii="Arial" w:hAnsi="Arial" w:cs="Arial" w:hint="eastAsia"/>
          <w:kern w:val="0"/>
          <w:szCs w:val="21"/>
        </w:rPr>
        <w:t>基金管理人决定召集的，应当自出具书面决定之日起</w:t>
      </w:r>
      <w:r>
        <w:rPr>
          <w:rFonts w:ascii="Arial" w:hAnsi="Arial" w:cs="Arial" w:hint="eastAsia"/>
          <w:kern w:val="0"/>
          <w:szCs w:val="21"/>
        </w:rPr>
        <w:t>60</w:t>
      </w:r>
      <w:r>
        <w:rPr>
          <w:rFonts w:ascii="Arial" w:hAnsi="Arial" w:cs="Arial" w:hint="eastAsia"/>
          <w:kern w:val="0"/>
          <w:szCs w:val="21"/>
        </w:rPr>
        <w:t>日内召开；基金管理人决定不召集，基金托管人仍认为有必要召开的，应当自行召集。</w:t>
      </w:r>
    </w:p>
    <w:p w14:paraId="72F7F98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、代表基金份额</w:t>
      </w:r>
      <w:r>
        <w:rPr>
          <w:rFonts w:ascii="Arial" w:hAnsi="Arial" w:cs="Arial" w:hint="eastAsia"/>
          <w:kern w:val="0"/>
          <w:szCs w:val="21"/>
        </w:rPr>
        <w:t>10%</w:t>
      </w:r>
      <w:r>
        <w:rPr>
          <w:rFonts w:ascii="Arial" w:hAnsi="Arial" w:cs="Arial" w:hint="eastAsia"/>
          <w:kern w:val="0"/>
          <w:szCs w:val="21"/>
        </w:rPr>
        <w:t>以上的基金份额持有人认为有必要召开基金份额持有人大会的，应当向基金管理人提出书面提议。基金管理人应当自收到书面提议之日起</w:t>
      </w:r>
      <w:r>
        <w:rPr>
          <w:rFonts w:ascii="Arial" w:hAnsi="Arial" w:cs="Arial" w:hint="eastAsia"/>
          <w:kern w:val="0"/>
          <w:szCs w:val="21"/>
        </w:rPr>
        <w:t>10</w:t>
      </w:r>
      <w:r>
        <w:rPr>
          <w:rFonts w:ascii="Arial" w:hAnsi="Arial" w:cs="Arial" w:hint="eastAsia"/>
          <w:kern w:val="0"/>
          <w:szCs w:val="21"/>
        </w:rPr>
        <w:t>日内决定是否召集，并书面告知提出提议的基金份额持有人代表和基金托管人。</w:t>
      </w:r>
      <w:r>
        <w:rPr>
          <w:rFonts w:ascii="Arial" w:hAnsi="Arial" w:cs="Arial" w:hint="eastAsia"/>
          <w:kern w:val="0"/>
          <w:szCs w:val="21"/>
        </w:rPr>
        <w:br/>
        <w:t xml:space="preserve">    </w:t>
      </w:r>
      <w:r>
        <w:rPr>
          <w:rFonts w:ascii="Arial" w:hAnsi="Arial" w:cs="Arial" w:hint="eastAsia"/>
          <w:kern w:val="0"/>
          <w:szCs w:val="21"/>
        </w:rPr>
        <w:t>基金管理人决定召集的，应当自出具书面决定之日起</w:t>
      </w:r>
      <w:r>
        <w:rPr>
          <w:rFonts w:ascii="Arial" w:hAnsi="Arial" w:cs="Arial" w:hint="eastAsia"/>
          <w:kern w:val="0"/>
          <w:szCs w:val="21"/>
        </w:rPr>
        <w:t>60</w:t>
      </w:r>
      <w:r>
        <w:rPr>
          <w:rFonts w:ascii="Arial" w:hAnsi="Arial" w:cs="Arial" w:hint="eastAsia"/>
          <w:kern w:val="0"/>
          <w:szCs w:val="21"/>
        </w:rPr>
        <w:t>日内召开；基金管理人决定不召集，代表基金份额</w:t>
      </w:r>
      <w:r>
        <w:rPr>
          <w:rFonts w:ascii="Arial" w:hAnsi="Arial" w:cs="Arial" w:hint="eastAsia"/>
          <w:kern w:val="0"/>
          <w:szCs w:val="21"/>
        </w:rPr>
        <w:t>10%</w:t>
      </w:r>
      <w:r>
        <w:rPr>
          <w:rFonts w:ascii="Arial" w:hAnsi="Arial" w:cs="Arial" w:hint="eastAsia"/>
          <w:kern w:val="0"/>
          <w:szCs w:val="21"/>
        </w:rPr>
        <w:t>以上的基金份额持有人仍认为有必要召开的，应当向基金托管人提出书面提议。</w:t>
      </w:r>
      <w:r>
        <w:rPr>
          <w:rFonts w:ascii="Arial" w:hAnsi="Arial" w:cs="Arial" w:hint="eastAsia"/>
          <w:kern w:val="0"/>
          <w:szCs w:val="21"/>
        </w:rPr>
        <w:br/>
        <w:t xml:space="preserve">    </w:t>
      </w:r>
      <w:r>
        <w:rPr>
          <w:rFonts w:ascii="Arial" w:hAnsi="Arial" w:cs="Arial" w:hint="eastAsia"/>
          <w:kern w:val="0"/>
          <w:szCs w:val="21"/>
        </w:rPr>
        <w:t>基金托管人应当自收到书面提议之日起</w:t>
      </w:r>
      <w:r>
        <w:rPr>
          <w:rFonts w:ascii="Arial" w:hAnsi="Arial" w:cs="Arial" w:hint="eastAsia"/>
          <w:kern w:val="0"/>
          <w:szCs w:val="21"/>
        </w:rPr>
        <w:t>10</w:t>
      </w:r>
      <w:r>
        <w:rPr>
          <w:rFonts w:ascii="Arial" w:hAnsi="Arial" w:cs="Arial" w:hint="eastAsia"/>
          <w:kern w:val="0"/>
          <w:szCs w:val="21"/>
        </w:rPr>
        <w:t>日内决定是否召集，并书面告知提出提议的基金份额持有人代表和基金管理人；基金托管人决定召集的，应当自出具书面决定之日起</w:t>
      </w:r>
      <w:r>
        <w:rPr>
          <w:rFonts w:ascii="Arial" w:hAnsi="Arial" w:cs="Arial" w:hint="eastAsia"/>
          <w:kern w:val="0"/>
          <w:szCs w:val="21"/>
        </w:rPr>
        <w:t>60</w:t>
      </w:r>
      <w:r>
        <w:rPr>
          <w:rFonts w:ascii="Arial" w:hAnsi="Arial" w:cs="Arial" w:hint="eastAsia"/>
          <w:kern w:val="0"/>
          <w:szCs w:val="21"/>
        </w:rPr>
        <w:t>日内召开。</w:t>
      </w:r>
    </w:p>
    <w:p w14:paraId="2E2D5F0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、代表基金份额</w:t>
      </w:r>
      <w:r>
        <w:rPr>
          <w:rFonts w:ascii="Arial" w:hAnsi="Arial" w:cs="Arial" w:hint="eastAsia"/>
          <w:kern w:val="0"/>
          <w:szCs w:val="21"/>
        </w:rPr>
        <w:t>10%</w:t>
      </w:r>
      <w:r>
        <w:rPr>
          <w:rFonts w:ascii="Arial" w:hAnsi="Arial" w:cs="Arial" w:hint="eastAsia"/>
          <w:kern w:val="0"/>
          <w:szCs w:val="21"/>
        </w:rPr>
        <w:t>的基金份额持有人就同一事项书面要求召开基金份额持有人大会，而基金管理人、基金托管人都不召集的，代表基金份额</w:t>
      </w:r>
      <w:r>
        <w:rPr>
          <w:rFonts w:ascii="Arial" w:hAnsi="Arial" w:cs="Arial" w:hint="eastAsia"/>
          <w:kern w:val="0"/>
          <w:szCs w:val="21"/>
        </w:rPr>
        <w:t>10%</w:t>
      </w:r>
      <w:r>
        <w:rPr>
          <w:rFonts w:ascii="Arial" w:hAnsi="Arial" w:cs="Arial" w:hint="eastAsia"/>
          <w:kern w:val="0"/>
          <w:szCs w:val="21"/>
        </w:rPr>
        <w:t>以上的基金份额持有人有权自行召集，并至少提前</w:t>
      </w:r>
      <w:r>
        <w:rPr>
          <w:rFonts w:ascii="Arial" w:hAnsi="Arial" w:cs="Arial" w:hint="eastAsia"/>
          <w:kern w:val="0"/>
          <w:szCs w:val="21"/>
        </w:rPr>
        <w:t>30</w:t>
      </w:r>
      <w:r>
        <w:rPr>
          <w:rFonts w:ascii="Arial" w:hAnsi="Arial" w:cs="Arial" w:hint="eastAsia"/>
          <w:kern w:val="0"/>
          <w:szCs w:val="21"/>
        </w:rPr>
        <w:t>日报中国证监会备案。</w:t>
      </w:r>
    </w:p>
    <w:p w14:paraId="1DA464D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、基金份额持有人依法自行召集基金份额持有人大会的，基金管理人、基金托管人应当配合，不得阻碍、干扰。</w:t>
      </w:r>
    </w:p>
    <w:p w14:paraId="46BD744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、基金份额持有人大会的召集人负责选择确定开会时间、地点、方式和权益登记日。</w:t>
      </w:r>
    </w:p>
    <w:p w14:paraId="6D21CDE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（五）通知</w:t>
      </w:r>
    </w:p>
    <w:p w14:paraId="44E44300" w14:textId="4EAB7D4C"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召开基金份额持有人大会，召集人应当于会议召开前</w:t>
      </w:r>
      <w:r>
        <w:rPr>
          <w:rFonts w:ascii="Arial" w:hAnsi="Arial" w:cs="Arial" w:hint="eastAsia"/>
          <w:kern w:val="0"/>
          <w:szCs w:val="21"/>
        </w:rPr>
        <w:t>30</w:t>
      </w:r>
      <w:r>
        <w:rPr>
          <w:rFonts w:ascii="Arial" w:hAnsi="Arial" w:cs="Arial" w:hint="eastAsia"/>
          <w:kern w:val="0"/>
          <w:szCs w:val="21"/>
        </w:rPr>
        <w:t>天在指定媒介上公告。基金份额持有人大会不得就未经公告的事项进行表决。基金份额持有人大会通知将至少载明以下内容：</w:t>
      </w:r>
    </w:p>
    <w:p w14:paraId="03EB200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、会议召开的时间、地点、方式；</w:t>
      </w:r>
    </w:p>
    <w:p w14:paraId="6E3996B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、会议</w:t>
      </w:r>
      <w:proofErr w:type="gramStart"/>
      <w:r>
        <w:rPr>
          <w:rFonts w:ascii="Arial" w:hAnsi="Arial" w:cs="Arial" w:hint="eastAsia"/>
          <w:kern w:val="0"/>
          <w:szCs w:val="21"/>
        </w:rPr>
        <w:t>拟审议</w:t>
      </w:r>
      <w:proofErr w:type="gramEnd"/>
      <w:r>
        <w:rPr>
          <w:rFonts w:ascii="Arial" w:hAnsi="Arial" w:cs="Arial" w:hint="eastAsia"/>
          <w:kern w:val="0"/>
          <w:szCs w:val="21"/>
        </w:rPr>
        <w:t>的主要事项、议事程序和表决方式；</w:t>
      </w:r>
    </w:p>
    <w:p w14:paraId="3258F92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、代理投票授权委托书的内容要求、送达时间和地点；</w:t>
      </w:r>
    </w:p>
    <w:p w14:paraId="1A5BFA7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、会务常设联系人姓名、电话；</w:t>
      </w:r>
    </w:p>
    <w:p w14:paraId="55A41C7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、权益登记日；</w:t>
      </w:r>
    </w:p>
    <w:p w14:paraId="13E3EEE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如采用通讯表决方式，还应载明具体通讯方式、委托的公证机关及其联系方式和联系人、书面表达意见的寄交和收取方式、投票表决的截止日以及表决票的送达地址等内容。如召集人为基金管理人，还应另行书面通知基金托管人到指定地点对书面表决意见的计票进行监督；如召集人为基金托管人，则应另行书面通知基金管理人到指定地点对书面表决意见</w:t>
      </w:r>
      <w:r>
        <w:rPr>
          <w:rFonts w:ascii="Arial" w:hAnsi="Arial" w:cs="Arial" w:hint="eastAsia"/>
          <w:kern w:val="0"/>
          <w:szCs w:val="21"/>
        </w:rPr>
        <w:lastRenderedPageBreak/>
        <w:t>的计票进行监督；如召集人为基金份额持有人，则应另行书面通知基金管理人和基金托管人到指定地点对书面表决意见的计票进行监督。基金管理人或基金托管人</w:t>
      </w:r>
      <w:proofErr w:type="gramStart"/>
      <w:r>
        <w:rPr>
          <w:rFonts w:ascii="Arial" w:hAnsi="Arial" w:cs="Arial" w:hint="eastAsia"/>
          <w:kern w:val="0"/>
          <w:szCs w:val="21"/>
        </w:rPr>
        <w:t>拒不派</w:t>
      </w:r>
      <w:proofErr w:type="gramEnd"/>
      <w:r>
        <w:rPr>
          <w:rFonts w:ascii="Arial" w:hAnsi="Arial" w:cs="Arial" w:hint="eastAsia"/>
          <w:kern w:val="0"/>
          <w:szCs w:val="21"/>
        </w:rPr>
        <w:t>代表对书面表决意见的计票进行监督的，不影响表决意见的计票效力。</w:t>
      </w:r>
    </w:p>
    <w:p w14:paraId="2A50AAD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（六）开会方式</w:t>
      </w:r>
    </w:p>
    <w:p w14:paraId="73B710A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份额持有人大会的召开方式包括现场开会、通讯方式开会或法律法规、中国证监会允许的其他方式。现场开会由基金份额持有人本人出席或通过授权委派其代理人出席，现场开会时基金管理人和基金托管人的授权代表应当出席；通讯方式</w:t>
      </w:r>
      <w:proofErr w:type="gramStart"/>
      <w:r>
        <w:rPr>
          <w:rFonts w:ascii="Arial" w:hAnsi="Arial" w:cs="Arial" w:hint="eastAsia"/>
          <w:kern w:val="0"/>
          <w:szCs w:val="21"/>
        </w:rPr>
        <w:t>开会指</w:t>
      </w:r>
      <w:proofErr w:type="gramEnd"/>
      <w:r>
        <w:rPr>
          <w:rFonts w:ascii="Arial" w:hAnsi="Arial" w:cs="Arial" w:hint="eastAsia"/>
          <w:kern w:val="0"/>
          <w:szCs w:val="21"/>
        </w:rPr>
        <w:t>按照基金合同的相关规定以通讯的书面方式进行表决。会议的召开方式由召集人确定，但决定基金管理人更换或基金托管人的更换、转换基金运作方式和终止基金合同事宜必须以现场开会方式召开基金份额持有人大会。</w:t>
      </w:r>
    </w:p>
    <w:p w14:paraId="510613D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现场开会同时符合以下条件时，可以进行基金份额持有人大会议程：</w:t>
      </w:r>
    </w:p>
    <w:p w14:paraId="7133AB5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、亲自出席会议者持有基金份额的凭证和受托出席会议者出具的委托人持有基金份额的凭证和授权委托书等文件符合法律法规、本基金合同和会议通知的规定；</w:t>
      </w:r>
    </w:p>
    <w:p w14:paraId="6640339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、经核对，汇总到会者出示的在权益登记日持有基金份额的凭证显示，全部有效凭证所代表的基金份额占权益登记日基金总份额的</w:t>
      </w:r>
      <w:r>
        <w:rPr>
          <w:rFonts w:ascii="Arial" w:hAnsi="Arial" w:cs="Arial" w:hint="eastAsia"/>
          <w:kern w:val="0"/>
          <w:szCs w:val="21"/>
        </w:rPr>
        <w:t>50%</w:t>
      </w:r>
      <w:r>
        <w:rPr>
          <w:rFonts w:ascii="Arial" w:hAnsi="Arial" w:cs="Arial" w:hint="eastAsia"/>
          <w:kern w:val="0"/>
          <w:szCs w:val="21"/>
        </w:rPr>
        <w:t>以上。</w:t>
      </w:r>
    </w:p>
    <w:p w14:paraId="4807264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在同时符合以下条件时，通讯开会的方式视为有效：</w:t>
      </w:r>
    </w:p>
    <w:p w14:paraId="5555560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、召集人按基金合同规定公布会议通知后，在两个工作日内连续公布相关提示性公告；</w:t>
      </w:r>
    </w:p>
    <w:p w14:paraId="45D12BC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召集人按基金合同规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14:paraId="0489026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、本人直接出具书面意见或授权他人代表出具书面意见的基金份额持有人所代表的基金份额占权益登记日基金总份额的</w:t>
      </w:r>
      <w:r>
        <w:rPr>
          <w:rFonts w:ascii="Arial" w:hAnsi="Arial" w:cs="Arial" w:hint="eastAsia"/>
          <w:kern w:val="0"/>
          <w:szCs w:val="21"/>
        </w:rPr>
        <w:t>50%</w:t>
      </w:r>
      <w:r>
        <w:rPr>
          <w:rFonts w:ascii="Arial" w:hAnsi="Arial" w:cs="Arial" w:hint="eastAsia"/>
          <w:kern w:val="0"/>
          <w:szCs w:val="21"/>
        </w:rPr>
        <w:t>以上；</w:t>
      </w:r>
    </w:p>
    <w:p w14:paraId="172D069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直接出具书面意见的基金份额持有人或受托代表他人出具书面意见的其他代表，同时提交的身份证明、持有基金份额的凭证和受托出席会议者出具的委托人持有基金份额的凭证和授权委托书等文件符合法律法规、基金合同和会议通知的规定；</w:t>
      </w:r>
    </w:p>
    <w:p w14:paraId="356300B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、会议通知公布前已报中国证监会备案。</w:t>
      </w:r>
    </w:p>
    <w:p w14:paraId="32200E6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如果开会条件达不到上述的条件，则召集人可另行确定并公告重新表决的时间</w:t>
      </w:r>
      <w:r>
        <w:rPr>
          <w:rFonts w:ascii="Arial" w:hAnsi="Arial" w:cs="Arial" w:hint="eastAsia"/>
          <w:kern w:val="0"/>
          <w:szCs w:val="21"/>
        </w:rPr>
        <w:t>(</w:t>
      </w:r>
      <w:r>
        <w:rPr>
          <w:rFonts w:ascii="Arial" w:hAnsi="Arial" w:cs="Arial" w:hint="eastAsia"/>
          <w:kern w:val="0"/>
          <w:szCs w:val="21"/>
        </w:rPr>
        <w:t>至少应在</w:t>
      </w:r>
      <w:r>
        <w:rPr>
          <w:rFonts w:ascii="Arial" w:hAnsi="Arial" w:cs="Arial" w:hint="eastAsia"/>
          <w:kern w:val="0"/>
          <w:szCs w:val="21"/>
        </w:rPr>
        <w:t xml:space="preserve">25 </w:t>
      </w:r>
      <w:proofErr w:type="gramStart"/>
      <w:r>
        <w:rPr>
          <w:rFonts w:ascii="Arial" w:hAnsi="Arial" w:cs="Arial" w:hint="eastAsia"/>
          <w:kern w:val="0"/>
          <w:szCs w:val="21"/>
        </w:rPr>
        <w:t>个</w:t>
      </w:r>
      <w:proofErr w:type="gramEnd"/>
      <w:r>
        <w:rPr>
          <w:rFonts w:ascii="Arial" w:hAnsi="Arial" w:cs="Arial" w:hint="eastAsia"/>
          <w:kern w:val="0"/>
          <w:szCs w:val="21"/>
        </w:rPr>
        <w:t>工作日后</w:t>
      </w:r>
      <w:r>
        <w:rPr>
          <w:rFonts w:ascii="Arial" w:hAnsi="Arial" w:cs="Arial" w:hint="eastAsia"/>
          <w:kern w:val="0"/>
          <w:szCs w:val="21"/>
        </w:rPr>
        <w:t>)</w:t>
      </w:r>
      <w:r>
        <w:rPr>
          <w:rFonts w:ascii="Arial" w:hAnsi="Arial" w:cs="Arial" w:hint="eastAsia"/>
          <w:kern w:val="0"/>
          <w:szCs w:val="21"/>
        </w:rPr>
        <w:t>，且确定有权出席会议的基金份额持有人资格的权益登记日应保持不变。在法律法规或监管机构允许的情况下，经会议通知载明，基金份额持有人也可以采用网络、电话或其他方式进行表决，或者采用网络、电话或其他方式授权他人代为出席会议并表决。</w:t>
      </w:r>
    </w:p>
    <w:p w14:paraId="12D4702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（七）议事内容与程序</w:t>
      </w:r>
    </w:p>
    <w:p w14:paraId="7ADFB55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、议事内容及提案权</w:t>
      </w:r>
    </w:p>
    <w:p w14:paraId="733C289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w:t>
      </w:r>
      <w:r>
        <w:rPr>
          <w:rFonts w:ascii="Arial" w:hAnsi="Arial" w:cs="Arial" w:hint="eastAsia"/>
          <w:kern w:val="0"/>
          <w:szCs w:val="21"/>
        </w:rPr>
        <w:t>1</w:t>
      </w:r>
      <w:r>
        <w:rPr>
          <w:rFonts w:ascii="Arial" w:hAnsi="Arial" w:cs="Arial" w:hint="eastAsia"/>
          <w:kern w:val="0"/>
          <w:szCs w:val="21"/>
        </w:rPr>
        <w:t>）议事内容限为本条前述第（二）款规定的基金份额持有人大会召开事由范围内的事项。</w:t>
      </w:r>
    </w:p>
    <w:p w14:paraId="65EDF10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）基金管理人、基金托管人、代表基金份额</w:t>
      </w:r>
      <w:r>
        <w:rPr>
          <w:rFonts w:ascii="Arial" w:hAnsi="Arial" w:cs="Arial" w:hint="eastAsia"/>
          <w:kern w:val="0"/>
          <w:szCs w:val="21"/>
        </w:rPr>
        <w:t>10%</w:t>
      </w:r>
      <w:r>
        <w:rPr>
          <w:rFonts w:ascii="Arial" w:hAnsi="Arial" w:cs="Arial" w:hint="eastAsia"/>
          <w:kern w:val="0"/>
          <w:szCs w:val="21"/>
        </w:rPr>
        <w:t>以上的基金份额持有人可以在大会召集人发出会议通知前向大会召集人提交需由基金份额持有人大会审议表决的提案。</w:t>
      </w:r>
    </w:p>
    <w:p w14:paraId="7443D6E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）对于基金份额持有人提交的提案，大会召集人应当按照以下原则对提案进行审核：</w:t>
      </w:r>
    </w:p>
    <w:p w14:paraId="6999564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a</w:t>
      </w:r>
      <w:r>
        <w:rPr>
          <w:rFonts w:ascii="Arial" w:hAnsi="Arial" w:cs="Arial" w:hint="eastAsia"/>
          <w:kern w:val="0"/>
          <w:szCs w:val="21"/>
        </w:rPr>
        <w:t>、关联性。大会召集人对于基金份额持有人提案涉及事项与基金有直接关系，并且不超出法律法规和基金合同规定的基金份额持有人大会职权范围的，应提交大会审议；对于不符合上述要求的，不提交基金份额持有人大会审议。如果召集人决定不将基金份额持有人提案提交大会表决，应当在该次基金份额持有人大会上进行解释和说明。</w:t>
      </w:r>
    </w:p>
    <w:p w14:paraId="3A90D34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b</w:t>
      </w:r>
      <w:r>
        <w:rPr>
          <w:rFonts w:ascii="Arial" w:hAnsi="Arial" w:cs="Arial" w:hint="eastAsia"/>
          <w:kern w:val="0"/>
          <w:szCs w:val="21"/>
        </w:rPr>
        <w:t>、程序性。大会召集人可以对基金份额持有人的提案涉及的程序性问题做出决定。如将其提案进行分拆或合并表决，需征得原提案人同意；原提案人不同意变更的，大会主持人可以就程序性问题提请基金份额持有人大会做出决定，并按照基金份额持有人大会决定的程序进行审议。</w:t>
      </w:r>
    </w:p>
    <w:p w14:paraId="6105A4E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）单独或合并持有权益登记日基金份额</w:t>
      </w:r>
      <w:r>
        <w:rPr>
          <w:rFonts w:ascii="Arial" w:hAnsi="Arial" w:cs="Arial" w:hint="eastAsia"/>
          <w:kern w:val="0"/>
          <w:szCs w:val="21"/>
        </w:rPr>
        <w:t>10%</w:t>
      </w:r>
      <w:r>
        <w:rPr>
          <w:rFonts w:ascii="Arial" w:hAnsi="Arial" w:cs="Arial" w:hint="eastAsia"/>
          <w:kern w:val="0"/>
          <w:szCs w:val="21"/>
        </w:rPr>
        <w:t>以上的基金份额持有人提交基金份额持有人大会审议表决的提案，或基金管理人或基金托管人提交基金份额持有人大会审议表决的提案，未获得基金份额持有人大会审议通过，就同一提案再次提请基金份额持有人大会审议，其时间间隔不少于</w:t>
      </w:r>
      <w:r>
        <w:rPr>
          <w:rFonts w:ascii="Arial" w:hAnsi="Arial" w:cs="Arial" w:hint="eastAsia"/>
          <w:kern w:val="0"/>
          <w:szCs w:val="21"/>
        </w:rPr>
        <w:t>6</w:t>
      </w:r>
      <w:r>
        <w:rPr>
          <w:rFonts w:ascii="Arial" w:hAnsi="Arial" w:cs="Arial" w:hint="eastAsia"/>
          <w:kern w:val="0"/>
          <w:szCs w:val="21"/>
        </w:rPr>
        <w:t>个月。法律法规另有规定的除外。</w:t>
      </w:r>
    </w:p>
    <w:p w14:paraId="3093290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）基金份额持有人大会不得对未事先公告的议事内容进行表决。</w:t>
      </w:r>
    </w:p>
    <w:p w14:paraId="1899AA7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、议事程序</w:t>
      </w:r>
    </w:p>
    <w:p w14:paraId="5A2E590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在现场开会的方式下，首先由召集人宣读提案，经讨论后进行表决，并形成大会决议，报经中国证监会核准或备案后生效。</w:t>
      </w:r>
    </w:p>
    <w:p w14:paraId="3F1B00D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若召集人为基金管理人授权出席会议的代表，在基金管理人授权代表未能主持大会的情况下，由基金托管人授权出席会议的代表主持；如果基金管理人授权代表和基金托管人授权代表均未能主持大会，则由出席大会的基金份额持有人和代理人以所持表决权的</w:t>
      </w:r>
      <w:r>
        <w:rPr>
          <w:rFonts w:ascii="Arial" w:hAnsi="Arial" w:cs="Arial" w:hint="eastAsia"/>
          <w:kern w:val="0"/>
          <w:szCs w:val="21"/>
        </w:rPr>
        <w:t>50%</w:t>
      </w:r>
      <w:r>
        <w:rPr>
          <w:rFonts w:ascii="Arial" w:hAnsi="Arial" w:cs="Arial" w:hint="eastAsia"/>
          <w:kern w:val="0"/>
          <w:szCs w:val="21"/>
        </w:rPr>
        <w:t>以上（含</w:t>
      </w:r>
      <w:r>
        <w:rPr>
          <w:rFonts w:ascii="Arial" w:hAnsi="Arial" w:cs="Arial" w:hint="eastAsia"/>
          <w:kern w:val="0"/>
          <w:szCs w:val="21"/>
        </w:rPr>
        <w:t>50%</w:t>
      </w:r>
      <w:r>
        <w:rPr>
          <w:rFonts w:ascii="Arial" w:hAnsi="Arial" w:cs="Arial" w:hint="eastAsia"/>
          <w:kern w:val="0"/>
          <w:szCs w:val="21"/>
        </w:rPr>
        <w:t>）选举产生一名基金份额持有人作为该次基金份额持有人大会的主持人。基金管理人和基金托管人不出席或主持基金份额持有人大会，不影响基金份额持有人大会</w:t>
      </w:r>
      <w:proofErr w:type="gramStart"/>
      <w:r>
        <w:rPr>
          <w:rFonts w:ascii="Arial" w:hAnsi="Arial" w:cs="Arial" w:hint="eastAsia"/>
          <w:kern w:val="0"/>
          <w:szCs w:val="21"/>
        </w:rPr>
        <w:t>作出</w:t>
      </w:r>
      <w:proofErr w:type="gramEnd"/>
      <w:r>
        <w:rPr>
          <w:rFonts w:ascii="Arial" w:hAnsi="Arial" w:cs="Arial" w:hint="eastAsia"/>
          <w:kern w:val="0"/>
          <w:szCs w:val="21"/>
        </w:rPr>
        <w:t>的决议的效力。</w:t>
      </w:r>
    </w:p>
    <w:p w14:paraId="09FB3B8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在通讯表决开会的方式下，首先由召集人在会议通知中公布提案，在所通知的表决截止日期第二个工作日由大会聘请的公证机关的公证员统计全部有效表决并形成决议，报经中国证监会核准或备案后生效。</w:t>
      </w:r>
    </w:p>
    <w:p w14:paraId="062674B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（八）表决</w:t>
      </w:r>
    </w:p>
    <w:p w14:paraId="0C587AC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、基金份额持有人所持每份基金份额享有平等的表决权。</w:t>
      </w:r>
    </w:p>
    <w:p w14:paraId="396C010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、基金份额持有人大会决议分为一般决议和特别决议：</w:t>
      </w:r>
    </w:p>
    <w:p w14:paraId="7F6F913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）特别决议</w:t>
      </w:r>
    </w:p>
    <w:p w14:paraId="76224BC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对于特别决议应当经参加大会的基金份额持有人所持表决权的三分之二以上（含三分之二）通过。</w:t>
      </w:r>
    </w:p>
    <w:p w14:paraId="1CC32ED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）一般决议</w:t>
      </w:r>
    </w:p>
    <w:p w14:paraId="06E81A6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对于一般决议应当经参加大会的基金份额持有人所持表决权的</w:t>
      </w:r>
      <w:r>
        <w:rPr>
          <w:rFonts w:ascii="Arial" w:hAnsi="Arial" w:cs="Arial" w:hint="eastAsia"/>
          <w:kern w:val="0"/>
          <w:szCs w:val="21"/>
        </w:rPr>
        <w:t>50%</w:t>
      </w:r>
      <w:r>
        <w:rPr>
          <w:rFonts w:ascii="Arial" w:hAnsi="Arial" w:cs="Arial" w:hint="eastAsia"/>
          <w:kern w:val="0"/>
          <w:szCs w:val="21"/>
        </w:rPr>
        <w:t>以上通过。</w:t>
      </w:r>
    </w:p>
    <w:p w14:paraId="114A0C1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更换基金管理人或者基金托管人、转换基金运作方式或终止基金合同应当以特别决议通过方为有效。</w:t>
      </w:r>
    </w:p>
    <w:p w14:paraId="60BF391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基金份额持有人大会采取记名方式进行投票表决。</w:t>
      </w:r>
    </w:p>
    <w:p w14:paraId="22FE9DB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采取通讯方式进行表决时，符合法律法规、基金合同和会议通知规定的书面表决意见即视为有效的表决；表决意见模糊不清或相互矛盾的视为弃权表决，但应当计入出具书面意见的基金份额持有人所代表的基金份额总数。</w:t>
      </w:r>
    </w:p>
    <w:p w14:paraId="1CF57EA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基金份额持有人大会的各项提案或同一项提案内并列的各项议题应当分开审议、逐项表决。</w:t>
      </w:r>
    </w:p>
    <w:p w14:paraId="11097CB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（九）计票</w:t>
      </w:r>
    </w:p>
    <w:p w14:paraId="3402C92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、现场开会</w:t>
      </w:r>
    </w:p>
    <w:p w14:paraId="69EBD85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基金份额持有人大会的主持人为召集人授权出席大会的代表，如大会由基金管理人或基金托管人召集，基金份额持有人大会的主持人应当在会议开始后宣布在出席会议的基金份额持有人中推举两名基金份额持有人代表与大会召集人授权的一名监督员</w:t>
      </w:r>
      <w:r>
        <w:rPr>
          <w:rFonts w:ascii="Arial" w:hAnsi="Arial" w:cs="Arial" w:hint="eastAsia"/>
          <w:kern w:val="0"/>
          <w:szCs w:val="21"/>
        </w:rPr>
        <w:t>(</w:t>
      </w:r>
      <w:r>
        <w:rPr>
          <w:rFonts w:ascii="Arial" w:hAnsi="Arial" w:cs="Arial" w:hint="eastAsia"/>
          <w:kern w:val="0"/>
          <w:szCs w:val="21"/>
        </w:rPr>
        <w:t>如果基金管理人为召集人，则监督员由基金托管人的授权代表担任；如基金托管人为召集人，则监督员由基金托管人在出席会议的基金份额持有人中指定</w:t>
      </w:r>
      <w:r>
        <w:rPr>
          <w:rFonts w:ascii="Arial" w:hAnsi="Arial" w:cs="Arial" w:hint="eastAsia"/>
          <w:kern w:val="0"/>
          <w:szCs w:val="21"/>
        </w:rPr>
        <w:t>)</w:t>
      </w:r>
      <w:r>
        <w:rPr>
          <w:rFonts w:ascii="Arial" w:hAnsi="Arial" w:cs="Arial" w:hint="eastAsia"/>
          <w:kern w:val="0"/>
          <w:szCs w:val="21"/>
        </w:rPr>
        <w:t>共同担任监票人；如大会由基金份额持有人自行召集，基金份额持有人大会的主持人应当在会议开始后宣布在出席会议的基金份额持有人中推举三名基金份额持有人代表担任监票人。</w:t>
      </w:r>
    </w:p>
    <w:p w14:paraId="17D7BFD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）监票人应当在基金份额持有人表决后立即进行清点并由大会主持人当场公布计票结果。</w:t>
      </w:r>
    </w:p>
    <w:p w14:paraId="4AE7C8C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如果大会主持人对于提交的表决结果有怀疑，可以对所投票数进行重新清点；如果大会主持人未进行重新清点，而出席大会的基金份额持有人或者基金份额持有人代理人对大会主持人宣布的表决结果有异议，其有权在宣布表决结果后立即要求重新清点，大会主持人应当立即重新清点并公布重新清点结果。重新清点仅限一次。</w:t>
      </w:r>
    </w:p>
    <w:p w14:paraId="390EC8D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）在基金管理人或基金托管人担任召集人的情形下，如果在计票过程中基金管理人或者基金托管人拒不配合的，则参加会议的基金份额持有人有权推举三名基金份额持有人代表共同担任监票人进行计票。</w:t>
      </w:r>
    </w:p>
    <w:p w14:paraId="073CE48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、通讯方式开会</w:t>
      </w:r>
    </w:p>
    <w:p w14:paraId="4618273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在通讯方式开会的情况下，计票方式可采取如下方式：</w:t>
      </w:r>
    </w:p>
    <w:p w14:paraId="27A58C2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由大会召集人授权的两名监票人在监督人（如果基金管理人为召集人，基金托管人为监督人；如果基金托管人为召集人，基金管理人为监督人）派出的授权代表的监督下进行计票，</w:t>
      </w:r>
      <w:r>
        <w:rPr>
          <w:rFonts w:ascii="Arial" w:hAnsi="Arial" w:cs="Arial" w:hint="eastAsia"/>
          <w:kern w:val="0"/>
          <w:szCs w:val="21"/>
        </w:rPr>
        <w:lastRenderedPageBreak/>
        <w:t>并由公证机关对其计票过程予以公证；如监督人经通知但拒绝到场监督，</w:t>
      </w:r>
      <w:proofErr w:type="gramStart"/>
      <w:r>
        <w:rPr>
          <w:rFonts w:ascii="Arial" w:hAnsi="Arial" w:cs="Arial" w:hint="eastAsia"/>
          <w:kern w:val="0"/>
          <w:szCs w:val="21"/>
        </w:rPr>
        <w:t>则大会</w:t>
      </w:r>
      <w:proofErr w:type="gramEnd"/>
      <w:r>
        <w:rPr>
          <w:rFonts w:ascii="Arial" w:hAnsi="Arial" w:cs="Arial" w:hint="eastAsia"/>
          <w:kern w:val="0"/>
          <w:szCs w:val="21"/>
        </w:rPr>
        <w:t>召集人可自行授权</w:t>
      </w:r>
      <w:r>
        <w:rPr>
          <w:rFonts w:ascii="Arial" w:hAnsi="Arial" w:cs="Arial"/>
          <w:kern w:val="0"/>
          <w:szCs w:val="21"/>
        </w:rPr>
        <w:t>3</w:t>
      </w:r>
      <w:r>
        <w:rPr>
          <w:rFonts w:ascii="Arial" w:hAnsi="Arial" w:cs="Arial" w:hint="eastAsia"/>
          <w:kern w:val="0"/>
          <w:szCs w:val="21"/>
        </w:rPr>
        <w:t>名监票人进行计票，并由公证机关对其计票过程予以公证。。</w:t>
      </w:r>
    </w:p>
    <w:p w14:paraId="14FF655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（十）生效与公告</w:t>
      </w:r>
    </w:p>
    <w:p w14:paraId="24E000B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、基金份额持有人大会按照《基金法》有关法律法规规定表决通过的事项，召集人应当自通过之日起</w:t>
      </w:r>
      <w:r>
        <w:rPr>
          <w:rFonts w:ascii="Arial" w:hAnsi="Arial" w:cs="Arial" w:hint="eastAsia"/>
          <w:kern w:val="0"/>
          <w:szCs w:val="21"/>
        </w:rPr>
        <w:t>5</w:t>
      </w:r>
      <w:r>
        <w:rPr>
          <w:rFonts w:ascii="Arial" w:hAnsi="Arial" w:cs="Arial" w:hint="eastAsia"/>
          <w:kern w:val="0"/>
          <w:szCs w:val="21"/>
        </w:rPr>
        <w:t>日内报中国证监会核准或者备案。基金份额持有人大会决定的事项自中国证监会依法核准或者出具无异议意见之日起生效。</w:t>
      </w:r>
    </w:p>
    <w:p w14:paraId="4088503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、生效的基金份额持有人大会决议对全体基金份额持有人、基金管理人、基金托管人均有法律约束力。基金管理人、基金托管人和基金份额持有人应当执行生效的基金份额持有人大会的决定。</w:t>
      </w:r>
    </w:p>
    <w:p w14:paraId="4879F864" w14:textId="23F2B3A3"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、基金份额持有人大会决议应当自中国证监会核准或出具无异议意见后</w:t>
      </w:r>
      <w:r>
        <w:rPr>
          <w:rFonts w:ascii="Arial" w:hAnsi="Arial" w:cs="Arial" w:hint="eastAsia"/>
          <w:kern w:val="0"/>
          <w:szCs w:val="21"/>
        </w:rPr>
        <w:t>2</w:t>
      </w:r>
      <w:r>
        <w:rPr>
          <w:rFonts w:ascii="Arial" w:hAnsi="Arial" w:cs="Arial" w:hint="eastAsia"/>
          <w:kern w:val="0"/>
          <w:szCs w:val="21"/>
        </w:rPr>
        <w:t>日内，由基金份额持有人大会召集人在指定媒介上公告。</w:t>
      </w:r>
    </w:p>
    <w:p w14:paraId="0A3AE6D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、如果采用通讯方式进行表决，在公告基金份额持有人大会决议时，必须将公证书全文、公证机关、公证员姓名等一同公告。</w:t>
      </w:r>
    </w:p>
    <w:p w14:paraId="10B605F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（十一）本基金与博时黄金交易型开放式证券投资基金之间在基金份额持有人大会方面的联系</w:t>
      </w:r>
      <w:r>
        <w:rPr>
          <w:rFonts w:ascii="Arial" w:hAnsi="Arial" w:cs="Arial"/>
          <w:kern w:val="0"/>
          <w:szCs w:val="21"/>
        </w:rPr>
        <w:t xml:space="preserve"> </w:t>
      </w:r>
    </w:p>
    <w:p w14:paraId="320FC25A" w14:textId="77777777" w:rsidR="00ED45CB" w:rsidRDefault="00703CCA">
      <w:pPr>
        <w:adjustRightInd w:val="0"/>
        <w:snapToGrid w:val="0"/>
        <w:spacing w:line="360" w:lineRule="auto"/>
        <w:ind w:firstLineChars="200" w:firstLine="420"/>
        <w:rPr>
          <w:rFonts w:ascii="Arial" w:hAnsi="Arial" w:cs="Arial"/>
          <w:kern w:val="0"/>
          <w:szCs w:val="21"/>
        </w:rPr>
      </w:pPr>
      <w:proofErr w:type="gramStart"/>
      <w:r>
        <w:rPr>
          <w:rFonts w:ascii="Arial" w:hAnsi="Arial" w:cs="Arial" w:hint="eastAsia"/>
          <w:kern w:val="0"/>
          <w:szCs w:val="21"/>
        </w:rPr>
        <w:t>鉴于本</w:t>
      </w:r>
      <w:proofErr w:type="gramEnd"/>
      <w:r>
        <w:rPr>
          <w:rFonts w:ascii="Arial" w:hAnsi="Arial" w:cs="Arial" w:hint="eastAsia"/>
          <w:kern w:val="0"/>
          <w:szCs w:val="21"/>
        </w:rPr>
        <w:t>基金是博时黄金交易型开放式证券投资基金的联接基金，本基金的基金份额持有人可以凭所持有的本基金份额直接参加或委派代表参加博时黄金交易型开放式证券投资</w:t>
      </w:r>
      <w:proofErr w:type="gramStart"/>
      <w:r>
        <w:rPr>
          <w:rFonts w:ascii="Arial" w:hAnsi="Arial" w:cs="Arial" w:hint="eastAsia"/>
          <w:kern w:val="0"/>
          <w:szCs w:val="21"/>
        </w:rPr>
        <w:t>基金基金</w:t>
      </w:r>
      <w:proofErr w:type="gramEnd"/>
      <w:r>
        <w:rPr>
          <w:rFonts w:ascii="Arial" w:hAnsi="Arial" w:cs="Arial" w:hint="eastAsia"/>
          <w:kern w:val="0"/>
          <w:szCs w:val="21"/>
        </w:rPr>
        <w:t>份额持有人大会并参与表决。在计算参会份额和票数时，本基金的基金份额持有人持有的享有表决权的参会份额数和表决票数为：在博时黄金交易型开放式证券投资</w:t>
      </w:r>
      <w:proofErr w:type="gramStart"/>
      <w:r>
        <w:rPr>
          <w:rFonts w:ascii="Arial" w:hAnsi="Arial" w:cs="Arial" w:hint="eastAsia"/>
          <w:kern w:val="0"/>
          <w:szCs w:val="21"/>
        </w:rPr>
        <w:t>基金基金</w:t>
      </w:r>
      <w:proofErr w:type="gramEnd"/>
      <w:r>
        <w:rPr>
          <w:rFonts w:ascii="Arial" w:hAnsi="Arial" w:cs="Arial" w:hint="eastAsia"/>
          <w:kern w:val="0"/>
          <w:szCs w:val="21"/>
        </w:rPr>
        <w:t>份额持有人大会的权益登记日，本基金持有博时黄金交易型开放式证券投资</w:t>
      </w:r>
      <w:proofErr w:type="gramStart"/>
      <w:r>
        <w:rPr>
          <w:rFonts w:ascii="Arial" w:hAnsi="Arial" w:cs="Arial" w:hint="eastAsia"/>
          <w:kern w:val="0"/>
          <w:szCs w:val="21"/>
        </w:rPr>
        <w:t>基金基金</w:t>
      </w:r>
      <w:proofErr w:type="gramEnd"/>
      <w:r>
        <w:rPr>
          <w:rFonts w:ascii="Arial" w:hAnsi="Arial" w:cs="Arial" w:hint="eastAsia"/>
          <w:kern w:val="0"/>
          <w:szCs w:val="21"/>
        </w:rPr>
        <w:t>份额的总数乘以该持有人所持有的本基金份额占本基金总份额的比例，计算结果按照四舍五入的方法，保留到整数位。</w:t>
      </w:r>
      <w:r>
        <w:rPr>
          <w:rFonts w:ascii="Arial" w:hAnsi="Arial" w:cs="Arial"/>
          <w:kern w:val="0"/>
          <w:szCs w:val="21"/>
        </w:rPr>
        <w:t xml:space="preserve"> </w:t>
      </w:r>
    </w:p>
    <w:p w14:paraId="219FC69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本基金的基金管理人不应以本基金的名义代表本基金的全体基金份额持有人以博时黄金交易型开放式证券投资基金的基金份额持有人的身份行使表决权，但可接受本基金的</w:t>
      </w:r>
      <w:proofErr w:type="gramStart"/>
      <w:r>
        <w:rPr>
          <w:rFonts w:ascii="Arial" w:hAnsi="Arial" w:cs="Arial" w:hint="eastAsia"/>
          <w:kern w:val="0"/>
          <w:szCs w:val="21"/>
        </w:rPr>
        <w:t>特定基金</w:t>
      </w:r>
      <w:proofErr w:type="gramEnd"/>
      <w:r>
        <w:rPr>
          <w:rFonts w:ascii="Arial" w:hAnsi="Arial" w:cs="Arial" w:hint="eastAsia"/>
          <w:kern w:val="0"/>
          <w:szCs w:val="21"/>
        </w:rPr>
        <w:t>份额持有人的委托以本基金的基金份额持有人代理人的身份出席博时黄金交易型开放式证券投资基金的基金份额持有人大会并参与表决。</w:t>
      </w:r>
      <w:r>
        <w:rPr>
          <w:rFonts w:ascii="Arial" w:hAnsi="Arial" w:cs="Arial"/>
          <w:kern w:val="0"/>
          <w:szCs w:val="21"/>
        </w:rPr>
        <w:t xml:space="preserve"> </w:t>
      </w:r>
    </w:p>
    <w:p w14:paraId="09919AA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本基金的基金管理人代表本基金的基金份额持有人提议召开或召集博时黄金交易型开放式证券投资基金份额持有人大会的，须先遵照本</w:t>
      </w:r>
      <w:proofErr w:type="gramStart"/>
      <w:r>
        <w:rPr>
          <w:rFonts w:ascii="Arial" w:hAnsi="Arial" w:cs="Arial" w:hint="eastAsia"/>
          <w:kern w:val="0"/>
          <w:szCs w:val="21"/>
        </w:rPr>
        <w:t>基金基金</w:t>
      </w:r>
      <w:proofErr w:type="gramEnd"/>
      <w:r>
        <w:rPr>
          <w:rFonts w:ascii="Arial" w:hAnsi="Arial" w:cs="Arial" w:hint="eastAsia"/>
          <w:kern w:val="0"/>
          <w:szCs w:val="21"/>
        </w:rPr>
        <w:t>合同的约定召开本基金的基金份额持有人大会，本基金的基金份额持有人大会决定提议召开或召集博时黄金交易型开放式证券投资</w:t>
      </w:r>
      <w:proofErr w:type="gramStart"/>
      <w:r>
        <w:rPr>
          <w:rFonts w:ascii="Arial" w:hAnsi="Arial" w:cs="Arial" w:hint="eastAsia"/>
          <w:kern w:val="0"/>
          <w:szCs w:val="21"/>
        </w:rPr>
        <w:t>基金基金</w:t>
      </w:r>
      <w:proofErr w:type="gramEnd"/>
      <w:r>
        <w:rPr>
          <w:rFonts w:ascii="Arial" w:hAnsi="Arial" w:cs="Arial" w:hint="eastAsia"/>
          <w:kern w:val="0"/>
          <w:szCs w:val="21"/>
        </w:rPr>
        <w:t>份额持有人大会的，由本</w:t>
      </w:r>
      <w:proofErr w:type="gramStart"/>
      <w:r>
        <w:rPr>
          <w:rFonts w:ascii="Arial" w:hAnsi="Arial" w:cs="Arial" w:hint="eastAsia"/>
          <w:kern w:val="0"/>
          <w:szCs w:val="21"/>
        </w:rPr>
        <w:t>基金基金</w:t>
      </w:r>
      <w:proofErr w:type="gramEnd"/>
      <w:r>
        <w:rPr>
          <w:rFonts w:ascii="Arial" w:hAnsi="Arial" w:cs="Arial" w:hint="eastAsia"/>
          <w:kern w:val="0"/>
          <w:szCs w:val="21"/>
        </w:rPr>
        <w:t>管理人代表本基金的基金份额持有人提议召开或召集博时黄金交易型开放式证券投资</w:t>
      </w:r>
      <w:proofErr w:type="gramStart"/>
      <w:r>
        <w:rPr>
          <w:rFonts w:ascii="Arial" w:hAnsi="Arial" w:cs="Arial" w:hint="eastAsia"/>
          <w:kern w:val="0"/>
          <w:szCs w:val="21"/>
        </w:rPr>
        <w:t>基金基金</w:t>
      </w:r>
      <w:proofErr w:type="gramEnd"/>
      <w:r>
        <w:rPr>
          <w:rFonts w:ascii="Arial" w:hAnsi="Arial" w:cs="Arial" w:hint="eastAsia"/>
          <w:kern w:val="0"/>
          <w:szCs w:val="21"/>
        </w:rPr>
        <w:t>份额持有人大会。</w:t>
      </w:r>
    </w:p>
    <w:p w14:paraId="31E669F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（十二）法律法规或监管机关对基金份额持有人大会另有规定的，从其规定。</w:t>
      </w:r>
    </w:p>
    <w:p w14:paraId="6F7CAB4E" w14:textId="77777777" w:rsidR="00ED45CB" w:rsidRDefault="00703CCA">
      <w:pPr>
        <w:spacing w:before="100" w:beforeAutospacing="1" w:after="100" w:afterAutospacing="1" w:line="400" w:lineRule="exact"/>
        <w:ind w:firstLine="420"/>
        <w:rPr>
          <w:rFonts w:ascii="宋体" w:hAnsi="宋体"/>
          <w:kern w:val="0"/>
          <w:szCs w:val="21"/>
        </w:rPr>
      </w:pPr>
      <w:r>
        <w:rPr>
          <w:rFonts w:ascii="宋体" w:hAnsi="宋体"/>
          <w:kern w:val="0"/>
          <w:szCs w:val="21"/>
        </w:rPr>
        <w:br w:type="page"/>
      </w:r>
    </w:p>
    <w:p w14:paraId="1CC4C979"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31" w:name="_Toc122336548"/>
      <w:bookmarkStart w:id="32" w:name="_Toc88037844"/>
      <w:bookmarkStart w:id="33" w:name="_Toc344308270"/>
      <w:r>
        <w:rPr>
          <w:rFonts w:ascii="宋体" w:eastAsia="宋体" w:hAnsi="宋体" w:hint="eastAsia"/>
          <w:sz w:val="24"/>
          <w:szCs w:val="24"/>
        </w:rPr>
        <w:t>十、基金管理人、基金托管人的更换条件和程序</w:t>
      </w:r>
      <w:bookmarkEnd w:id="31"/>
      <w:bookmarkEnd w:id="32"/>
      <w:bookmarkEnd w:id="33"/>
    </w:p>
    <w:p w14:paraId="4471DD6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（一）基金管理人和基金托管人的更换条件</w:t>
      </w:r>
    </w:p>
    <w:p w14:paraId="5F48A0D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、有下列情形之一的，基金管理人职责终止，须更换基金管理人：</w:t>
      </w:r>
    </w:p>
    <w:p w14:paraId="004E8CA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）基金管理人被依法取消基金管理资格；</w:t>
      </w:r>
    </w:p>
    <w:p w14:paraId="6076BFE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）基金管理人依法解散、依法被撤销或被依法宣告破产；</w:t>
      </w:r>
    </w:p>
    <w:p w14:paraId="46ABF31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）基金管理人被基金份额持有人大会解任；</w:t>
      </w:r>
      <w:r>
        <w:rPr>
          <w:rFonts w:ascii="Arial" w:hAnsi="Arial" w:cs="Arial" w:hint="eastAsia"/>
          <w:kern w:val="0"/>
          <w:szCs w:val="21"/>
        </w:rPr>
        <w:t xml:space="preserve"> </w:t>
      </w:r>
    </w:p>
    <w:p w14:paraId="4D99346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）法律法规规定或经中国证监会认定的其他情形。</w:t>
      </w:r>
    </w:p>
    <w:p w14:paraId="097C7A7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、有下列情形之一的，基金托管人职责终止，须更换基金托管人：</w:t>
      </w:r>
    </w:p>
    <w:p w14:paraId="0771C97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）基金托管人被依法取消基金托管资格；</w:t>
      </w:r>
    </w:p>
    <w:p w14:paraId="3349DB1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）基金托管人依法解散、依法被撤销或被依法宣告破产；</w:t>
      </w:r>
    </w:p>
    <w:p w14:paraId="33665EB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）基金托管人被基金份额持有人大会解任；</w:t>
      </w:r>
    </w:p>
    <w:p w14:paraId="794D55A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）法律法规规定或经中国证监会认定的其他情形。</w:t>
      </w:r>
    </w:p>
    <w:p w14:paraId="26DB84B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（二）基金管理人和基金托管人的更换程序</w:t>
      </w:r>
    </w:p>
    <w:p w14:paraId="4E8032C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、基金管理人的更换程序</w:t>
      </w:r>
    </w:p>
    <w:p w14:paraId="2729009E" w14:textId="77777777" w:rsidR="00ED45CB" w:rsidRDefault="00703CCA">
      <w:pPr>
        <w:adjustRightInd w:val="0"/>
        <w:snapToGrid w:val="0"/>
        <w:spacing w:line="360" w:lineRule="auto"/>
        <w:ind w:firstLineChars="200" w:firstLine="420"/>
        <w:rPr>
          <w:rFonts w:ascii="Arial" w:hAnsi="Arial" w:cs="Arial"/>
          <w:kern w:val="0"/>
          <w:szCs w:val="21"/>
        </w:rPr>
      </w:pPr>
      <w:proofErr w:type="gramStart"/>
      <w:r>
        <w:rPr>
          <w:rFonts w:ascii="Arial" w:hAnsi="Arial" w:cs="Arial" w:hint="eastAsia"/>
          <w:kern w:val="0"/>
          <w:szCs w:val="21"/>
        </w:rPr>
        <w:t>原基金</w:t>
      </w:r>
      <w:proofErr w:type="gramEnd"/>
      <w:r>
        <w:rPr>
          <w:rFonts w:ascii="Arial" w:hAnsi="Arial" w:cs="Arial" w:hint="eastAsia"/>
          <w:kern w:val="0"/>
          <w:szCs w:val="21"/>
        </w:rPr>
        <w:t>管理人退任后，基金份额持有人大会需在</w:t>
      </w:r>
      <w:r>
        <w:rPr>
          <w:rFonts w:ascii="Arial" w:hAnsi="Arial" w:cs="Arial" w:hint="eastAsia"/>
          <w:kern w:val="0"/>
          <w:szCs w:val="21"/>
        </w:rPr>
        <w:t>6</w:t>
      </w:r>
      <w:r>
        <w:rPr>
          <w:rFonts w:ascii="Arial" w:hAnsi="Arial" w:cs="Arial" w:hint="eastAsia"/>
          <w:kern w:val="0"/>
          <w:szCs w:val="21"/>
        </w:rPr>
        <w:t>个月内选任新基金管理人。在新基金管理人产生前，中国证监会可指定临时基金管理人。</w:t>
      </w:r>
    </w:p>
    <w:p w14:paraId="6B097EB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）提名：</w:t>
      </w:r>
      <w:proofErr w:type="gramStart"/>
      <w:r>
        <w:rPr>
          <w:rFonts w:ascii="Arial" w:hAnsi="Arial" w:cs="Arial" w:hint="eastAsia"/>
          <w:kern w:val="0"/>
          <w:szCs w:val="21"/>
        </w:rPr>
        <w:t>新任基金</w:t>
      </w:r>
      <w:proofErr w:type="gramEnd"/>
      <w:r>
        <w:rPr>
          <w:rFonts w:ascii="Arial" w:hAnsi="Arial" w:cs="Arial" w:hint="eastAsia"/>
          <w:kern w:val="0"/>
          <w:szCs w:val="21"/>
        </w:rPr>
        <w:t>管理人由基金托管人或代表</w:t>
      </w:r>
      <w:r>
        <w:rPr>
          <w:rFonts w:ascii="Arial" w:hAnsi="Arial" w:cs="Arial" w:hint="eastAsia"/>
          <w:kern w:val="0"/>
          <w:szCs w:val="21"/>
        </w:rPr>
        <w:t>10</w:t>
      </w:r>
      <w:r>
        <w:rPr>
          <w:rFonts w:ascii="Arial" w:hAnsi="Arial" w:cs="Arial" w:hint="eastAsia"/>
          <w:kern w:val="0"/>
          <w:szCs w:val="21"/>
        </w:rPr>
        <w:t>％以上基金份额的基金份额持有人提名。</w:t>
      </w:r>
    </w:p>
    <w:p w14:paraId="664E4F9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）决议：基金份额持有人大会对更换基金管理人形成有效决议</w:t>
      </w:r>
      <w:bookmarkStart w:id="34" w:name="OLE_LINK1"/>
      <w:r>
        <w:rPr>
          <w:rFonts w:ascii="Arial" w:hAnsi="Arial" w:cs="Arial" w:hint="eastAsia"/>
          <w:kern w:val="0"/>
          <w:szCs w:val="21"/>
        </w:rPr>
        <w:t>。</w:t>
      </w:r>
      <w:bookmarkEnd w:id="34"/>
    </w:p>
    <w:p w14:paraId="654F9D3B" w14:textId="30E244B0"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）核准并公告：基金份额持有人大会决议自通过之日起</w:t>
      </w:r>
      <w:r>
        <w:rPr>
          <w:rFonts w:ascii="Arial" w:hAnsi="Arial" w:cs="Arial" w:hint="eastAsia"/>
          <w:kern w:val="0"/>
          <w:szCs w:val="21"/>
        </w:rPr>
        <w:t>5</w:t>
      </w:r>
      <w:r>
        <w:rPr>
          <w:rFonts w:ascii="Arial" w:hAnsi="Arial" w:cs="Arial" w:hint="eastAsia"/>
          <w:kern w:val="0"/>
          <w:szCs w:val="21"/>
        </w:rPr>
        <w:t>日内，由大会召集人报中国证监会核准，并应自中国证监会核准后</w:t>
      </w:r>
      <w:r>
        <w:rPr>
          <w:rFonts w:ascii="Arial" w:hAnsi="Arial" w:cs="Arial" w:hint="eastAsia"/>
          <w:kern w:val="0"/>
          <w:szCs w:val="21"/>
        </w:rPr>
        <w:t>2</w:t>
      </w:r>
      <w:r>
        <w:rPr>
          <w:rFonts w:ascii="Arial" w:hAnsi="Arial" w:cs="Arial" w:hint="eastAsia"/>
          <w:kern w:val="0"/>
          <w:szCs w:val="21"/>
        </w:rPr>
        <w:t>日内在指定媒介上公告。</w:t>
      </w:r>
    </w:p>
    <w:p w14:paraId="3A4FD0A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）交接：基金管理人职责终止的，应当妥善保管基金管理业务资料，及时办理基金管理业务的移交手续，新基金管理人或者临时基金管理人应当及时接收。</w:t>
      </w:r>
      <w:proofErr w:type="gramStart"/>
      <w:r>
        <w:rPr>
          <w:rFonts w:ascii="Arial" w:hAnsi="Arial" w:cs="Arial" w:hint="eastAsia"/>
          <w:kern w:val="0"/>
          <w:szCs w:val="21"/>
        </w:rPr>
        <w:t>新任基金</w:t>
      </w:r>
      <w:proofErr w:type="gramEnd"/>
      <w:r>
        <w:rPr>
          <w:rFonts w:ascii="Arial" w:hAnsi="Arial" w:cs="Arial" w:hint="eastAsia"/>
          <w:kern w:val="0"/>
          <w:szCs w:val="21"/>
        </w:rPr>
        <w:t>管理人或临时基金管理人应与基金托管人核对基金资产总值和净值。</w:t>
      </w:r>
    </w:p>
    <w:p w14:paraId="23055A6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）审计并公告：基金管理人职责终止的，应当按照规定聘请会计师事务所对基金财产进行审计，并将审计结果予以公告，同时报中国证监会备案。</w:t>
      </w:r>
    </w:p>
    <w:p w14:paraId="1F6B292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）基金名称变更：基金管理人更换后，</w:t>
      </w:r>
      <w:r>
        <w:rPr>
          <w:rFonts w:ascii="Arial" w:hAnsi="Arial" w:cs="Arial"/>
          <w:kern w:val="0"/>
          <w:szCs w:val="21"/>
        </w:rPr>
        <w:t>如果原任或</w:t>
      </w:r>
      <w:proofErr w:type="gramStart"/>
      <w:r>
        <w:rPr>
          <w:rFonts w:ascii="Arial" w:hAnsi="Arial" w:cs="Arial"/>
          <w:kern w:val="0"/>
          <w:szCs w:val="21"/>
        </w:rPr>
        <w:t>新任基金</w:t>
      </w:r>
      <w:proofErr w:type="gramEnd"/>
      <w:r>
        <w:rPr>
          <w:rFonts w:ascii="Arial" w:hAnsi="Arial" w:cs="Arial"/>
          <w:kern w:val="0"/>
          <w:szCs w:val="21"/>
        </w:rPr>
        <w:t>管理人要求，</w:t>
      </w:r>
      <w:r>
        <w:rPr>
          <w:rFonts w:ascii="Arial" w:hAnsi="Arial" w:cs="Arial" w:hint="eastAsia"/>
          <w:kern w:val="0"/>
          <w:szCs w:val="21"/>
        </w:rPr>
        <w:t>本基金应替换或删除基金名称中与</w:t>
      </w:r>
      <w:proofErr w:type="gramStart"/>
      <w:r>
        <w:rPr>
          <w:rFonts w:ascii="Arial" w:hAnsi="Arial" w:cs="Arial" w:hint="eastAsia"/>
          <w:kern w:val="0"/>
          <w:szCs w:val="21"/>
        </w:rPr>
        <w:t>原基金</w:t>
      </w:r>
      <w:proofErr w:type="gramEnd"/>
      <w:r>
        <w:rPr>
          <w:rFonts w:ascii="Arial" w:hAnsi="Arial" w:cs="Arial" w:hint="eastAsia"/>
          <w:kern w:val="0"/>
          <w:szCs w:val="21"/>
        </w:rPr>
        <w:t>管理人有关的名称或商号字样。</w:t>
      </w:r>
    </w:p>
    <w:p w14:paraId="6D163B9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、基金托管人的更换程序</w:t>
      </w:r>
    </w:p>
    <w:p w14:paraId="08F9172E" w14:textId="77777777" w:rsidR="00ED45CB" w:rsidRDefault="00703CCA">
      <w:pPr>
        <w:adjustRightInd w:val="0"/>
        <w:snapToGrid w:val="0"/>
        <w:spacing w:line="360" w:lineRule="auto"/>
        <w:ind w:firstLineChars="200" w:firstLine="420"/>
        <w:rPr>
          <w:rFonts w:ascii="Arial" w:hAnsi="Arial" w:cs="Arial"/>
          <w:kern w:val="0"/>
          <w:szCs w:val="21"/>
        </w:rPr>
      </w:pPr>
      <w:proofErr w:type="gramStart"/>
      <w:r>
        <w:rPr>
          <w:rFonts w:ascii="Arial" w:hAnsi="Arial" w:cs="Arial" w:hint="eastAsia"/>
          <w:kern w:val="0"/>
          <w:szCs w:val="21"/>
        </w:rPr>
        <w:t>原基金</w:t>
      </w:r>
      <w:proofErr w:type="gramEnd"/>
      <w:r>
        <w:rPr>
          <w:rFonts w:ascii="Arial" w:hAnsi="Arial" w:cs="Arial" w:hint="eastAsia"/>
          <w:kern w:val="0"/>
          <w:szCs w:val="21"/>
        </w:rPr>
        <w:t>托管人退任后，基金份额持有人大会需在六个月内选任新基金托管人。在新基金托管人产生前，中国证监会可指定临时基金托管人。</w:t>
      </w:r>
    </w:p>
    <w:p w14:paraId="56FAF4F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）提名：</w:t>
      </w:r>
      <w:proofErr w:type="gramStart"/>
      <w:r>
        <w:rPr>
          <w:rFonts w:ascii="Arial" w:hAnsi="Arial" w:cs="Arial" w:hint="eastAsia"/>
          <w:kern w:val="0"/>
          <w:szCs w:val="21"/>
        </w:rPr>
        <w:t>新任基金</w:t>
      </w:r>
      <w:proofErr w:type="gramEnd"/>
      <w:r>
        <w:rPr>
          <w:rFonts w:ascii="Arial" w:hAnsi="Arial" w:cs="Arial" w:hint="eastAsia"/>
          <w:kern w:val="0"/>
          <w:szCs w:val="21"/>
        </w:rPr>
        <w:t>托管人由基金管理人或代表</w:t>
      </w:r>
      <w:r>
        <w:rPr>
          <w:rFonts w:ascii="Arial" w:hAnsi="Arial" w:cs="Arial" w:hint="eastAsia"/>
          <w:kern w:val="0"/>
          <w:szCs w:val="21"/>
        </w:rPr>
        <w:t>10</w:t>
      </w:r>
      <w:r>
        <w:rPr>
          <w:rFonts w:ascii="Arial" w:hAnsi="Arial" w:cs="Arial" w:hint="eastAsia"/>
          <w:kern w:val="0"/>
          <w:szCs w:val="21"/>
        </w:rPr>
        <w:t>％以上基金份额的基金份额持有人</w:t>
      </w:r>
      <w:r>
        <w:rPr>
          <w:rFonts w:ascii="Arial" w:hAnsi="Arial" w:cs="Arial" w:hint="eastAsia"/>
          <w:kern w:val="0"/>
          <w:szCs w:val="21"/>
        </w:rPr>
        <w:lastRenderedPageBreak/>
        <w:t>提名。</w:t>
      </w:r>
    </w:p>
    <w:p w14:paraId="7495470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）决议：基金份额持有人大会对更换基金托管人形成有效决议。</w:t>
      </w:r>
    </w:p>
    <w:p w14:paraId="1DD1DAF1" w14:textId="7371F0EC"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）核准并公告：基金份额持有人大会决议自通过之日起</w:t>
      </w:r>
      <w:r>
        <w:rPr>
          <w:rFonts w:ascii="Arial" w:hAnsi="Arial" w:cs="Arial" w:hint="eastAsia"/>
          <w:kern w:val="0"/>
          <w:szCs w:val="21"/>
        </w:rPr>
        <w:t>5</w:t>
      </w:r>
      <w:r>
        <w:rPr>
          <w:rFonts w:ascii="Arial" w:hAnsi="Arial" w:cs="Arial" w:hint="eastAsia"/>
          <w:kern w:val="0"/>
          <w:szCs w:val="21"/>
        </w:rPr>
        <w:t>日内，由大会召集人报中国证监会核准，并应自中国证监会核准后</w:t>
      </w:r>
      <w:r>
        <w:rPr>
          <w:rFonts w:ascii="Arial" w:hAnsi="Arial" w:cs="Arial" w:hint="eastAsia"/>
          <w:kern w:val="0"/>
          <w:szCs w:val="21"/>
        </w:rPr>
        <w:t>2</w:t>
      </w:r>
      <w:r>
        <w:rPr>
          <w:rFonts w:ascii="Arial" w:hAnsi="Arial" w:cs="Arial" w:hint="eastAsia"/>
          <w:kern w:val="0"/>
          <w:szCs w:val="21"/>
        </w:rPr>
        <w:t>日内在指定媒介上公告。</w:t>
      </w:r>
    </w:p>
    <w:p w14:paraId="16C9007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）交接：基金托管人职责终止的，应当妥善保管基金财产和基金托管业务资料，及时办理基金财产和基金托管业务的移交手续，新基金托管人或者临时基金托管人应当及时接收。</w:t>
      </w:r>
      <w:proofErr w:type="gramStart"/>
      <w:r>
        <w:rPr>
          <w:rFonts w:ascii="Arial" w:hAnsi="Arial" w:cs="Arial" w:hint="eastAsia"/>
          <w:kern w:val="0"/>
          <w:szCs w:val="21"/>
        </w:rPr>
        <w:t>新任基金</w:t>
      </w:r>
      <w:proofErr w:type="gramEnd"/>
      <w:r>
        <w:rPr>
          <w:rFonts w:ascii="Arial" w:hAnsi="Arial" w:cs="Arial" w:hint="eastAsia"/>
          <w:kern w:val="0"/>
          <w:szCs w:val="21"/>
        </w:rPr>
        <w:t>托管人或临时基金托管人与基金管理人核对基金资产总值和净值。</w:t>
      </w:r>
    </w:p>
    <w:p w14:paraId="3824399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）审计并公告：基金托管人职责终止的，基金管理人应当按照规定聘请会计师事务所对基金财产进行审计，并将审计结果予以公告，同时报中国证监会备案。</w:t>
      </w:r>
    </w:p>
    <w:p w14:paraId="60C3081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w:t>
      </w:r>
      <w:r>
        <w:rPr>
          <w:rFonts w:ascii="Arial" w:hAnsi="Arial" w:cs="Arial"/>
          <w:kern w:val="0"/>
          <w:szCs w:val="21"/>
        </w:rPr>
        <w:t>基金管理人与基金托管人同时更换</w:t>
      </w:r>
    </w:p>
    <w:p w14:paraId="351A1BD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1</w:t>
      </w:r>
      <w:r>
        <w:rPr>
          <w:rFonts w:ascii="Arial" w:hAnsi="Arial" w:cs="Arial" w:hint="eastAsia"/>
          <w:kern w:val="0"/>
          <w:szCs w:val="21"/>
        </w:rPr>
        <w:t>）</w:t>
      </w:r>
      <w:r>
        <w:rPr>
          <w:rFonts w:ascii="Arial" w:hAnsi="Arial" w:cs="Arial"/>
          <w:kern w:val="0"/>
          <w:szCs w:val="21"/>
        </w:rPr>
        <w:t>提名：如果基金管理人和基金托管人同时更换，由单独或合计持有基金总份额</w:t>
      </w:r>
      <w:r>
        <w:rPr>
          <w:rFonts w:ascii="Arial" w:hAnsi="Arial" w:cs="Arial"/>
          <w:kern w:val="0"/>
          <w:szCs w:val="21"/>
        </w:rPr>
        <w:t>10%</w:t>
      </w:r>
      <w:r>
        <w:rPr>
          <w:rFonts w:ascii="Arial" w:hAnsi="Arial" w:cs="Arial"/>
          <w:kern w:val="0"/>
          <w:szCs w:val="21"/>
        </w:rPr>
        <w:t>以上的基金份额持有人提名新的基金管理人和基金托管人；</w:t>
      </w:r>
    </w:p>
    <w:p w14:paraId="45AAFDD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2</w:t>
      </w:r>
      <w:r>
        <w:rPr>
          <w:rFonts w:ascii="Arial" w:hAnsi="Arial" w:cs="Arial" w:hint="eastAsia"/>
          <w:kern w:val="0"/>
          <w:szCs w:val="21"/>
        </w:rPr>
        <w:t>）</w:t>
      </w:r>
      <w:r>
        <w:rPr>
          <w:rFonts w:ascii="Arial" w:hAnsi="Arial" w:cs="Arial"/>
          <w:kern w:val="0"/>
          <w:szCs w:val="21"/>
        </w:rPr>
        <w:t>基金管理人和基金托管人的更换分别按上述程序进行；</w:t>
      </w:r>
    </w:p>
    <w:p w14:paraId="4BDA03AA" w14:textId="75347788"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3</w:t>
      </w:r>
      <w:r>
        <w:rPr>
          <w:rFonts w:ascii="Arial" w:hAnsi="Arial" w:cs="Arial" w:hint="eastAsia"/>
          <w:kern w:val="0"/>
          <w:szCs w:val="21"/>
        </w:rPr>
        <w:t>）</w:t>
      </w:r>
      <w:r>
        <w:rPr>
          <w:rFonts w:ascii="Arial" w:hAnsi="Arial" w:cs="Arial"/>
          <w:kern w:val="0"/>
          <w:szCs w:val="21"/>
        </w:rPr>
        <w:t>公告：</w:t>
      </w:r>
      <w:proofErr w:type="gramStart"/>
      <w:r>
        <w:rPr>
          <w:rFonts w:ascii="Arial" w:hAnsi="Arial" w:cs="Arial"/>
          <w:kern w:val="0"/>
          <w:szCs w:val="21"/>
        </w:rPr>
        <w:t>新任基金</w:t>
      </w:r>
      <w:proofErr w:type="gramEnd"/>
      <w:r>
        <w:rPr>
          <w:rFonts w:ascii="Arial" w:hAnsi="Arial" w:cs="Arial"/>
          <w:kern w:val="0"/>
          <w:szCs w:val="21"/>
        </w:rPr>
        <w:t>管理人和</w:t>
      </w:r>
      <w:proofErr w:type="gramStart"/>
      <w:r>
        <w:rPr>
          <w:rFonts w:ascii="Arial" w:hAnsi="Arial" w:cs="Arial"/>
          <w:kern w:val="0"/>
          <w:szCs w:val="21"/>
        </w:rPr>
        <w:t>新任基金</w:t>
      </w:r>
      <w:proofErr w:type="gramEnd"/>
      <w:r>
        <w:rPr>
          <w:rFonts w:ascii="Arial" w:hAnsi="Arial" w:cs="Arial"/>
          <w:kern w:val="0"/>
          <w:szCs w:val="21"/>
        </w:rPr>
        <w:t>托管人</w:t>
      </w:r>
      <w:r>
        <w:rPr>
          <w:rFonts w:ascii="Arial" w:hAnsi="Arial" w:cs="Arial" w:hint="eastAsia"/>
          <w:kern w:val="0"/>
          <w:szCs w:val="21"/>
        </w:rPr>
        <w:t>应</w:t>
      </w:r>
      <w:r>
        <w:rPr>
          <w:rFonts w:ascii="Arial" w:hAnsi="Arial" w:cs="Arial"/>
          <w:kern w:val="0"/>
          <w:szCs w:val="21"/>
        </w:rPr>
        <w:t>在</w:t>
      </w:r>
      <w:r>
        <w:rPr>
          <w:rFonts w:ascii="Arial" w:hAnsi="Arial" w:cs="Arial" w:hint="eastAsia"/>
          <w:kern w:val="0"/>
          <w:szCs w:val="21"/>
        </w:rPr>
        <w:t>更换基金管理人和基金托管人的基金份额持有人大会决议</w:t>
      </w:r>
      <w:r>
        <w:rPr>
          <w:rFonts w:ascii="Arial" w:hAnsi="Arial" w:cs="Arial"/>
          <w:kern w:val="0"/>
          <w:szCs w:val="21"/>
        </w:rPr>
        <w:t>获得中国证监会核准后</w:t>
      </w:r>
      <w:r>
        <w:rPr>
          <w:rFonts w:ascii="Arial" w:hAnsi="Arial" w:cs="Arial"/>
          <w:kern w:val="0"/>
          <w:szCs w:val="21"/>
        </w:rPr>
        <w:t>2</w:t>
      </w:r>
      <w:r>
        <w:rPr>
          <w:rFonts w:ascii="Arial" w:hAnsi="Arial" w:cs="Arial"/>
          <w:kern w:val="0"/>
          <w:szCs w:val="21"/>
        </w:rPr>
        <w:t>日内在</w:t>
      </w:r>
      <w:r>
        <w:rPr>
          <w:rFonts w:ascii="Arial" w:hAnsi="Arial" w:cs="Arial" w:hint="eastAsia"/>
          <w:kern w:val="0"/>
          <w:szCs w:val="21"/>
        </w:rPr>
        <w:t>指定媒介</w:t>
      </w:r>
      <w:r>
        <w:rPr>
          <w:rFonts w:ascii="Arial" w:hAnsi="Arial" w:cs="Arial"/>
          <w:kern w:val="0"/>
          <w:szCs w:val="21"/>
        </w:rPr>
        <w:t>上联合公告。</w:t>
      </w:r>
    </w:p>
    <w:p w14:paraId="05CB7EA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、新基金管理人接受基金管理或新基金托管人接受基金财产和基金托管业务前，</w:t>
      </w:r>
      <w:proofErr w:type="gramStart"/>
      <w:r>
        <w:rPr>
          <w:rFonts w:ascii="Arial" w:hAnsi="Arial" w:cs="Arial" w:hint="eastAsia"/>
          <w:kern w:val="0"/>
          <w:szCs w:val="21"/>
        </w:rPr>
        <w:t>原基金</w:t>
      </w:r>
      <w:proofErr w:type="gramEnd"/>
      <w:r>
        <w:rPr>
          <w:rFonts w:ascii="Arial" w:hAnsi="Arial" w:cs="Arial" w:hint="eastAsia"/>
          <w:kern w:val="0"/>
          <w:szCs w:val="21"/>
        </w:rPr>
        <w:t>管理人或基金托管人应依据法律法规和基金合同的规定继续履行相关职责，并保证不对基金份额持有人的利益造成损害。</w:t>
      </w:r>
      <w:proofErr w:type="gramStart"/>
      <w:r>
        <w:rPr>
          <w:rFonts w:ascii="Arial" w:hAnsi="Arial" w:cs="Arial" w:hint="eastAsia"/>
          <w:kern w:val="0"/>
          <w:szCs w:val="21"/>
        </w:rPr>
        <w:t>原基金</w:t>
      </w:r>
      <w:proofErr w:type="gramEnd"/>
      <w:r>
        <w:rPr>
          <w:rFonts w:ascii="Arial" w:hAnsi="Arial" w:cs="Arial" w:hint="eastAsia"/>
          <w:kern w:val="0"/>
          <w:szCs w:val="21"/>
        </w:rPr>
        <w:t>管理人或基金托管人在继续履行相关职责期间，仍有权按照本合同的规定收取基金管理费或基金托管费。</w:t>
      </w:r>
    </w:p>
    <w:p w14:paraId="6AC79E98" w14:textId="77777777" w:rsidR="00ED45CB" w:rsidRDefault="00703CCA">
      <w:pPr>
        <w:spacing w:before="100" w:beforeAutospacing="1" w:after="100" w:afterAutospacing="1" w:line="400" w:lineRule="exact"/>
        <w:ind w:firstLine="420"/>
        <w:rPr>
          <w:rFonts w:ascii="宋体" w:hAnsi="宋体"/>
          <w:kern w:val="0"/>
          <w:szCs w:val="21"/>
        </w:rPr>
      </w:pPr>
      <w:r>
        <w:rPr>
          <w:rFonts w:ascii="宋体" w:hAnsi="宋体"/>
          <w:kern w:val="0"/>
          <w:szCs w:val="21"/>
        </w:rPr>
        <w:br w:type="page"/>
      </w:r>
    </w:p>
    <w:p w14:paraId="071C0EB4"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35" w:name="_Toc122336549"/>
      <w:bookmarkStart w:id="36" w:name="_Toc344308271"/>
      <w:bookmarkStart w:id="37" w:name="_Toc88037845"/>
      <w:r>
        <w:rPr>
          <w:rFonts w:ascii="宋体" w:eastAsia="宋体" w:hAnsi="宋体" w:hint="eastAsia"/>
          <w:sz w:val="24"/>
          <w:szCs w:val="24"/>
        </w:rPr>
        <w:t>十一、基金的托管</w:t>
      </w:r>
      <w:bookmarkEnd w:id="35"/>
      <w:bookmarkEnd w:id="36"/>
      <w:bookmarkEnd w:id="37"/>
    </w:p>
    <w:p w14:paraId="5A6CCF0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财产由基金托管人依法保管。基金管理人应与基金托管人按照《基金法》、本基金合同及其他有关法律法规规定订立《博时黄金交易型开放式证券投资基金联接基金托管协议》，以明确基金管理人与基金托管人之间在基金份额持有人名册登记、基金财产的保管、基金财产的管理和运作及相互监督等相关事宜中的权利、义务及职责，确保基金财产的安全，保护基金份额持有人的合法权益。</w:t>
      </w:r>
    </w:p>
    <w:p w14:paraId="1B4E3B5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br w:type="page"/>
      </w:r>
    </w:p>
    <w:p w14:paraId="23487578"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38" w:name="_Toc122336550"/>
      <w:bookmarkStart w:id="39" w:name="_Toc88037846"/>
      <w:bookmarkStart w:id="40" w:name="_Toc344308272"/>
      <w:r>
        <w:rPr>
          <w:rFonts w:ascii="宋体" w:eastAsia="宋体" w:hAnsi="宋体" w:hint="eastAsia"/>
          <w:sz w:val="24"/>
          <w:szCs w:val="24"/>
        </w:rPr>
        <w:t>十二、基金的销售</w:t>
      </w:r>
      <w:bookmarkEnd w:id="38"/>
      <w:bookmarkEnd w:id="39"/>
      <w:bookmarkEnd w:id="40"/>
    </w:p>
    <w:p w14:paraId="2DCF3AC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（一）本基金的销售业务指接受投资者申请为其办理的本基金的认购、申购、赎回、转换、转托管、定期定额投资和客户服务等业务。</w:t>
      </w:r>
    </w:p>
    <w:p w14:paraId="020F01B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本基金的销售业务由基金管理人及基金管理人委托的其他符合条件的机构办理。基金管理人委托其他机构办理本基金认购、申购、赎回业务的，应与代理机构签订委托代理协议，以明确基金管理人和代销机构之间在基金份额认购、申购、赎回等事宜中的权利和义务，确保基金财产的安全，保护基金投资者和基金份额持有人的合法权益。销售机构应严格按照法律法规和本基金合同规定的条件办理本基金的销售业务。</w:t>
      </w:r>
    </w:p>
    <w:p w14:paraId="14C1BB60" w14:textId="77777777" w:rsidR="00ED45CB" w:rsidRDefault="00703CCA">
      <w:pPr>
        <w:spacing w:before="100" w:beforeAutospacing="1" w:after="100" w:afterAutospacing="1" w:line="400" w:lineRule="exact"/>
        <w:rPr>
          <w:rFonts w:ascii="宋体" w:hAnsi="宋体"/>
          <w:b/>
          <w:kern w:val="0"/>
          <w:szCs w:val="21"/>
        </w:rPr>
      </w:pPr>
      <w:r>
        <w:rPr>
          <w:rFonts w:ascii="宋体" w:hAnsi="宋体"/>
          <w:b/>
          <w:kern w:val="0"/>
          <w:szCs w:val="21"/>
        </w:rPr>
        <w:br w:type="page"/>
      </w:r>
    </w:p>
    <w:p w14:paraId="673E08F3"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41" w:name="_Toc88037847"/>
      <w:bookmarkStart w:id="42" w:name="_Toc344308273"/>
      <w:bookmarkStart w:id="43" w:name="_Toc122336551"/>
      <w:r>
        <w:rPr>
          <w:rFonts w:ascii="宋体" w:eastAsia="宋体" w:hAnsi="宋体" w:hint="eastAsia"/>
          <w:sz w:val="24"/>
          <w:szCs w:val="24"/>
        </w:rPr>
        <w:t>十三、基金份额的注册登记</w:t>
      </w:r>
      <w:bookmarkEnd w:id="41"/>
      <w:bookmarkEnd w:id="42"/>
      <w:bookmarkEnd w:id="43"/>
    </w:p>
    <w:p w14:paraId="51EA302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（一）本</w:t>
      </w:r>
      <w:proofErr w:type="gramStart"/>
      <w:r>
        <w:rPr>
          <w:rFonts w:ascii="Arial" w:hAnsi="Arial" w:cs="Arial" w:hint="eastAsia"/>
          <w:kern w:val="0"/>
          <w:szCs w:val="21"/>
        </w:rPr>
        <w:t>基金基金</w:t>
      </w:r>
      <w:proofErr w:type="gramEnd"/>
      <w:r>
        <w:rPr>
          <w:rFonts w:ascii="Arial" w:hAnsi="Arial" w:cs="Arial" w:hint="eastAsia"/>
          <w:kern w:val="0"/>
          <w:szCs w:val="21"/>
        </w:rPr>
        <w:t>份额的注册登记业务指本基金登记、存管、过户、清算和交收业务，具体内容包括投资者基金账户管理、基金份额注册登记、清算及基金交易确认、发放红利、建立并保管基金份额持有人名册和办理</w:t>
      </w:r>
      <w:proofErr w:type="gramStart"/>
      <w:r>
        <w:rPr>
          <w:rFonts w:ascii="Arial" w:hAnsi="Arial" w:cs="Arial" w:hint="eastAsia"/>
          <w:kern w:val="0"/>
          <w:szCs w:val="21"/>
        </w:rPr>
        <w:t>非交易</w:t>
      </w:r>
      <w:proofErr w:type="gramEnd"/>
      <w:r>
        <w:rPr>
          <w:rFonts w:ascii="Arial" w:hAnsi="Arial" w:cs="Arial" w:hint="eastAsia"/>
          <w:kern w:val="0"/>
          <w:szCs w:val="21"/>
        </w:rPr>
        <w:t>过户等。</w:t>
      </w:r>
    </w:p>
    <w:p w14:paraId="2046859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本基金的注册登记业务由基金管理人或基金管理人委托的其他符合条件的机构办理。基金管理人委托其他机构办理本基金注册登记业务的，应与代理机构签订委托代理协议，以明确基金管理人和代理机构在投资者基金账户管理、基金份额注册登记、清算及基金交易确认、代理发放红利、建立并保管基金份额持有人名册等事宜中的权利和义务，保护基金投资者和基金份额持有人的合法权益。</w:t>
      </w:r>
    </w:p>
    <w:p w14:paraId="4C7FAC8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（三）注册登记机构履行如下职责：</w:t>
      </w:r>
    </w:p>
    <w:p w14:paraId="590A732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、建立和保管基金份额持有人开户资料、交易资料、基金份额持有人名册等；</w:t>
      </w:r>
    </w:p>
    <w:p w14:paraId="00EFD31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、配备足够的专业人员办理本基金的注册登记业务；</w:t>
      </w:r>
    </w:p>
    <w:p w14:paraId="0B82F1B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、严格按照法律法规和本基金合同规定的条件办理本基金的注册登记业务；</w:t>
      </w:r>
    </w:p>
    <w:p w14:paraId="39803F8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、接受基金管理人的监督；</w:t>
      </w:r>
    </w:p>
    <w:p w14:paraId="0811933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、保持基金份额持有人名册及相关的申购与赎回等业务记录</w:t>
      </w:r>
      <w:r>
        <w:rPr>
          <w:rFonts w:ascii="Arial" w:hAnsi="Arial" w:cs="Arial" w:hint="eastAsia"/>
          <w:kern w:val="0"/>
          <w:szCs w:val="21"/>
        </w:rPr>
        <w:t>15</w:t>
      </w:r>
      <w:r>
        <w:rPr>
          <w:rFonts w:ascii="Arial" w:hAnsi="Arial" w:cs="Arial" w:hint="eastAsia"/>
          <w:kern w:val="0"/>
          <w:szCs w:val="21"/>
        </w:rPr>
        <w:t>年以上；</w:t>
      </w:r>
    </w:p>
    <w:p w14:paraId="2549887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、对基金份额持有人的基金账户信息负有保密义务，因违反该保密义务对投资者或基金带来的损失，须承担相应的赔偿责任，但按照法律法规的规定进行披露的情形除外；</w:t>
      </w:r>
    </w:p>
    <w:p w14:paraId="1105DF48" w14:textId="78DA8886"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7</w:t>
      </w:r>
      <w:r>
        <w:rPr>
          <w:rFonts w:ascii="Arial" w:hAnsi="Arial" w:cs="Arial" w:hint="eastAsia"/>
          <w:kern w:val="0"/>
          <w:szCs w:val="21"/>
        </w:rPr>
        <w:t>、按本基金合同及招募说明书、更新的招募说明书的规定，为投资者办理</w:t>
      </w:r>
      <w:proofErr w:type="gramStart"/>
      <w:r>
        <w:rPr>
          <w:rFonts w:ascii="Arial" w:hAnsi="Arial" w:cs="Arial" w:hint="eastAsia"/>
          <w:kern w:val="0"/>
          <w:szCs w:val="21"/>
        </w:rPr>
        <w:t>非交易</w:t>
      </w:r>
      <w:proofErr w:type="gramEnd"/>
      <w:r>
        <w:rPr>
          <w:rFonts w:ascii="Arial" w:hAnsi="Arial" w:cs="Arial" w:hint="eastAsia"/>
          <w:kern w:val="0"/>
          <w:szCs w:val="21"/>
        </w:rPr>
        <w:t>过户、转托管等业务、提供基金收益分配等其他必要的服务；</w:t>
      </w:r>
    </w:p>
    <w:p w14:paraId="295385A7" w14:textId="5BC57E24"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8</w:t>
      </w:r>
      <w:r>
        <w:rPr>
          <w:rFonts w:ascii="Arial" w:hAnsi="Arial" w:cs="Arial" w:hint="eastAsia"/>
          <w:kern w:val="0"/>
          <w:szCs w:val="21"/>
        </w:rPr>
        <w:t>、在法律、法规允许的范围内，对注册登记业务的办理时间进行调整，并最迟于开始实施前按规定在指定媒介上公告；</w:t>
      </w:r>
    </w:p>
    <w:p w14:paraId="043B2FD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9</w:t>
      </w:r>
      <w:r>
        <w:rPr>
          <w:rFonts w:ascii="Arial" w:hAnsi="Arial" w:cs="Arial" w:hint="eastAsia"/>
          <w:kern w:val="0"/>
          <w:szCs w:val="21"/>
        </w:rPr>
        <w:t>、法律法规规定的其他职责。</w:t>
      </w:r>
    </w:p>
    <w:p w14:paraId="6DA7DCBE" w14:textId="77777777" w:rsidR="00ED45CB" w:rsidRDefault="00703CCA">
      <w:pPr>
        <w:adjustRightInd w:val="0"/>
        <w:snapToGrid w:val="0"/>
        <w:spacing w:line="360" w:lineRule="auto"/>
        <w:ind w:firstLineChars="200" w:firstLine="420"/>
        <w:rPr>
          <w:rFonts w:ascii="宋体" w:hAnsi="宋体"/>
          <w:kern w:val="0"/>
          <w:szCs w:val="21"/>
        </w:rPr>
      </w:pPr>
      <w:r>
        <w:rPr>
          <w:rFonts w:ascii="Arial" w:hAnsi="Arial" w:cs="Arial"/>
          <w:kern w:val="0"/>
          <w:szCs w:val="21"/>
        </w:rPr>
        <w:br w:type="page"/>
      </w:r>
    </w:p>
    <w:p w14:paraId="5BCC4C59"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44" w:name="_Toc344308274"/>
      <w:bookmarkStart w:id="45" w:name="_Toc88037848"/>
      <w:bookmarkStart w:id="46" w:name="_Toc122336552"/>
      <w:r>
        <w:rPr>
          <w:rFonts w:ascii="宋体" w:eastAsia="宋体" w:hAnsi="宋体" w:hint="eastAsia"/>
          <w:sz w:val="24"/>
          <w:szCs w:val="24"/>
        </w:rPr>
        <w:t>十四、</w:t>
      </w:r>
      <w:bookmarkStart w:id="47" w:name="_Toc55791176"/>
      <w:r>
        <w:rPr>
          <w:rFonts w:ascii="宋体" w:eastAsia="宋体" w:hAnsi="宋体" w:hint="eastAsia"/>
          <w:sz w:val="24"/>
          <w:szCs w:val="24"/>
        </w:rPr>
        <w:t>基金的投资</w:t>
      </w:r>
      <w:bookmarkEnd w:id="44"/>
      <w:bookmarkEnd w:id="45"/>
      <w:bookmarkEnd w:id="46"/>
    </w:p>
    <w:p w14:paraId="4799DEC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（一）投资目标</w:t>
      </w:r>
    </w:p>
    <w:p w14:paraId="7503659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通过主要投资于</w:t>
      </w:r>
      <w:r>
        <w:rPr>
          <w:rFonts w:ascii="Arial" w:hAnsi="Arial" w:cs="Arial" w:hint="eastAsia"/>
          <w:kern w:val="0"/>
          <w:szCs w:val="21"/>
        </w:rPr>
        <w:t>博时黄金</w:t>
      </w:r>
      <w:r>
        <w:rPr>
          <w:rFonts w:ascii="Arial" w:hAnsi="Arial" w:cs="Arial"/>
          <w:kern w:val="0"/>
          <w:szCs w:val="21"/>
        </w:rPr>
        <w:t>交易型开放式证券投资基金，紧密跟踪标的指数</w:t>
      </w:r>
      <w:r>
        <w:rPr>
          <w:rFonts w:ascii="Arial" w:hAnsi="Arial" w:cs="Arial" w:hint="eastAsia"/>
          <w:kern w:val="0"/>
          <w:szCs w:val="21"/>
        </w:rPr>
        <w:t>的市场</w:t>
      </w:r>
      <w:r>
        <w:rPr>
          <w:rFonts w:ascii="Arial" w:hAnsi="Arial" w:cs="Arial"/>
          <w:kern w:val="0"/>
          <w:szCs w:val="21"/>
        </w:rPr>
        <w:t>表现，追求跟踪偏离度和跟踪误差的最小化。</w:t>
      </w:r>
    </w:p>
    <w:p w14:paraId="1E5CEC4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（二）投资范围</w:t>
      </w:r>
    </w:p>
    <w:p w14:paraId="6DE24AD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本基金主要投资于博时黄金交易型开放式证券投资基金、上海黄金交易所上市的黄金合约、上海期货交易所上市的黄金期货、债券以及中国证监会允许基金投资的其他金融工具，如融资融券、黄金租赁等。</w:t>
      </w:r>
    </w:p>
    <w:p w14:paraId="1D5D360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本基金投资于博时黄金交易型开放式证券投资基金的资产比例不低于基金资产净值的</w:t>
      </w:r>
      <w:r>
        <w:rPr>
          <w:rFonts w:ascii="Arial" w:hAnsi="Arial" w:cs="Arial"/>
          <w:kern w:val="0"/>
          <w:szCs w:val="21"/>
        </w:rPr>
        <w:t>90%</w:t>
      </w:r>
      <w:r>
        <w:rPr>
          <w:rFonts w:ascii="Arial" w:hAnsi="Arial" w:cs="Arial" w:hint="eastAsia"/>
          <w:kern w:val="0"/>
          <w:szCs w:val="21"/>
        </w:rPr>
        <w:t>。黄金合约、黄金期货、债券</w:t>
      </w:r>
      <w:r>
        <w:rPr>
          <w:rFonts w:ascii="Arial" w:hAnsi="Arial" w:cs="Arial"/>
          <w:kern w:val="0"/>
          <w:szCs w:val="21"/>
        </w:rPr>
        <w:t>及其他金融工具的投资比例依照法律法规或监管机构的规定执行</w:t>
      </w:r>
      <w:r>
        <w:rPr>
          <w:rFonts w:ascii="Arial" w:hAnsi="Arial" w:cs="Arial" w:hint="eastAsia"/>
          <w:kern w:val="0"/>
          <w:szCs w:val="21"/>
        </w:rPr>
        <w:t>。对现金或者到期日在一年以内的政府债券的投资比例不低于基金资产净值的</w:t>
      </w:r>
      <w:r>
        <w:rPr>
          <w:rFonts w:ascii="Arial" w:hAnsi="Arial" w:cs="Arial"/>
          <w:kern w:val="0"/>
          <w:szCs w:val="21"/>
        </w:rPr>
        <w:t>5%</w:t>
      </w:r>
      <w:r>
        <w:rPr>
          <w:rFonts w:ascii="Arial" w:hAnsi="Arial" w:cs="Arial" w:hint="eastAsia"/>
          <w:kern w:val="0"/>
          <w:szCs w:val="21"/>
        </w:rPr>
        <w:t>，</w:t>
      </w:r>
      <w:r>
        <w:rPr>
          <w:rFonts w:ascii="Arial" w:hAnsi="Arial" w:cs="Arial" w:hint="eastAsia"/>
          <w:bCs/>
          <w:kern w:val="0"/>
          <w:szCs w:val="21"/>
          <w:u w:val="single"/>
        </w:rPr>
        <w:t>其中，现金不包括结算备付金、存出保证金、应收申购款等。</w:t>
      </w:r>
    </w:p>
    <w:p w14:paraId="1BED846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如法律法规或监管机构以后允许基金投资的其他品种，基金管理人在履行适当程序后，可以将其纳入投资范围。</w:t>
      </w:r>
    </w:p>
    <w:p w14:paraId="01FE2F0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（三）投资理念</w:t>
      </w:r>
    </w:p>
    <w:p w14:paraId="0F5FDD5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通过主要投资于博时黄金交易型开放式证券投资基金，以期获得标的指数所表征的</w:t>
      </w:r>
      <w:r>
        <w:rPr>
          <w:rFonts w:ascii="Arial" w:hAnsi="Arial" w:cs="Arial" w:hint="eastAsia"/>
          <w:kern w:val="0"/>
          <w:szCs w:val="21"/>
        </w:rPr>
        <w:t>黄金市场</w:t>
      </w:r>
      <w:r>
        <w:rPr>
          <w:rFonts w:ascii="Arial" w:hAnsi="Arial" w:cs="Arial"/>
          <w:kern w:val="0"/>
          <w:szCs w:val="21"/>
        </w:rPr>
        <w:t>的投资收益。</w:t>
      </w:r>
    </w:p>
    <w:p w14:paraId="6BBA2CD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（四）投资策略</w:t>
      </w:r>
    </w:p>
    <w:p w14:paraId="6058133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本基金主要投资于博时黄金交易型开放式证券投资基金，方便</w:t>
      </w:r>
      <w:r>
        <w:rPr>
          <w:rFonts w:ascii="Arial" w:hAnsi="Arial" w:cs="Arial" w:hint="eastAsia"/>
          <w:kern w:val="0"/>
          <w:szCs w:val="21"/>
        </w:rPr>
        <w:t>投资人</w:t>
      </w:r>
      <w:r>
        <w:rPr>
          <w:rFonts w:ascii="Arial" w:hAnsi="Arial" w:cs="Arial"/>
          <w:kern w:val="0"/>
          <w:szCs w:val="21"/>
        </w:rPr>
        <w:t>通过本基金投资</w:t>
      </w:r>
      <w:r>
        <w:rPr>
          <w:rFonts w:ascii="Arial" w:hAnsi="Arial" w:cs="Arial" w:hint="eastAsia"/>
          <w:kern w:val="0"/>
          <w:szCs w:val="21"/>
        </w:rPr>
        <w:t>于博时黄金</w:t>
      </w:r>
      <w:r>
        <w:rPr>
          <w:rFonts w:ascii="Arial" w:hAnsi="Arial" w:cs="Arial"/>
          <w:kern w:val="0"/>
          <w:szCs w:val="21"/>
        </w:rPr>
        <w:t>交易型开放式投资基金。本基金不参与</w:t>
      </w:r>
      <w:r>
        <w:rPr>
          <w:rFonts w:ascii="Arial" w:hAnsi="Arial" w:cs="Arial" w:hint="eastAsia"/>
          <w:kern w:val="0"/>
          <w:szCs w:val="21"/>
        </w:rPr>
        <w:t>博时黄金</w:t>
      </w:r>
      <w:r>
        <w:rPr>
          <w:rFonts w:ascii="Arial" w:hAnsi="Arial" w:cs="Arial"/>
          <w:kern w:val="0"/>
          <w:szCs w:val="21"/>
        </w:rPr>
        <w:t>交易型开放式投资基金的投资管理。</w:t>
      </w:r>
    </w:p>
    <w:p w14:paraId="2DE62BC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w:t>
      </w:r>
      <w:r>
        <w:rPr>
          <w:rFonts w:ascii="Arial" w:hAnsi="Arial" w:cs="Arial"/>
          <w:kern w:val="0"/>
          <w:szCs w:val="21"/>
        </w:rPr>
        <w:t>资产配置策略</w:t>
      </w:r>
    </w:p>
    <w:p w14:paraId="722A425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为实现投资目标，本基金将以不低于基金资产净值</w:t>
      </w:r>
      <w:r>
        <w:rPr>
          <w:rFonts w:ascii="Arial" w:hAnsi="Arial" w:cs="Arial" w:hint="eastAsia"/>
          <w:kern w:val="0"/>
          <w:szCs w:val="21"/>
        </w:rPr>
        <w:t>90%</w:t>
      </w:r>
      <w:r>
        <w:rPr>
          <w:rFonts w:ascii="Arial" w:hAnsi="Arial" w:cs="Arial" w:hint="eastAsia"/>
          <w:kern w:val="0"/>
          <w:szCs w:val="21"/>
        </w:rPr>
        <w:t>的资产投资于博时黄金交易型开放式证券投资基金。其余资产可投资于标的指数对应的黄金合约、上海黄金交易所上市的其他黄金合约及中国证监会允许基金投资的其他金融工具，其目的是为了使本基金在应付申购赎回的前提下，更好地跟踪标的指数。</w:t>
      </w:r>
    </w:p>
    <w:p w14:paraId="5A40D82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在正常市场情况下，本基金力争净值增长率与业绩比较基准收益率之间的日均跟踪偏离度不超过</w:t>
      </w:r>
      <w:r>
        <w:rPr>
          <w:rFonts w:ascii="Arial" w:hAnsi="Arial" w:cs="Arial"/>
          <w:kern w:val="0"/>
          <w:szCs w:val="21"/>
        </w:rPr>
        <w:t>0.</w:t>
      </w:r>
      <w:r>
        <w:rPr>
          <w:rFonts w:ascii="Arial" w:hAnsi="Arial" w:cs="Arial" w:hint="eastAsia"/>
          <w:kern w:val="0"/>
          <w:szCs w:val="21"/>
        </w:rPr>
        <w:t>6</w:t>
      </w:r>
      <w:r>
        <w:rPr>
          <w:rFonts w:ascii="Arial" w:hAnsi="Arial" w:cs="Arial"/>
          <w:kern w:val="0"/>
          <w:szCs w:val="21"/>
        </w:rPr>
        <w:t>%</w:t>
      </w:r>
      <w:r>
        <w:rPr>
          <w:rFonts w:ascii="Arial" w:hAnsi="Arial" w:cs="Arial"/>
          <w:kern w:val="0"/>
          <w:szCs w:val="21"/>
        </w:rPr>
        <w:t>，年跟踪误差不超过</w:t>
      </w:r>
      <w:r>
        <w:rPr>
          <w:rFonts w:ascii="Arial" w:hAnsi="Arial" w:cs="Arial" w:hint="eastAsia"/>
          <w:kern w:val="0"/>
          <w:szCs w:val="21"/>
        </w:rPr>
        <w:t>6</w:t>
      </w:r>
      <w:r>
        <w:rPr>
          <w:rFonts w:ascii="Arial" w:hAnsi="Arial" w:cs="Arial"/>
          <w:kern w:val="0"/>
          <w:szCs w:val="21"/>
        </w:rPr>
        <w:t>%</w:t>
      </w:r>
      <w:r>
        <w:rPr>
          <w:rFonts w:ascii="Arial" w:hAnsi="Arial" w:cs="Arial"/>
          <w:kern w:val="0"/>
          <w:szCs w:val="21"/>
        </w:rPr>
        <w:t>。如</w:t>
      </w:r>
      <w:r>
        <w:rPr>
          <w:rFonts w:ascii="Arial" w:hAnsi="Arial" w:cs="Arial" w:hint="eastAsia"/>
          <w:kern w:val="0"/>
          <w:szCs w:val="21"/>
        </w:rPr>
        <w:t>在投资管理过程中</w:t>
      </w:r>
      <w:r>
        <w:rPr>
          <w:rFonts w:ascii="Arial" w:hAnsi="Arial" w:cs="Arial"/>
          <w:kern w:val="0"/>
          <w:szCs w:val="21"/>
        </w:rPr>
        <w:t>跟踪偏离度和跟踪误差超过上述范围，基金管理人应采取合理措施避免跟踪偏离度、跟踪误差进一步扩大。</w:t>
      </w:r>
    </w:p>
    <w:p w14:paraId="04B13F7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w:t>
      </w:r>
      <w:r>
        <w:rPr>
          <w:rFonts w:ascii="Arial" w:hAnsi="Arial" w:cs="Arial"/>
          <w:kern w:val="0"/>
          <w:szCs w:val="21"/>
        </w:rPr>
        <w:t>基金投资策略</w:t>
      </w:r>
    </w:p>
    <w:p w14:paraId="1EDB7B6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1</w:t>
      </w:r>
      <w:r>
        <w:rPr>
          <w:rFonts w:ascii="Arial" w:hAnsi="Arial" w:cs="Arial" w:hint="eastAsia"/>
          <w:kern w:val="0"/>
          <w:szCs w:val="21"/>
        </w:rPr>
        <w:t>）</w:t>
      </w:r>
      <w:r>
        <w:rPr>
          <w:rFonts w:ascii="Arial" w:hAnsi="Arial" w:cs="Arial"/>
          <w:kern w:val="0"/>
          <w:szCs w:val="21"/>
        </w:rPr>
        <w:t>投资组合的构建</w:t>
      </w:r>
    </w:p>
    <w:p w14:paraId="651A4F2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基金合同生效后，本基金将</w:t>
      </w:r>
      <w:r>
        <w:rPr>
          <w:rFonts w:ascii="Arial" w:hAnsi="Arial" w:cs="Arial" w:hint="eastAsia"/>
          <w:kern w:val="0"/>
          <w:szCs w:val="21"/>
        </w:rPr>
        <w:t>构建以标的指数所对应的黄金合约品种为主的黄金合约</w:t>
      </w:r>
      <w:r>
        <w:rPr>
          <w:rFonts w:ascii="Arial" w:hAnsi="Arial" w:cs="Arial"/>
          <w:kern w:val="0"/>
          <w:szCs w:val="21"/>
        </w:rPr>
        <w:t>组</w:t>
      </w:r>
      <w:r>
        <w:rPr>
          <w:rFonts w:ascii="Arial" w:hAnsi="Arial" w:cs="Arial"/>
          <w:kern w:val="0"/>
          <w:szCs w:val="21"/>
        </w:rPr>
        <w:lastRenderedPageBreak/>
        <w:t>合，并在建仓期内将</w:t>
      </w:r>
      <w:r>
        <w:rPr>
          <w:rFonts w:ascii="Arial" w:hAnsi="Arial" w:cs="Arial" w:hint="eastAsia"/>
          <w:kern w:val="0"/>
          <w:szCs w:val="21"/>
        </w:rPr>
        <w:t>黄金合约</w:t>
      </w:r>
      <w:r>
        <w:rPr>
          <w:rFonts w:ascii="Arial" w:hAnsi="Arial" w:cs="Arial"/>
          <w:kern w:val="0"/>
          <w:szCs w:val="21"/>
        </w:rPr>
        <w:t>组合换购成</w:t>
      </w:r>
      <w:r>
        <w:rPr>
          <w:rFonts w:ascii="Arial" w:hAnsi="Arial" w:cs="Arial" w:hint="eastAsia"/>
          <w:kern w:val="0"/>
          <w:szCs w:val="21"/>
        </w:rPr>
        <w:t>博时黄金</w:t>
      </w:r>
      <w:r>
        <w:rPr>
          <w:rFonts w:ascii="Arial" w:hAnsi="Arial" w:cs="Arial"/>
          <w:kern w:val="0"/>
          <w:szCs w:val="21"/>
        </w:rPr>
        <w:t>交易型开放式投资基金，使本基金投资于目标</w:t>
      </w:r>
      <w:r>
        <w:rPr>
          <w:rFonts w:ascii="Arial" w:hAnsi="Arial" w:cs="Arial"/>
          <w:kern w:val="0"/>
          <w:szCs w:val="21"/>
        </w:rPr>
        <w:t>ETF</w:t>
      </w:r>
      <w:r>
        <w:rPr>
          <w:rFonts w:ascii="Arial" w:hAnsi="Arial" w:cs="Arial"/>
          <w:kern w:val="0"/>
          <w:szCs w:val="21"/>
        </w:rPr>
        <w:t>的比例不低于基金资产净值的</w:t>
      </w:r>
      <w:r>
        <w:rPr>
          <w:rFonts w:ascii="Arial" w:hAnsi="Arial" w:cs="Arial"/>
          <w:kern w:val="0"/>
          <w:szCs w:val="21"/>
        </w:rPr>
        <w:t>90%</w:t>
      </w:r>
      <w:r>
        <w:rPr>
          <w:rFonts w:ascii="Arial" w:hAnsi="Arial" w:cs="Arial"/>
          <w:kern w:val="0"/>
          <w:szCs w:val="21"/>
        </w:rPr>
        <w:t>。</w:t>
      </w:r>
    </w:p>
    <w:p w14:paraId="3D5C37A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2</w:t>
      </w:r>
      <w:r>
        <w:rPr>
          <w:rFonts w:ascii="Arial" w:hAnsi="Arial" w:cs="Arial" w:hint="eastAsia"/>
          <w:kern w:val="0"/>
          <w:szCs w:val="21"/>
        </w:rPr>
        <w:t>）</w:t>
      </w:r>
      <w:r>
        <w:rPr>
          <w:rFonts w:ascii="Arial" w:hAnsi="Arial" w:cs="Arial"/>
          <w:kern w:val="0"/>
          <w:szCs w:val="21"/>
        </w:rPr>
        <w:t>投资组合的投资方式</w:t>
      </w:r>
    </w:p>
    <w:p w14:paraId="15CF03D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本基金投资</w:t>
      </w:r>
      <w:r>
        <w:rPr>
          <w:rFonts w:ascii="Arial" w:hAnsi="Arial" w:cs="Arial" w:hint="eastAsia"/>
          <w:kern w:val="0"/>
          <w:szCs w:val="21"/>
        </w:rPr>
        <w:t>博时黄金</w:t>
      </w:r>
      <w:r>
        <w:rPr>
          <w:rFonts w:ascii="Arial" w:hAnsi="Arial" w:cs="Arial"/>
          <w:kern w:val="0"/>
          <w:szCs w:val="21"/>
        </w:rPr>
        <w:t>交易型开放式投资基金的两种方式如下：</w:t>
      </w:r>
    </w:p>
    <w:p w14:paraId="41D4101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Arial" w:cs="Arial"/>
          <w:kern w:val="0"/>
          <w:szCs w:val="21"/>
        </w:rPr>
        <w:t>）申购和赎回：目标</w:t>
      </w:r>
      <w:r>
        <w:rPr>
          <w:rFonts w:ascii="Arial" w:hAnsi="Arial" w:cs="Arial"/>
          <w:kern w:val="0"/>
          <w:szCs w:val="21"/>
        </w:rPr>
        <w:t>ETF</w:t>
      </w:r>
      <w:r>
        <w:rPr>
          <w:rFonts w:ascii="Arial" w:hAnsi="Arial" w:cs="Arial"/>
          <w:kern w:val="0"/>
          <w:szCs w:val="21"/>
        </w:rPr>
        <w:t>开放申购赎回后，</w:t>
      </w:r>
      <w:r>
        <w:rPr>
          <w:rFonts w:ascii="Arial" w:hAnsi="Arial" w:cs="Arial" w:hint="eastAsia"/>
          <w:kern w:val="0"/>
          <w:szCs w:val="21"/>
        </w:rPr>
        <w:t>按照目标</w:t>
      </w:r>
      <w:r>
        <w:rPr>
          <w:rFonts w:ascii="Arial" w:hAnsi="Arial" w:cs="Arial" w:hint="eastAsia"/>
          <w:kern w:val="0"/>
          <w:szCs w:val="21"/>
        </w:rPr>
        <w:t>ETF</w:t>
      </w:r>
      <w:proofErr w:type="gramStart"/>
      <w:r>
        <w:rPr>
          <w:rFonts w:ascii="Arial" w:hAnsi="Arial" w:cs="Arial" w:hint="eastAsia"/>
          <w:kern w:val="0"/>
          <w:szCs w:val="21"/>
        </w:rPr>
        <w:t>的申赎清单</w:t>
      </w:r>
      <w:proofErr w:type="gramEnd"/>
      <w:r>
        <w:rPr>
          <w:rFonts w:ascii="Arial" w:hAnsi="Arial" w:cs="Arial"/>
          <w:kern w:val="0"/>
          <w:szCs w:val="21"/>
        </w:rPr>
        <w:t>以</w:t>
      </w:r>
      <w:r>
        <w:rPr>
          <w:rFonts w:ascii="Arial" w:hAnsi="Arial" w:cs="Arial" w:hint="eastAsia"/>
          <w:kern w:val="0"/>
          <w:szCs w:val="21"/>
        </w:rPr>
        <w:t>黄金合约</w:t>
      </w:r>
      <w:r>
        <w:rPr>
          <w:rFonts w:ascii="Arial" w:hAnsi="Arial" w:cs="Arial"/>
          <w:kern w:val="0"/>
          <w:szCs w:val="21"/>
        </w:rPr>
        <w:t>进行申购赎回。</w:t>
      </w:r>
    </w:p>
    <w:p w14:paraId="7F7A6E9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Arial" w:cs="Arial"/>
          <w:kern w:val="0"/>
          <w:szCs w:val="21"/>
        </w:rPr>
        <w:t>）二级市场：</w:t>
      </w:r>
      <w:r>
        <w:rPr>
          <w:rFonts w:ascii="Arial" w:hAnsi="Arial" w:cs="Arial" w:hint="eastAsia"/>
          <w:kern w:val="0"/>
          <w:szCs w:val="21"/>
        </w:rPr>
        <w:t>博时黄金</w:t>
      </w:r>
      <w:r>
        <w:rPr>
          <w:rFonts w:ascii="Arial" w:hAnsi="Arial" w:cs="Arial"/>
          <w:kern w:val="0"/>
          <w:szCs w:val="21"/>
        </w:rPr>
        <w:t>交易型开放式投资基金上市交易后，在二级市场进行</w:t>
      </w:r>
      <w:r>
        <w:rPr>
          <w:rFonts w:ascii="Arial" w:hAnsi="Arial" w:cs="Arial" w:hint="eastAsia"/>
          <w:kern w:val="0"/>
          <w:szCs w:val="21"/>
        </w:rPr>
        <w:t>博时黄金</w:t>
      </w:r>
      <w:r>
        <w:rPr>
          <w:rFonts w:ascii="Arial" w:hAnsi="Arial" w:cs="Arial"/>
          <w:kern w:val="0"/>
          <w:szCs w:val="21"/>
        </w:rPr>
        <w:t>交易型开放式投资基金份额的交易。本基金投资于目标</w:t>
      </w:r>
      <w:r>
        <w:rPr>
          <w:rFonts w:ascii="Arial" w:hAnsi="Arial" w:cs="Arial"/>
          <w:kern w:val="0"/>
          <w:szCs w:val="21"/>
        </w:rPr>
        <w:t>ETF</w:t>
      </w:r>
      <w:r>
        <w:rPr>
          <w:rFonts w:ascii="Arial" w:hAnsi="Arial" w:cs="Arial"/>
          <w:kern w:val="0"/>
          <w:szCs w:val="21"/>
        </w:rPr>
        <w:t>的方式以申购和赎回为主，但在目标</w:t>
      </w:r>
      <w:r>
        <w:rPr>
          <w:rFonts w:ascii="Arial" w:hAnsi="Arial" w:cs="Arial"/>
          <w:kern w:val="0"/>
          <w:szCs w:val="21"/>
        </w:rPr>
        <w:t>ETF</w:t>
      </w:r>
      <w:r>
        <w:rPr>
          <w:rFonts w:ascii="Arial" w:hAnsi="Arial" w:cs="Arial"/>
          <w:kern w:val="0"/>
          <w:szCs w:val="21"/>
        </w:rPr>
        <w:t>二级市场流动性较好的情况下，为了更好地实现本基金的投资目标，减小与标的指数的跟踪偏离度和跟踪误差，也可以通过二级市场交易买卖目标</w:t>
      </w:r>
      <w:r>
        <w:rPr>
          <w:rFonts w:ascii="Arial" w:hAnsi="Arial" w:cs="Arial"/>
          <w:kern w:val="0"/>
          <w:szCs w:val="21"/>
        </w:rPr>
        <w:t>ETF</w:t>
      </w:r>
      <w:r>
        <w:rPr>
          <w:rFonts w:ascii="Arial" w:hAnsi="Arial" w:cs="Arial"/>
          <w:kern w:val="0"/>
          <w:szCs w:val="21"/>
        </w:rPr>
        <w:t>。</w:t>
      </w:r>
    </w:p>
    <w:p w14:paraId="16F26D9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当</w:t>
      </w:r>
      <w:r>
        <w:rPr>
          <w:rFonts w:ascii="Arial" w:hAnsi="Arial" w:cs="Arial" w:hint="eastAsia"/>
          <w:kern w:val="0"/>
          <w:szCs w:val="21"/>
        </w:rPr>
        <w:t>博时黄金</w:t>
      </w:r>
      <w:r>
        <w:rPr>
          <w:rFonts w:ascii="Arial" w:hAnsi="Arial" w:cs="Arial"/>
          <w:kern w:val="0"/>
          <w:szCs w:val="21"/>
        </w:rPr>
        <w:t>交易型开放式投资基金申购、赎回或交易模式进行了变更或调整，本基金也将作相应的变更或调整，无须召开基金份额持有人大会。</w:t>
      </w:r>
    </w:p>
    <w:p w14:paraId="6D629A0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、黄金合约的</w:t>
      </w:r>
      <w:r>
        <w:rPr>
          <w:rFonts w:ascii="Arial" w:hAnsi="Arial" w:cs="Arial"/>
          <w:kern w:val="0"/>
          <w:szCs w:val="21"/>
        </w:rPr>
        <w:t>投资策略</w:t>
      </w:r>
    </w:p>
    <w:p w14:paraId="7ABB375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本基金对</w:t>
      </w:r>
      <w:r>
        <w:rPr>
          <w:rFonts w:ascii="Arial" w:hAnsi="Arial" w:cs="Arial" w:hint="eastAsia"/>
          <w:kern w:val="0"/>
          <w:szCs w:val="21"/>
        </w:rPr>
        <w:t>黄金合约</w:t>
      </w:r>
      <w:r>
        <w:rPr>
          <w:rFonts w:ascii="Arial" w:hAnsi="Arial" w:cs="Arial"/>
          <w:kern w:val="0"/>
          <w:szCs w:val="21"/>
        </w:rPr>
        <w:t>的投资目的是为准备构建</w:t>
      </w:r>
      <w:r>
        <w:rPr>
          <w:rFonts w:ascii="Arial" w:hAnsi="Arial" w:cs="Arial" w:hint="eastAsia"/>
          <w:kern w:val="0"/>
          <w:szCs w:val="21"/>
        </w:rPr>
        <w:t>黄金合约</w:t>
      </w:r>
      <w:r>
        <w:rPr>
          <w:rFonts w:ascii="Arial" w:hAnsi="Arial" w:cs="Arial"/>
          <w:kern w:val="0"/>
          <w:szCs w:val="21"/>
        </w:rPr>
        <w:t>组合以申购目标</w:t>
      </w:r>
      <w:r>
        <w:rPr>
          <w:rFonts w:ascii="Arial" w:hAnsi="Arial" w:cs="Arial"/>
          <w:kern w:val="0"/>
          <w:szCs w:val="21"/>
        </w:rPr>
        <w:t>ETF</w:t>
      </w:r>
      <w:r>
        <w:rPr>
          <w:rFonts w:ascii="Arial" w:hAnsi="Arial" w:cs="Arial"/>
          <w:kern w:val="0"/>
          <w:szCs w:val="21"/>
        </w:rPr>
        <w:t>。因此对可投资于</w:t>
      </w:r>
      <w:r>
        <w:rPr>
          <w:rFonts w:ascii="Arial" w:hAnsi="Arial" w:cs="Arial" w:hint="eastAsia"/>
          <w:kern w:val="0"/>
          <w:szCs w:val="21"/>
        </w:rPr>
        <w:t>黄金合约的</w:t>
      </w:r>
      <w:r>
        <w:rPr>
          <w:rFonts w:ascii="Arial" w:hAnsi="Arial" w:cs="Arial"/>
          <w:kern w:val="0"/>
          <w:szCs w:val="21"/>
        </w:rPr>
        <w:t>资金头寸，主要采取完全复制策略，即完全按照标的指数</w:t>
      </w:r>
      <w:r>
        <w:rPr>
          <w:rFonts w:ascii="Arial" w:hAnsi="Arial" w:cs="Arial" w:hint="eastAsia"/>
          <w:kern w:val="0"/>
          <w:szCs w:val="21"/>
        </w:rPr>
        <w:t>所对应的黄金品种</w:t>
      </w:r>
      <w:r>
        <w:rPr>
          <w:rFonts w:ascii="Arial" w:hAnsi="Arial" w:cs="Arial"/>
          <w:kern w:val="0"/>
          <w:szCs w:val="21"/>
        </w:rPr>
        <w:t>及其权重构建基金组合。但在因特殊情况（如流动性不足等）导致无法获得足够数量</w:t>
      </w:r>
      <w:r>
        <w:rPr>
          <w:rFonts w:ascii="Arial" w:hAnsi="Arial" w:cs="Arial" w:hint="eastAsia"/>
          <w:kern w:val="0"/>
          <w:szCs w:val="21"/>
        </w:rPr>
        <w:t>标的指数所对应的黄金合约时</w:t>
      </w:r>
      <w:r>
        <w:rPr>
          <w:rFonts w:ascii="Arial" w:hAnsi="Arial" w:cs="Arial"/>
          <w:kern w:val="0"/>
          <w:szCs w:val="21"/>
        </w:rPr>
        <w:t>，基金管理人将使用其他合理方法进行适当的替代。</w:t>
      </w:r>
    </w:p>
    <w:p w14:paraId="7B47AF5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w:t>
      </w:r>
      <w:r>
        <w:rPr>
          <w:rFonts w:ascii="Arial" w:hAnsi="Arial" w:cs="Arial"/>
          <w:kern w:val="0"/>
          <w:szCs w:val="21"/>
        </w:rPr>
        <w:t>债券投资策略</w:t>
      </w:r>
    </w:p>
    <w:p w14:paraId="081EA49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本基金债券投资组合将着重考虑基金的流动性管理及策略性投资的需要，选取到期日在一年以内的政府债券进行配置。债券投资者的目的是保证基金资产流动性，有效利用基金资产，提高基金资产的投资收益。</w:t>
      </w:r>
    </w:p>
    <w:p w14:paraId="1A9D758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（五）投资管理流程</w:t>
      </w:r>
    </w:p>
    <w:p w14:paraId="25B162E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Arial" w:cs="Arial" w:hint="eastAsia"/>
          <w:kern w:val="0"/>
          <w:szCs w:val="21"/>
        </w:rPr>
        <w:t>、</w:t>
      </w:r>
      <w:r>
        <w:rPr>
          <w:rFonts w:ascii="Arial" w:hAnsi="Arial" w:cs="Arial"/>
          <w:kern w:val="0"/>
          <w:szCs w:val="21"/>
        </w:rPr>
        <w:t>投资决策依据</w:t>
      </w:r>
    </w:p>
    <w:p w14:paraId="212C02A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有关法律、法规、基金合同以及标的指数的相关规定是基金管理人运用基金财产的决策依据。</w:t>
      </w:r>
    </w:p>
    <w:p w14:paraId="306D6B4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Arial" w:cs="Arial" w:hint="eastAsia"/>
          <w:kern w:val="0"/>
          <w:szCs w:val="21"/>
        </w:rPr>
        <w:t>、</w:t>
      </w:r>
      <w:r>
        <w:rPr>
          <w:rFonts w:ascii="Arial" w:hAnsi="Arial" w:cs="Arial"/>
          <w:kern w:val="0"/>
          <w:szCs w:val="21"/>
        </w:rPr>
        <w:t>投资管理体制</w:t>
      </w:r>
    </w:p>
    <w:p w14:paraId="70B92A4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本基金管理人实行投资决策委员会领导下的基金经理负责制。投资决策委员会负责做出基金组合重大调整的决策，以及其他单项投资的重大决策。基金经理负责做出日常组合构建、组合调整等决策。</w:t>
      </w:r>
    </w:p>
    <w:p w14:paraId="0A97DB6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Arial" w:cs="Arial" w:hint="eastAsia"/>
          <w:kern w:val="0"/>
          <w:szCs w:val="21"/>
        </w:rPr>
        <w:t>、</w:t>
      </w:r>
      <w:r>
        <w:rPr>
          <w:rFonts w:ascii="Arial" w:hAnsi="Arial" w:cs="Arial"/>
          <w:kern w:val="0"/>
          <w:szCs w:val="21"/>
        </w:rPr>
        <w:t>投资管理程序</w:t>
      </w:r>
    </w:p>
    <w:p w14:paraId="7EC9EBB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研究支持、投资决策、组合构建、交易执行、投资绩效评估、</w:t>
      </w:r>
      <w:bookmarkStart w:id="48" w:name="OLE_LINK7"/>
      <w:r>
        <w:rPr>
          <w:rFonts w:ascii="Arial" w:hAnsi="Arial" w:cs="Arial" w:hint="eastAsia"/>
          <w:kern w:val="0"/>
          <w:szCs w:val="21"/>
        </w:rPr>
        <w:t>组合监控与调整</w:t>
      </w:r>
      <w:bookmarkEnd w:id="48"/>
      <w:r>
        <w:rPr>
          <w:rFonts w:ascii="Arial" w:hAnsi="Arial" w:cs="Arial" w:hint="eastAsia"/>
          <w:kern w:val="0"/>
          <w:szCs w:val="21"/>
        </w:rPr>
        <w:t>各环节的相互协调与配合，构成了本基金的投资管理程序。</w:t>
      </w:r>
    </w:p>
    <w:p w14:paraId="2363D24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1</w:t>
      </w:r>
      <w:r>
        <w:rPr>
          <w:rFonts w:ascii="Arial" w:hAnsi="Arial" w:cs="Arial" w:hint="eastAsia"/>
          <w:kern w:val="0"/>
          <w:szCs w:val="21"/>
        </w:rPr>
        <w:t>）研究支持。基金管理人的研究部开展对于黄金品种的深入研究、目标</w:t>
      </w:r>
      <w:r>
        <w:rPr>
          <w:rFonts w:ascii="Arial" w:hAnsi="Arial" w:cs="Arial"/>
          <w:kern w:val="0"/>
          <w:szCs w:val="21"/>
        </w:rPr>
        <w:t>ETF</w:t>
      </w:r>
      <w:r>
        <w:rPr>
          <w:rFonts w:ascii="Arial" w:hAnsi="Arial" w:cs="Arial" w:hint="eastAsia"/>
          <w:kern w:val="0"/>
          <w:szCs w:val="21"/>
        </w:rPr>
        <w:t>二级市场的流动性和折溢价分析、黄金合约流动性分析、误差及其归因分析等工作，并撰写相关的</w:t>
      </w:r>
      <w:r>
        <w:rPr>
          <w:rFonts w:ascii="Arial" w:hAnsi="Arial" w:cs="Arial" w:hint="eastAsia"/>
          <w:kern w:val="0"/>
          <w:szCs w:val="21"/>
        </w:rPr>
        <w:lastRenderedPageBreak/>
        <w:t>研究报告，作为本基金投资决策的重要依据。</w:t>
      </w:r>
    </w:p>
    <w:p w14:paraId="478598E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2</w:t>
      </w:r>
      <w:r>
        <w:rPr>
          <w:rFonts w:ascii="Arial" w:hAnsi="Arial" w:cs="Arial" w:hint="eastAsia"/>
          <w:kern w:val="0"/>
          <w:szCs w:val="21"/>
        </w:rPr>
        <w:t>）投资决策。</w:t>
      </w:r>
      <w:bookmarkStart w:id="49" w:name="OLE_LINK5"/>
      <w:bookmarkStart w:id="50" w:name="OLE_LINK4"/>
      <w:r>
        <w:rPr>
          <w:rFonts w:ascii="Arial" w:hAnsi="Arial" w:cs="Arial" w:hint="eastAsia"/>
          <w:kern w:val="0"/>
          <w:szCs w:val="21"/>
        </w:rPr>
        <w:t>基金管理人的</w:t>
      </w:r>
      <w:bookmarkEnd w:id="49"/>
      <w:bookmarkEnd w:id="50"/>
      <w:r>
        <w:rPr>
          <w:rFonts w:ascii="Arial" w:hAnsi="Arial" w:cs="Arial" w:hint="eastAsia"/>
          <w:kern w:val="0"/>
          <w:szCs w:val="21"/>
        </w:rPr>
        <w:t>投资决策委员会依据研究部提供的研究报告，定期或遇重大事件时临时召开投资决策委员会议，对相关事项做出决策。基金经理根据投资决策委员会的决议，做出基金投资管理的日常决策。</w:t>
      </w:r>
    </w:p>
    <w:p w14:paraId="6B486DF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3</w:t>
      </w:r>
      <w:r>
        <w:rPr>
          <w:rFonts w:ascii="Arial" w:hAnsi="Arial" w:cs="Arial" w:hint="eastAsia"/>
          <w:kern w:val="0"/>
          <w:szCs w:val="21"/>
        </w:rPr>
        <w:t>）组合构建。根据标的指数情况，结合研究报告，基金经理做出日常组合构建、组合调整等决策，构建以目标</w:t>
      </w:r>
      <w:r>
        <w:rPr>
          <w:rFonts w:ascii="Arial" w:hAnsi="Arial" w:cs="Arial"/>
          <w:kern w:val="0"/>
          <w:szCs w:val="21"/>
        </w:rPr>
        <w:t>ETF</w:t>
      </w:r>
      <w:r>
        <w:rPr>
          <w:rFonts w:ascii="Arial" w:hAnsi="Arial" w:cs="Arial" w:hint="eastAsia"/>
          <w:kern w:val="0"/>
          <w:szCs w:val="21"/>
        </w:rPr>
        <w:t>为主的投资组合。在追求跟踪误差和跟踪偏离度最小化的前提下，基金经理可采取适当的方法，提高投资效率，降低交易成本，控制投资风险。</w:t>
      </w:r>
    </w:p>
    <w:p w14:paraId="54B0CEC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4</w:t>
      </w:r>
      <w:r>
        <w:rPr>
          <w:rFonts w:ascii="Arial" w:hAnsi="Arial" w:cs="Arial" w:hint="eastAsia"/>
          <w:kern w:val="0"/>
          <w:szCs w:val="21"/>
        </w:rPr>
        <w:t>）交易执行。基金管理人的交易部负责本基金的具体交易执行，交易部同时履行一线监控的职责。</w:t>
      </w:r>
    </w:p>
    <w:p w14:paraId="1DF9FEA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5</w:t>
      </w:r>
      <w:r>
        <w:rPr>
          <w:rFonts w:ascii="Arial" w:hAnsi="Arial" w:cs="Arial" w:hint="eastAsia"/>
          <w:kern w:val="0"/>
          <w:szCs w:val="21"/>
        </w:rPr>
        <w:t>）</w:t>
      </w:r>
      <w:bookmarkStart w:id="51" w:name="OLE_LINK6"/>
      <w:r>
        <w:rPr>
          <w:rFonts w:ascii="Arial" w:hAnsi="Arial" w:cs="Arial" w:hint="eastAsia"/>
          <w:kern w:val="0"/>
          <w:szCs w:val="21"/>
        </w:rPr>
        <w:t>投资绩效</w:t>
      </w:r>
      <w:bookmarkEnd w:id="51"/>
      <w:r>
        <w:rPr>
          <w:rFonts w:ascii="Arial" w:hAnsi="Arial" w:cs="Arial" w:hint="eastAsia"/>
          <w:kern w:val="0"/>
          <w:szCs w:val="21"/>
        </w:rPr>
        <w:t>评估。本基金管理人定期和不定期对本基金的投资绩效进行评估，并撰写相关的绩效评估报告，确认基金组合是否实现了投资预期，投资策略是否成功，并对基金组合误差的来源进行归因分析等。基金经理依据绩效评估报告总结或检讨以往的投资策略，如果需要，亦对投资组合进行相应的调整。</w:t>
      </w:r>
    </w:p>
    <w:p w14:paraId="1AAB8D1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6</w:t>
      </w:r>
      <w:r>
        <w:rPr>
          <w:rFonts w:ascii="Arial" w:hAnsi="Arial" w:cs="Arial" w:hint="eastAsia"/>
          <w:kern w:val="0"/>
          <w:szCs w:val="21"/>
        </w:rPr>
        <w:t>）组合监控与调整。基金经理根据黄金品种的基本面情况、流动性状况、基金申购赎回的现金流量情况，以及基金投资绩效评估结果等，对基金投资组合进行动态监控和调整，密切跟踪标的指数。</w:t>
      </w:r>
    </w:p>
    <w:p w14:paraId="425049D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基金管理人在确保基金份额持有人利益的前提下，根据环境的变化和基金实际投资的需要，有权对上述投资程序做出调整，并将调整内容在基金招募说明书及招募说明书更新中予以公告。</w:t>
      </w:r>
    </w:p>
    <w:p w14:paraId="1D2E074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（六）</w:t>
      </w:r>
      <w:bookmarkStart w:id="52" w:name="_Toc229474063"/>
      <w:bookmarkStart w:id="53" w:name="_Toc341098981"/>
      <w:r>
        <w:rPr>
          <w:rFonts w:ascii="Arial" w:hAnsi="Arial" w:cs="Arial" w:hint="eastAsia"/>
          <w:kern w:val="0"/>
          <w:szCs w:val="21"/>
        </w:rPr>
        <w:t>投资组合管理</w:t>
      </w:r>
      <w:bookmarkEnd w:id="52"/>
      <w:bookmarkEnd w:id="53"/>
    </w:p>
    <w:p w14:paraId="09D971B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Arial" w:cs="Arial" w:hint="eastAsia"/>
          <w:kern w:val="0"/>
          <w:szCs w:val="21"/>
        </w:rPr>
        <w:t>、投资组合的构建</w:t>
      </w:r>
    </w:p>
    <w:p w14:paraId="75ECC4F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基金管理人构建基金投资组合的过程主要分为三个步骤：确定目标组合、制定建仓策略以及逐步调整组合。</w:t>
      </w:r>
    </w:p>
    <w:p w14:paraId="174DDE4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1</w:t>
      </w:r>
      <w:r>
        <w:rPr>
          <w:rFonts w:ascii="Arial" w:hAnsi="Arial" w:cs="Arial" w:hint="eastAsia"/>
          <w:kern w:val="0"/>
          <w:szCs w:val="21"/>
        </w:rPr>
        <w:t>）确定目标组合。基金管理人通过主要投资于博时黄金交易型开放式证券投资基金等，以紧密跟踪标的指数的表现。</w:t>
      </w:r>
    </w:p>
    <w:p w14:paraId="2154FE7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2</w:t>
      </w:r>
      <w:r>
        <w:rPr>
          <w:rFonts w:ascii="Arial" w:hAnsi="Arial" w:cs="Arial" w:hint="eastAsia"/>
          <w:kern w:val="0"/>
          <w:szCs w:val="21"/>
        </w:rPr>
        <w:t>）制定建仓策略。基金经理依据对标的指数所对应的黄金现货合约的流动性和交易成本等因素所做的分析，制定合理的建仓策略。</w:t>
      </w:r>
    </w:p>
    <w:p w14:paraId="54B30FA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3</w:t>
      </w:r>
      <w:r>
        <w:rPr>
          <w:rFonts w:ascii="Arial" w:hAnsi="Arial" w:cs="Arial" w:hint="eastAsia"/>
          <w:kern w:val="0"/>
          <w:szCs w:val="21"/>
        </w:rPr>
        <w:t>）逐步调整组合。基金经理在规定时间内，采取适当的手段和措施，对实际投资组合进行动态调整，直至达到紧密跟踪标的指数的目标。</w:t>
      </w:r>
    </w:p>
    <w:p w14:paraId="746CF74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本基金对博时黄金交易型开放式证券投资基金的投资比例不低于基金资产净值的</w:t>
      </w:r>
      <w:r>
        <w:rPr>
          <w:rFonts w:ascii="Arial" w:hAnsi="Arial" w:cs="Arial"/>
          <w:kern w:val="0"/>
          <w:szCs w:val="21"/>
        </w:rPr>
        <w:t>90%</w:t>
      </w:r>
      <w:r>
        <w:rPr>
          <w:rFonts w:ascii="Arial" w:hAnsi="Arial" w:cs="Arial" w:hint="eastAsia"/>
          <w:kern w:val="0"/>
          <w:szCs w:val="21"/>
        </w:rPr>
        <w:t>，对现金或者到期日在一年以内的政府债券的投资比例不低于基金资产净值的</w:t>
      </w:r>
      <w:r>
        <w:rPr>
          <w:rFonts w:ascii="Arial" w:hAnsi="Arial" w:cs="Arial"/>
          <w:kern w:val="0"/>
          <w:szCs w:val="21"/>
        </w:rPr>
        <w:t>5%</w:t>
      </w:r>
      <w:r>
        <w:rPr>
          <w:rFonts w:ascii="Arial" w:hAnsi="Arial" w:cs="Arial" w:hint="eastAsia"/>
          <w:kern w:val="0"/>
          <w:szCs w:val="21"/>
        </w:rPr>
        <w:t>。本基金将在基金合同生效之日起</w:t>
      </w:r>
      <w:r>
        <w:rPr>
          <w:rFonts w:ascii="Arial" w:hAnsi="Arial" w:cs="Arial"/>
          <w:kern w:val="0"/>
          <w:szCs w:val="21"/>
        </w:rPr>
        <w:t>3</w:t>
      </w:r>
      <w:r>
        <w:rPr>
          <w:rFonts w:ascii="Arial" w:hAnsi="Arial" w:cs="Arial" w:hint="eastAsia"/>
          <w:kern w:val="0"/>
          <w:szCs w:val="21"/>
        </w:rPr>
        <w:t>个月内达到这一投资比例。此后，如因各种因素导致基金不符合这一投资比例的，基金管理人将在</w:t>
      </w:r>
      <w:r>
        <w:rPr>
          <w:rFonts w:ascii="Arial" w:hAnsi="Arial" w:cs="Arial"/>
          <w:kern w:val="0"/>
          <w:szCs w:val="21"/>
        </w:rPr>
        <w:t>10</w:t>
      </w:r>
      <w:r>
        <w:rPr>
          <w:rFonts w:ascii="Arial" w:hAnsi="Arial" w:cs="Arial" w:hint="eastAsia"/>
          <w:kern w:val="0"/>
          <w:szCs w:val="21"/>
        </w:rPr>
        <w:t>个交易日内进行调整。</w:t>
      </w:r>
    </w:p>
    <w:p w14:paraId="1358193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Arial" w:cs="Arial" w:hint="eastAsia"/>
          <w:kern w:val="0"/>
          <w:szCs w:val="21"/>
        </w:rPr>
        <w:t>、投资组合的日常管理</w:t>
      </w:r>
    </w:p>
    <w:p w14:paraId="35CB4CE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本基金投资组合的日常管理内容主要包括以下几个方面：</w:t>
      </w:r>
    </w:p>
    <w:p w14:paraId="5353486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1</w:t>
      </w:r>
      <w:r>
        <w:rPr>
          <w:rFonts w:ascii="Arial" w:hAnsi="Arial" w:cs="Arial" w:hint="eastAsia"/>
          <w:kern w:val="0"/>
          <w:szCs w:val="21"/>
        </w:rPr>
        <w:t>）每日申购赎回情况的跟踪与分析。跟踪分析每日基金申购赎回信息，分析这些信息对投资组合的影响。</w:t>
      </w:r>
    </w:p>
    <w:p w14:paraId="3D0CD67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2</w:t>
      </w:r>
      <w:r>
        <w:rPr>
          <w:rFonts w:ascii="Arial" w:hAnsi="Arial" w:cs="Arial" w:hint="eastAsia"/>
          <w:kern w:val="0"/>
          <w:szCs w:val="21"/>
        </w:rPr>
        <w:t>）投资组合持有证券、现金头寸及流动性分析。基金经理跟踪分析每日基金实际投资组合与目标组合的差异及差异产生的原因，并对拟调整的成份股的流动性进行分析。</w:t>
      </w:r>
    </w:p>
    <w:p w14:paraId="308C0DD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kern w:val="0"/>
          <w:szCs w:val="21"/>
        </w:rPr>
        <w:t>3</w:t>
      </w:r>
      <w:r>
        <w:rPr>
          <w:rFonts w:ascii="Arial" w:hAnsi="Arial" w:cs="Arial" w:hint="eastAsia"/>
          <w:kern w:val="0"/>
          <w:szCs w:val="21"/>
        </w:rPr>
        <w:t>）投资组合调整。确定组合交易计划；进一步调整投资组合，达到所追求的目标组合的持仓结构。</w:t>
      </w:r>
    </w:p>
    <w:p w14:paraId="07FBA19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Arial" w:cs="Arial" w:hint="eastAsia"/>
          <w:kern w:val="0"/>
          <w:szCs w:val="21"/>
        </w:rPr>
        <w:t>、投资组合的定期管理</w:t>
      </w:r>
    </w:p>
    <w:p w14:paraId="5B72BEF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本基金投资组合的定期管理内容主要包括以下几个方面：</w:t>
      </w:r>
    </w:p>
    <w:p w14:paraId="5C153B3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每月末，根据基金合同中关于基金管理费、基金托管费、仓储费等的支付要求，及时检查组合中的现金比例，进行现金支付的准备。</w:t>
      </w:r>
    </w:p>
    <w:p w14:paraId="358E526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月度、季度、半年度或者年度末，基金经理对投资策略、投资组合表现及跟踪误差等进行分析，分析最近组合与标的指数的跟踪偏离度和跟踪误差情况，寻找出未能有效控制较大偏离的原因。</w:t>
      </w:r>
    </w:p>
    <w:p w14:paraId="2FFBF89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Arial" w:cs="Arial" w:hint="eastAsia"/>
          <w:kern w:val="0"/>
          <w:szCs w:val="21"/>
        </w:rPr>
        <w:t>、投资绩效评估</w:t>
      </w:r>
    </w:p>
    <w:p w14:paraId="707C4AB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本基金的投资绩效评估内容包括以下几个方面：</w:t>
      </w:r>
    </w:p>
    <w:p w14:paraId="6B4A249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每日，基金经理分析基金的跟踪偏离度。</w:t>
      </w:r>
    </w:p>
    <w:p w14:paraId="166BA3C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本基金管理人定期对基金的运行情况进行量化评估。</w:t>
      </w:r>
    </w:p>
    <w:p w14:paraId="3A76F62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基金经理定期根据绩效评估报告分析当月的投资操作、投资组合状况及跟踪误差等情况，重点分析基金的跟踪偏离度和跟踪误差产生的原因、现金管理情况等。</w:t>
      </w:r>
    </w:p>
    <w:p w14:paraId="00CE802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在正常市场情况下，本基金的风险控制目标是追求日均跟踪偏离度的绝对值不超过</w:t>
      </w:r>
      <w:r>
        <w:rPr>
          <w:rFonts w:ascii="Arial" w:hAnsi="Arial" w:cs="Arial"/>
          <w:kern w:val="0"/>
          <w:szCs w:val="21"/>
        </w:rPr>
        <w:t>0.6%</w:t>
      </w:r>
      <w:r>
        <w:rPr>
          <w:rFonts w:ascii="Arial" w:hAnsi="Arial" w:cs="Arial" w:hint="eastAsia"/>
          <w:kern w:val="0"/>
          <w:szCs w:val="21"/>
        </w:rPr>
        <w:t>，年跟踪误差不超过</w:t>
      </w:r>
      <w:r>
        <w:rPr>
          <w:rFonts w:ascii="Arial" w:hAnsi="Arial" w:cs="Arial"/>
          <w:kern w:val="0"/>
          <w:szCs w:val="21"/>
        </w:rPr>
        <w:t>6%</w:t>
      </w:r>
      <w:r>
        <w:rPr>
          <w:rFonts w:ascii="Arial" w:hAnsi="Arial" w:cs="Arial" w:hint="eastAsia"/>
          <w:kern w:val="0"/>
          <w:szCs w:val="21"/>
        </w:rPr>
        <w:t>。如因标的指数编制规则调整等其他原因，导致基金跟踪偏离度和跟踪误差超过了上述范围，基金管理人应采取合理措施，避免跟踪偏离度和跟踪误差的进一步扩大。</w:t>
      </w:r>
    </w:p>
    <w:bookmarkEnd w:id="47"/>
    <w:p w14:paraId="0D180CC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（七）业绩比较基准</w:t>
      </w:r>
    </w:p>
    <w:p w14:paraId="6EAFCEC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本基金的业绩比较基准为：</w:t>
      </w:r>
    </w:p>
    <w:p w14:paraId="699C26A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上海黄金交易所</w:t>
      </w:r>
      <w:r>
        <w:rPr>
          <w:rFonts w:ascii="Arial" w:hAnsi="Arial" w:cs="Arial" w:hint="eastAsia"/>
          <w:kern w:val="0"/>
          <w:szCs w:val="21"/>
        </w:rPr>
        <w:t>AU99.99</w:t>
      </w:r>
      <w:r>
        <w:rPr>
          <w:rFonts w:ascii="Arial" w:hAnsi="Arial" w:cs="Arial" w:hint="eastAsia"/>
          <w:kern w:val="0"/>
          <w:szCs w:val="21"/>
        </w:rPr>
        <w:t>收益率</w:t>
      </w:r>
      <w:r>
        <w:rPr>
          <w:rFonts w:ascii="Arial" w:hAnsi="Arial" w:cs="Arial"/>
          <w:kern w:val="0"/>
          <w:szCs w:val="21"/>
        </w:rPr>
        <w:t>×95%+</w:t>
      </w:r>
      <w:r>
        <w:rPr>
          <w:rFonts w:ascii="Arial" w:hAnsi="Arial" w:cs="Arial"/>
          <w:kern w:val="0"/>
          <w:szCs w:val="21"/>
        </w:rPr>
        <w:t>银行活期存款税后利率</w:t>
      </w:r>
      <w:r>
        <w:rPr>
          <w:rFonts w:ascii="Arial" w:hAnsi="Arial" w:cs="Arial"/>
          <w:kern w:val="0"/>
          <w:szCs w:val="21"/>
        </w:rPr>
        <w:t>×5%</w:t>
      </w:r>
    </w:p>
    <w:p w14:paraId="2684D1F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如果博时黄金交易型开放式证券投资基金变更其标的指数，</w:t>
      </w:r>
      <w:r>
        <w:rPr>
          <w:rFonts w:ascii="Arial" w:hAnsi="Arial" w:cs="Arial" w:hint="eastAsia"/>
          <w:kern w:val="0"/>
          <w:szCs w:val="21"/>
        </w:rPr>
        <w:t>或者由于其标的指数所对应的黄金合约品种市场流动性发生了重大变化导致</w:t>
      </w:r>
      <w:r>
        <w:rPr>
          <w:rFonts w:ascii="Arial" w:hAnsi="Arial" w:cs="Arial" w:hint="eastAsia"/>
          <w:kern w:val="0"/>
          <w:szCs w:val="21"/>
        </w:rPr>
        <w:t>AU99.99</w:t>
      </w:r>
      <w:r>
        <w:rPr>
          <w:rFonts w:ascii="Arial" w:hAnsi="Arial" w:cs="Arial" w:hint="eastAsia"/>
          <w:kern w:val="0"/>
          <w:szCs w:val="21"/>
        </w:rPr>
        <w:t>不宜继续作为目标基金的标的指数</w:t>
      </w:r>
      <w:r>
        <w:rPr>
          <w:rFonts w:ascii="Arial" w:hAnsi="Arial" w:cs="Arial"/>
          <w:kern w:val="0"/>
          <w:szCs w:val="21"/>
        </w:rPr>
        <w:t>，经</w:t>
      </w:r>
      <w:r>
        <w:rPr>
          <w:rFonts w:ascii="Arial" w:hAnsi="Arial" w:cs="Arial" w:hint="eastAsia"/>
          <w:kern w:val="0"/>
          <w:szCs w:val="21"/>
        </w:rPr>
        <w:t>基金管理人</w:t>
      </w:r>
      <w:r>
        <w:rPr>
          <w:rFonts w:ascii="Arial" w:hAnsi="Arial" w:cs="Arial"/>
          <w:kern w:val="0"/>
          <w:szCs w:val="21"/>
        </w:rPr>
        <w:t>与</w:t>
      </w:r>
      <w:r>
        <w:rPr>
          <w:rFonts w:ascii="Arial" w:hAnsi="Arial" w:cs="Arial" w:hint="eastAsia"/>
          <w:kern w:val="0"/>
          <w:szCs w:val="21"/>
        </w:rPr>
        <w:t>基金</w:t>
      </w:r>
      <w:r>
        <w:rPr>
          <w:rFonts w:ascii="Arial" w:hAnsi="Arial" w:cs="Arial"/>
          <w:kern w:val="0"/>
          <w:szCs w:val="21"/>
        </w:rPr>
        <w:t>托管人协商一致，</w:t>
      </w:r>
      <w:r>
        <w:rPr>
          <w:rFonts w:ascii="Arial" w:hAnsi="Arial" w:cs="Arial" w:hint="eastAsia"/>
          <w:kern w:val="0"/>
          <w:szCs w:val="21"/>
        </w:rPr>
        <w:t>基金管理人</w:t>
      </w:r>
      <w:r>
        <w:rPr>
          <w:rFonts w:ascii="Arial" w:hAnsi="Arial" w:cs="Arial"/>
          <w:kern w:val="0"/>
          <w:szCs w:val="21"/>
        </w:rPr>
        <w:t>履行相应程序后，本基金的</w:t>
      </w:r>
      <w:r>
        <w:rPr>
          <w:rFonts w:ascii="Arial" w:hAnsi="Arial" w:cs="Arial" w:hint="eastAsia"/>
          <w:kern w:val="0"/>
          <w:szCs w:val="21"/>
        </w:rPr>
        <w:t>业绩比较基准</w:t>
      </w:r>
      <w:r>
        <w:rPr>
          <w:rFonts w:ascii="Arial" w:hAnsi="Arial" w:cs="Arial"/>
          <w:kern w:val="0"/>
          <w:szCs w:val="21"/>
        </w:rPr>
        <w:t>可根据目标</w:t>
      </w:r>
      <w:r>
        <w:rPr>
          <w:rFonts w:ascii="Arial" w:hAnsi="Arial" w:cs="Arial" w:hint="eastAsia"/>
          <w:kern w:val="0"/>
          <w:szCs w:val="21"/>
        </w:rPr>
        <w:t>ETF</w:t>
      </w:r>
      <w:r>
        <w:rPr>
          <w:rFonts w:ascii="Arial" w:hAnsi="Arial" w:cs="Arial"/>
          <w:kern w:val="0"/>
          <w:szCs w:val="21"/>
        </w:rPr>
        <w:t>的业绩比较基准的更换而做相应的变更</w:t>
      </w:r>
      <w:r>
        <w:rPr>
          <w:rFonts w:ascii="Arial" w:hAnsi="Arial" w:cs="Arial" w:hint="eastAsia"/>
          <w:kern w:val="0"/>
          <w:szCs w:val="21"/>
        </w:rPr>
        <w:t>，而无需召开基金份额持有人大会</w:t>
      </w:r>
      <w:r>
        <w:rPr>
          <w:rFonts w:ascii="Arial" w:hAnsi="Arial" w:cs="Arial"/>
          <w:kern w:val="0"/>
          <w:szCs w:val="21"/>
        </w:rPr>
        <w:t>。</w:t>
      </w:r>
    </w:p>
    <w:p w14:paraId="50784BD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（八）风险收益特征</w:t>
      </w:r>
    </w:p>
    <w:p w14:paraId="320195A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本基金为</w:t>
      </w:r>
      <w:r>
        <w:rPr>
          <w:rFonts w:ascii="Arial" w:hAnsi="Arial" w:cs="Arial" w:hint="eastAsia"/>
          <w:kern w:val="0"/>
          <w:szCs w:val="21"/>
        </w:rPr>
        <w:t>ETF</w:t>
      </w:r>
      <w:r>
        <w:rPr>
          <w:rFonts w:ascii="Arial" w:hAnsi="Arial" w:cs="Arial" w:hint="eastAsia"/>
          <w:kern w:val="0"/>
          <w:szCs w:val="21"/>
        </w:rPr>
        <w:t>联接基金，</w:t>
      </w:r>
      <w:r>
        <w:rPr>
          <w:rFonts w:ascii="Arial" w:hAnsi="Arial" w:cs="Arial"/>
          <w:kern w:val="0"/>
          <w:szCs w:val="21"/>
        </w:rPr>
        <w:t>本基金预期收益及</w:t>
      </w:r>
      <w:r>
        <w:rPr>
          <w:rFonts w:ascii="Arial" w:hAnsi="Arial" w:cs="Arial" w:hint="eastAsia"/>
          <w:kern w:val="0"/>
          <w:szCs w:val="21"/>
        </w:rPr>
        <w:t>预期</w:t>
      </w:r>
      <w:r>
        <w:rPr>
          <w:rFonts w:ascii="Arial" w:hAnsi="Arial" w:cs="Arial"/>
          <w:kern w:val="0"/>
          <w:szCs w:val="21"/>
        </w:rPr>
        <w:t>风险水平高于混合</w:t>
      </w:r>
      <w:r>
        <w:rPr>
          <w:rFonts w:ascii="Arial" w:hAnsi="Arial" w:cs="Arial" w:hint="eastAsia"/>
          <w:kern w:val="0"/>
          <w:szCs w:val="21"/>
        </w:rPr>
        <w:t>型</w:t>
      </w:r>
      <w:r>
        <w:rPr>
          <w:rFonts w:ascii="Arial" w:hAnsi="Arial" w:cs="Arial"/>
          <w:kern w:val="0"/>
          <w:szCs w:val="21"/>
        </w:rPr>
        <w:t>基金、债券</w:t>
      </w:r>
      <w:r>
        <w:rPr>
          <w:rFonts w:ascii="Arial" w:hAnsi="Arial" w:cs="Arial" w:hint="eastAsia"/>
          <w:kern w:val="0"/>
          <w:szCs w:val="21"/>
        </w:rPr>
        <w:t>型</w:t>
      </w:r>
      <w:r>
        <w:rPr>
          <w:rFonts w:ascii="Arial" w:hAnsi="Arial" w:cs="Arial"/>
          <w:kern w:val="0"/>
          <w:szCs w:val="21"/>
        </w:rPr>
        <w:t>基</w:t>
      </w:r>
      <w:r>
        <w:rPr>
          <w:rFonts w:ascii="Arial" w:hAnsi="Arial" w:cs="Arial"/>
          <w:kern w:val="0"/>
          <w:szCs w:val="21"/>
        </w:rPr>
        <w:lastRenderedPageBreak/>
        <w:t>金与货币市场基金，属于高风险</w:t>
      </w:r>
      <w:r>
        <w:rPr>
          <w:rFonts w:ascii="Arial" w:hAnsi="Arial" w:cs="Arial" w:hint="eastAsia"/>
          <w:kern w:val="0"/>
          <w:szCs w:val="21"/>
        </w:rPr>
        <w:t>/</w:t>
      </w:r>
      <w:r>
        <w:rPr>
          <w:rFonts w:ascii="Arial" w:hAnsi="Arial" w:cs="Arial"/>
          <w:kern w:val="0"/>
          <w:szCs w:val="21"/>
        </w:rPr>
        <w:t>高收益的开放式基金。</w:t>
      </w:r>
    </w:p>
    <w:p w14:paraId="01D5E8E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（九）投资禁止行为与限制</w:t>
      </w:r>
    </w:p>
    <w:p w14:paraId="0654AE3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、禁止用本基金财产从事以下行为</w:t>
      </w:r>
    </w:p>
    <w:p w14:paraId="79ACA56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）承销证券；</w:t>
      </w:r>
    </w:p>
    <w:p w14:paraId="6F52A2C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）向他人贷款或者提供担保；</w:t>
      </w:r>
    </w:p>
    <w:p w14:paraId="503B576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）从事承担无限责任的投资；</w:t>
      </w:r>
    </w:p>
    <w:p w14:paraId="0F93E8C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）买卖其他基金份额，但是国务院另有规定的除外；</w:t>
      </w:r>
    </w:p>
    <w:p w14:paraId="3856BBA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）向基金管理人、基金托管人出资或者买卖基金管理人、基金托管人发行的股票或者债券；</w:t>
      </w:r>
    </w:p>
    <w:p w14:paraId="726A55A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）买卖与基金管理人、基金托管人有控股关系的股东或者与基金管理人、基金托管人有其他重大利害关系的公司发行的证券或者承销期内承销的证券；</w:t>
      </w:r>
    </w:p>
    <w:p w14:paraId="7463D86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）从事内幕交易、操纵证券交易价格及其他不正当的证券交易活动；</w:t>
      </w:r>
    </w:p>
    <w:p w14:paraId="3571DC3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）依照法律、行政法规有关法律法规规定，由国务院证券监督管理机构规定禁止的其他活动。</w:t>
      </w:r>
    </w:p>
    <w:p w14:paraId="6C1AA42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、基金投资组合比例限制</w:t>
      </w:r>
    </w:p>
    <w:p w14:paraId="5518CC3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w:t>
      </w:r>
      <w:r>
        <w:rPr>
          <w:rFonts w:ascii="Arial" w:hAnsi="Arial" w:cs="Arial"/>
          <w:kern w:val="0"/>
          <w:szCs w:val="21"/>
        </w:rPr>
        <w:t>本基金与基金管理人管理的其他基金持有一家公司发行的证券总和，不超过该证券的</w:t>
      </w:r>
      <w:r>
        <w:rPr>
          <w:rFonts w:ascii="Arial" w:hAnsi="Arial" w:cs="Arial"/>
          <w:kern w:val="0"/>
          <w:szCs w:val="21"/>
        </w:rPr>
        <w:t>10%</w:t>
      </w:r>
      <w:r>
        <w:rPr>
          <w:rFonts w:ascii="Arial" w:hAnsi="Arial" w:cs="Arial"/>
          <w:kern w:val="0"/>
          <w:szCs w:val="21"/>
        </w:rPr>
        <w:t>；</w:t>
      </w:r>
    </w:p>
    <w:p w14:paraId="335EC4E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w:t>
      </w:r>
      <w:r>
        <w:rPr>
          <w:rFonts w:ascii="Arial" w:hAnsi="Arial" w:cs="Arial"/>
          <w:kern w:val="0"/>
          <w:szCs w:val="21"/>
        </w:rPr>
        <w:t>本基金不得违反基金合同关于投资范围和投资比例的约定；</w:t>
      </w:r>
    </w:p>
    <w:p w14:paraId="55B5905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w:t>
      </w:r>
      <w:r>
        <w:rPr>
          <w:rFonts w:ascii="Arial" w:hAnsi="Arial" w:cs="Arial"/>
          <w:kern w:val="0"/>
          <w:szCs w:val="21"/>
        </w:rPr>
        <w:t>在全国银行间同业市场中的债券回购最长期限为</w:t>
      </w:r>
      <w:r>
        <w:rPr>
          <w:rFonts w:ascii="Arial" w:hAnsi="Arial" w:cs="Arial"/>
          <w:kern w:val="0"/>
          <w:szCs w:val="21"/>
        </w:rPr>
        <w:t>1</w:t>
      </w:r>
      <w:r>
        <w:rPr>
          <w:rFonts w:ascii="Arial" w:hAnsi="Arial" w:cs="Arial"/>
          <w:kern w:val="0"/>
          <w:szCs w:val="21"/>
        </w:rPr>
        <w:t>年，债券回购到期后</w:t>
      </w:r>
      <w:proofErr w:type="gramStart"/>
      <w:r>
        <w:rPr>
          <w:rFonts w:ascii="Arial" w:hAnsi="Arial" w:cs="Arial"/>
          <w:kern w:val="0"/>
          <w:szCs w:val="21"/>
        </w:rPr>
        <w:t>不</w:t>
      </w:r>
      <w:proofErr w:type="gramEnd"/>
      <w:r>
        <w:rPr>
          <w:rFonts w:ascii="Arial" w:hAnsi="Arial" w:cs="Arial"/>
          <w:kern w:val="0"/>
          <w:szCs w:val="21"/>
        </w:rPr>
        <w:t>展期；</w:t>
      </w:r>
    </w:p>
    <w:p w14:paraId="3170189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w:t>
      </w:r>
      <w:r>
        <w:rPr>
          <w:rFonts w:ascii="Arial" w:hAnsi="Arial" w:cs="Arial"/>
          <w:kern w:val="0"/>
          <w:szCs w:val="21"/>
        </w:rPr>
        <w:t>在银行间市场进行债券回购融入的资金余额不超过基金资产净值的</w:t>
      </w:r>
      <w:r>
        <w:rPr>
          <w:rFonts w:ascii="Arial" w:hAnsi="Arial" w:cs="Arial"/>
          <w:kern w:val="0"/>
          <w:szCs w:val="21"/>
        </w:rPr>
        <w:t>40%</w:t>
      </w:r>
      <w:r>
        <w:rPr>
          <w:rFonts w:ascii="Arial" w:hAnsi="Arial" w:cs="Arial"/>
          <w:kern w:val="0"/>
          <w:szCs w:val="21"/>
        </w:rPr>
        <w:t>；</w:t>
      </w:r>
    </w:p>
    <w:p w14:paraId="346BA29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w:t>
      </w:r>
      <w:r>
        <w:rPr>
          <w:rFonts w:ascii="Arial" w:hAnsi="Arial" w:cs="Arial"/>
          <w:kern w:val="0"/>
          <w:szCs w:val="21"/>
        </w:rPr>
        <w:t>基金的投资组合中保留的现金或者到期日在一年以内的政府债券的比例合计不低于基金资产净值的</w:t>
      </w:r>
      <w:r>
        <w:rPr>
          <w:rFonts w:ascii="Arial" w:hAnsi="Arial" w:cs="Arial"/>
          <w:kern w:val="0"/>
          <w:szCs w:val="21"/>
        </w:rPr>
        <w:t>5%</w:t>
      </w:r>
      <w:r>
        <w:rPr>
          <w:rFonts w:ascii="Arial" w:hAnsi="Arial" w:cs="Arial" w:hint="eastAsia"/>
          <w:kern w:val="0"/>
          <w:szCs w:val="21"/>
        </w:rPr>
        <w:t>，其中，现金不包括结算备付金、存出保证金、应收申购款等；</w:t>
      </w:r>
    </w:p>
    <w:p w14:paraId="204A010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w:t>
      </w:r>
      <w:r>
        <w:rPr>
          <w:rFonts w:ascii="Arial" w:hAnsi="Arial" w:cs="Arial"/>
          <w:kern w:val="0"/>
          <w:szCs w:val="21"/>
        </w:rPr>
        <w:t>本基金持有的同一（指同一信用级别）资产支持证券的比例，不得超过该资产支持证券规模的</w:t>
      </w:r>
      <w:r>
        <w:rPr>
          <w:rFonts w:ascii="Arial" w:hAnsi="Arial" w:cs="Arial"/>
          <w:kern w:val="0"/>
          <w:szCs w:val="21"/>
        </w:rPr>
        <w:t>10%</w:t>
      </w:r>
      <w:r>
        <w:rPr>
          <w:rFonts w:ascii="Arial" w:hAnsi="Arial" w:cs="Arial"/>
          <w:kern w:val="0"/>
          <w:szCs w:val="21"/>
        </w:rPr>
        <w:t>；本基金投资于同一原始权益人的各类资产支持证券的比例，不得超过基金资产净值的</w:t>
      </w:r>
      <w:r>
        <w:rPr>
          <w:rFonts w:ascii="Arial" w:hAnsi="Arial" w:cs="Arial"/>
          <w:kern w:val="0"/>
          <w:szCs w:val="21"/>
        </w:rPr>
        <w:t>10%</w:t>
      </w:r>
      <w:r>
        <w:rPr>
          <w:rFonts w:ascii="Arial" w:hAnsi="Arial" w:cs="Arial"/>
          <w:kern w:val="0"/>
          <w:szCs w:val="21"/>
        </w:rPr>
        <w:t>；本公司管理的全部证券投资基金投资于同一原始权益人的各类资产支持证券，不得超过其各类资产支持证券合计规模的</w:t>
      </w:r>
      <w:r>
        <w:rPr>
          <w:rFonts w:ascii="Arial" w:hAnsi="Arial" w:cs="Arial"/>
          <w:kern w:val="0"/>
          <w:szCs w:val="21"/>
        </w:rPr>
        <w:t>10%</w:t>
      </w:r>
      <w:r>
        <w:rPr>
          <w:rFonts w:ascii="Arial" w:hAnsi="Arial" w:cs="Arial"/>
          <w:kern w:val="0"/>
          <w:szCs w:val="21"/>
        </w:rPr>
        <w:t>；本基金持有的全部资产支持证券，其市值不得超过基金资产净值的</w:t>
      </w:r>
      <w:r>
        <w:rPr>
          <w:rFonts w:ascii="Arial" w:hAnsi="Arial" w:cs="Arial"/>
          <w:kern w:val="0"/>
          <w:szCs w:val="21"/>
        </w:rPr>
        <w:t>20%</w:t>
      </w:r>
      <w:r>
        <w:rPr>
          <w:rFonts w:ascii="Arial" w:hAnsi="Arial" w:cs="Arial"/>
          <w:kern w:val="0"/>
          <w:szCs w:val="21"/>
        </w:rPr>
        <w:t>，中国证监会规定的特殊品种除外。本基金持有资产支持证券期间，如果其信用等级下降、不再符合投资标准，将在评级报告发布之日起</w:t>
      </w:r>
      <w:r>
        <w:rPr>
          <w:rFonts w:ascii="Arial" w:hAnsi="Arial" w:cs="Arial"/>
          <w:kern w:val="0"/>
          <w:szCs w:val="21"/>
        </w:rPr>
        <w:t>3</w:t>
      </w:r>
      <w:r>
        <w:rPr>
          <w:rFonts w:ascii="Arial" w:hAnsi="Arial" w:cs="Arial"/>
          <w:kern w:val="0"/>
          <w:szCs w:val="21"/>
        </w:rPr>
        <w:t>个月内予以全部卖出</w:t>
      </w:r>
      <w:r>
        <w:rPr>
          <w:rFonts w:ascii="Arial" w:hAnsi="Arial" w:cs="Arial" w:hint="eastAsia"/>
          <w:kern w:val="0"/>
          <w:szCs w:val="21"/>
        </w:rPr>
        <w:t>；</w:t>
      </w:r>
    </w:p>
    <w:p w14:paraId="521658E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）本基金管理人管理的全部开放式基金持有一家上市公司发行的可流通股票，不得超过该上市公司可流通股票的</w:t>
      </w:r>
      <w:r>
        <w:rPr>
          <w:rFonts w:ascii="Arial" w:hAnsi="Arial" w:cs="Arial" w:hint="eastAsia"/>
          <w:kern w:val="0"/>
          <w:szCs w:val="21"/>
        </w:rPr>
        <w:t>15%</w:t>
      </w:r>
      <w:r>
        <w:rPr>
          <w:rFonts w:ascii="Arial" w:hAnsi="Arial" w:cs="Arial" w:hint="eastAsia"/>
          <w:kern w:val="0"/>
          <w:szCs w:val="21"/>
        </w:rPr>
        <w:t>；本基金管理人管理的全部投资组合持有一家上市公司发行的可流通股票，不得超过该上市公司可流通股票的</w:t>
      </w:r>
      <w:r>
        <w:rPr>
          <w:rFonts w:ascii="Arial" w:hAnsi="Arial" w:cs="Arial" w:hint="eastAsia"/>
          <w:kern w:val="0"/>
          <w:szCs w:val="21"/>
        </w:rPr>
        <w:t>30%</w:t>
      </w:r>
      <w:r>
        <w:rPr>
          <w:rFonts w:ascii="Arial" w:hAnsi="Arial" w:cs="Arial" w:hint="eastAsia"/>
          <w:kern w:val="0"/>
          <w:szCs w:val="21"/>
        </w:rPr>
        <w:t>；</w:t>
      </w:r>
    </w:p>
    <w:p w14:paraId="3E5CD32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）本基金主动投资于流动性受限资产的市值合计不得超过本基金资产净值的</w:t>
      </w:r>
      <w:r>
        <w:rPr>
          <w:rFonts w:ascii="Arial" w:hAnsi="Arial" w:cs="Arial" w:hint="eastAsia"/>
          <w:kern w:val="0"/>
          <w:szCs w:val="21"/>
        </w:rPr>
        <w:t>15%</w:t>
      </w:r>
      <w:r>
        <w:rPr>
          <w:rFonts w:ascii="Arial" w:hAnsi="Arial" w:cs="Arial" w:hint="eastAsia"/>
          <w:kern w:val="0"/>
          <w:szCs w:val="21"/>
        </w:rPr>
        <w:t>；</w:t>
      </w:r>
    </w:p>
    <w:p w14:paraId="0A1D857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因证券市场波动、上市公司股票停牌、基金规模变动等基金管理人之外的因素致使基金</w:t>
      </w:r>
      <w:r>
        <w:rPr>
          <w:rFonts w:ascii="Arial" w:hAnsi="Arial" w:cs="Arial" w:hint="eastAsia"/>
          <w:kern w:val="0"/>
          <w:szCs w:val="21"/>
        </w:rPr>
        <w:lastRenderedPageBreak/>
        <w:t>不符合前款所规定比例限制的，基金管理人不得主动新增流动性受限资产的投资；</w:t>
      </w:r>
    </w:p>
    <w:p w14:paraId="299506B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9</w:t>
      </w:r>
      <w:r>
        <w:rPr>
          <w:rFonts w:ascii="Arial" w:hAnsi="Arial" w:cs="Arial" w:hint="eastAsia"/>
          <w:kern w:val="0"/>
          <w:szCs w:val="21"/>
        </w:rPr>
        <w:t>）本基金与私募类</w:t>
      </w:r>
      <w:proofErr w:type="gramStart"/>
      <w:r>
        <w:rPr>
          <w:rFonts w:ascii="Arial" w:hAnsi="Arial" w:cs="Arial" w:hint="eastAsia"/>
          <w:kern w:val="0"/>
          <w:szCs w:val="21"/>
        </w:rPr>
        <w:t>证券资管产品</w:t>
      </w:r>
      <w:proofErr w:type="gramEnd"/>
      <w:r>
        <w:rPr>
          <w:rFonts w:ascii="Arial" w:hAnsi="Arial" w:cs="Arial" w:hint="eastAsia"/>
          <w:kern w:val="0"/>
          <w:szCs w:val="21"/>
        </w:rPr>
        <w:t>及中国证监会认定的其他主体为交易对手开展逆回购交易的，可接受质押品的资质要求应当与基金合同约定的投资范围保持一致；</w:t>
      </w:r>
    </w:p>
    <w:p w14:paraId="552F329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10</w:t>
      </w:r>
      <w:r>
        <w:rPr>
          <w:rFonts w:ascii="Arial" w:hAnsi="Arial" w:cs="Arial" w:hint="eastAsia"/>
          <w:kern w:val="0"/>
          <w:szCs w:val="21"/>
        </w:rPr>
        <w:t>）</w:t>
      </w:r>
      <w:r>
        <w:rPr>
          <w:rFonts w:ascii="Arial" w:hAnsi="Arial" w:cs="Arial"/>
          <w:kern w:val="0"/>
          <w:szCs w:val="21"/>
        </w:rPr>
        <w:t>法律、法规、基金合同及中国证监会规定的其他比例限制。</w:t>
      </w:r>
    </w:p>
    <w:p w14:paraId="0EB550E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如果法律法规对本基金合同约定投资组合比例限制进行变更的，以变更后的规定为准。法律法规或监管部门取消上述限制，如适用于本基金，则本基金投资不再受相关限制。</w:t>
      </w:r>
    </w:p>
    <w:p w14:paraId="5CECA92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基金管理人应当自基金合同生效之日起</w:t>
      </w:r>
      <w:r>
        <w:rPr>
          <w:rFonts w:ascii="Arial" w:hAnsi="Arial" w:cs="Arial"/>
          <w:kern w:val="0"/>
          <w:szCs w:val="21"/>
        </w:rPr>
        <w:t>3</w:t>
      </w:r>
      <w:r>
        <w:rPr>
          <w:rFonts w:ascii="Arial" w:hAnsi="Arial" w:cs="Arial"/>
          <w:kern w:val="0"/>
          <w:szCs w:val="21"/>
        </w:rPr>
        <w:t>个月内使基金的投资组合比例符合基金合同的约定。</w:t>
      </w:r>
      <w:r>
        <w:rPr>
          <w:rFonts w:ascii="Arial" w:hAnsi="Arial" w:cs="Arial" w:hint="eastAsia"/>
          <w:kern w:val="0"/>
          <w:szCs w:val="21"/>
        </w:rPr>
        <w:t>除上述第（</w:t>
      </w:r>
      <w:r>
        <w:rPr>
          <w:rFonts w:ascii="Arial" w:hAnsi="Arial" w:cs="Arial" w:hint="eastAsia"/>
          <w:kern w:val="0"/>
          <w:szCs w:val="21"/>
        </w:rPr>
        <w:t>8</w:t>
      </w:r>
      <w:r>
        <w:rPr>
          <w:rFonts w:ascii="Arial" w:hAnsi="Arial" w:cs="Arial" w:hint="eastAsia"/>
          <w:kern w:val="0"/>
          <w:szCs w:val="21"/>
        </w:rPr>
        <w:t>）、（</w:t>
      </w:r>
      <w:r>
        <w:rPr>
          <w:rFonts w:ascii="Arial" w:hAnsi="Arial" w:cs="Arial" w:hint="eastAsia"/>
          <w:kern w:val="0"/>
          <w:szCs w:val="21"/>
        </w:rPr>
        <w:t>9</w:t>
      </w:r>
      <w:r>
        <w:rPr>
          <w:rFonts w:ascii="Arial" w:hAnsi="Arial" w:cs="Arial" w:hint="eastAsia"/>
          <w:kern w:val="0"/>
          <w:szCs w:val="21"/>
        </w:rPr>
        <w:t>）项外，</w:t>
      </w:r>
      <w:r>
        <w:rPr>
          <w:rFonts w:ascii="Arial" w:hAnsi="Arial" w:cs="Arial"/>
          <w:kern w:val="0"/>
          <w:szCs w:val="21"/>
        </w:rPr>
        <w:t>由于证券市场波动、基金规模变动、标的指数调整、标的指数</w:t>
      </w:r>
      <w:r>
        <w:rPr>
          <w:rFonts w:ascii="Arial" w:hAnsi="Arial" w:cs="Arial" w:hint="eastAsia"/>
          <w:kern w:val="0"/>
          <w:szCs w:val="21"/>
        </w:rPr>
        <w:t>所对应的黄金现货合约</w:t>
      </w:r>
      <w:r>
        <w:rPr>
          <w:rFonts w:ascii="Arial" w:hAnsi="Arial" w:cs="Arial"/>
          <w:kern w:val="0"/>
          <w:szCs w:val="21"/>
        </w:rPr>
        <w:t>股流动性限制、</w:t>
      </w:r>
      <w:r>
        <w:rPr>
          <w:rFonts w:ascii="Arial" w:hAnsi="Arial" w:cs="Arial"/>
          <w:kern w:val="0"/>
          <w:szCs w:val="21"/>
        </w:rPr>
        <w:t>ETF</w:t>
      </w:r>
      <w:r>
        <w:rPr>
          <w:rFonts w:ascii="Arial" w:hAnsi="Arial" w:cs="Arial"/>
          <w:kern w:val="0"/>
          <w:szCs w:val="21"/>
        </w:rPr>
        <w:t>暂停申购、赎回或二级市场交易停牌等基金管理人之外的因素导致基金投资不符合上述约定比例的，基金管理人应在</w:t>
      </w:r>
      <w:r>
        <w:rPr>
          <w:rFonts w:ascii="Arial" w:hAnsi="Arial" w:cs="Arial"/>
          <w:kern w:val="0"/>
          <w:szCs w:val="21"/>
        </w:rPr>
        <w:t>10</w:t>
      </w:r>
      <w:r>
        <w:rPr>
          <w:rFonts w:ascii="Arial" w:hAnsi="Arial" w:cs="Arial"/>
          <w:kern w:val="0"/>
          <w:szCs w:val="21"/>
        </w:rPr>
        <w:t>个交易日内进行调整，以达到标准，法律法规另有规定的，从其规定。</w:t>
      </w:r>
    </w:p>
    <w:p w14:paraId="7E21CF5F" w14:textId="77777777" w:rsidR="00ED45CB" w:rsidRDefault="00703CCA">
      <w:pPr>
        <w:spacing w:before="100" w:beforeAutospacing="1" w:after="100" w:afterAutospacing="1" w:line="400" w:lineRule="exact"/>
        <w:ind w:firstLine="420"/>
        <w:rPr>
          <w:rFonts w:ascii="宋体" w:hAnsi="宋体"/>
          <w:kern w:val="0"/>
          <w:szCs w:val="21"/>
        </w:rPr>
      </w:pPr>
      <w:r>
        <w:rPr>
          <w:rFonts w:ascii="宋体" w:hAnsi="宋体"/>
          <w:kern w:val="0"/>
          <w:szCs w:val="21"/>
        </w:rPr>
        <w:br w:type="page"/>
      </w:r>
    </w:p>
    <w:p w14:paraId="721D7508"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54" w:name="_Toc88037849"/>
      <w:bookmarkStart w:id="55" w:name="_Toc78595975"/>
      <w:bookmarkStart w:id="56" w:name="_Toc122336553"/>
      <w:bookmarkStart w:id="57" w:name="_Toc344308275"/>
      <w:r>
        <w:rPr>
          <w:rFonts w:ascii="宋体" w:eastAsia="宋体" w:hAnsi="宋体" w:hint="eastAsia"/>
          <w:sz w:val="24"/>
          <w:szCs w:val="24"/>
        </w:rPr>
        <w:t>十五、基金的融资</w:t>
      </w:r>
      <w:bookmarkEnd w:id="54"/>
      <w:bookmarkEnd w:id="55"/>
      <w:bookmarkEnd w:id="56"/>
      <w:r>
        <w:rPr>
          <w:rFonts w:ascii="宋体" w:eastAsia="宋体" w:hAnsi="宋体" w:hint="eastAsia"/>
          <w:sz w:val="24"/>
          <w:szCs w:val="24"/>
        </w:rPr>
        <w:t>、融券</w:t>
      </w:r>
      <w:bookmarkEnd w:id="57"/>
    </w:p>
    <w:p w14:paraId="6F1FA81E" w14:textId="77777777" w:rsidR="00ED45CB" w:rsidRDefault="00703CCA">
      <w:pPr>
        <w:spacing w:before="100" w:beforeAutospacing="1" w:after="100" w:afterAutospacing="1" w:line="400" w:lineRule="exact"/>
        <w:ind w:firstLine="420"/>
        <w:rPr>
          <w:rFonts w:ascii="宋体" w:hAnsi="宋体"/>
          <w:kern w:val="0"/>
          <w:szCs w:val="21"/>
        </w:rPr>
      </w:pPr>
      <w:r>
        <w:rPr>
          <w:rFonts w:ascii="宋体" w:hAnsi="宋体" w:hint="eastAsia"/>
          <w:kern w:val="0"/>
          <w:szCs w:val="21"/>
        </w:rPr>
        <w:t>本基金可以按照国家的有关法律法规规定进行融资、融券。</w:t>
      </w:r>
    </w:p>
    <w:p w14:paraId="2C817C9D" w14:textId="77777777" w:rsidR="00ED45CB" w:rsidRDefault="00703CCA">
      <w:pPr>
        <w:spacing w:before="100" w:beforeAutospacing="1" w:after="100" w:afterAutospacing="1" w:line="400" w:lineRule="exact"/>
        <w:ind w:firstLine="420"/>
        <w:rPr>
          <w:rFonts w:ascii="宋体" w:hAnsi="宋体"/>
          <w:kern w:val="0"/>
          <w:szCs w:val="21"/>
        </w:rPr>
      </w:pPr>
      <w:r>
        <w:rPr>
          <w:rFonts w:ascii="宋体" w:hAnsi="宋体"/>
          <w:kern w:val="0"/>
          <w:szCs w:val="21"/>
        </w:rPr>
        <w:br w:type="page"/>
      </w:r>
    </w:p>
    <w:p w14:paraId="7E96544B"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58" w:name="_Toc344308276"/>
      <w:bookmarkStart w:id="59" w:name="_Toc122336554"/>
      <w:bookmarkStart w:id="60" w:name="_Toc88037850"/>
      <w:r>
        <w:rPr>
          <w:rFonts w:ascii="宋体" w:eastAsia="宋体" w:hAnsi="宋体" w:hint="eastAsia"/>
          <w:sz w:val="24"/>
          <w:szCs w:val="24"/>
        </w:rPr>
        <w:t>十六、基金的财产</w:t>
      </w:r>
      <w:bookmarkEnd w:id="58"/>
      <w:bookmarkEnd w:id="59"/>
      <w:bookmarkEnd w:id="60"/>
    </w:p>
    <w:p w14:paraId="682CC97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（一）基金资产总值</w:t>
      </w:r>
    </w:p>
    <w:p w14:paraId="1939BCC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本基金的基金资产总值包括基金所持有的各类有价证券、银行存款本息、基金的应收款项和其他投资所形成的价值总和。</w:t>
      </w:r>
    </w:p>
    <w:p w14:paraId="570B593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（二）基金资产净值</w:t>
      </w:r>
    </w:p>
    <w:p w14:paraId="696A345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本基金的基金资产净值是指基金资产总值减去负债后的价值。</w:t>
      </w:r>
    </w:p>
    <w:p w14:paraId="2A66277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（三）基金财产的账户</w:t>
      </w:r>
    </w:p>
    <w:p w14:paraId="2C05263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本基金根据相关法律法规、规范性文件开立基金资金账户以及证券账户，与基金管理人和基金托管人自有的财产账户以及其他基金财产账户独立。</w:t>
      </w:r>
    </w:p>
    <w:p w14:paraId="5C9732D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（四）基金财产的保管及处分</w:t>
      </w:r>
    </w:p>
    <w:p w14:paraId="2F854FE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、本基金财产独立于基金管理人及基金托管人的固有财产，并由基金托管人保管。</w:t>
      </w:r>
    </w:p>
    <w:p w14:paraId="2857DBF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、基金管理人、基金托管人因基金财产的管理、运用或者其他情形而取得的财产和收益，</w:t>
      </w:r>
      <w:proofErr w:type="gramStart"/>
      <w:r>
        <w:rPr>
          <w:rFonts w:ascii="Arial" w:hAnsi="Arial" w:cs="Arial" w:hint="eastAsia"/>
          <w:kern w:val="0"/>
          <w:szCs w:val="21"/>
        </w:rPr>
        <w:t>归基金</w:t>
      </w:r>
      <w:proofErr w:type="gramEnd"/>
      <w:r>
        <w:rPr>
          <w:rFonts w:ascii="Arial" w:hAnsi="Arial" w:cs="Arial" w:hint="eastAsia"/>
          <w:kern w:val="0"/>
          <w:szCs w:val="21"/>
        </w:rPr>
        <w:t>财产。</w:t>
      </w:r>
    </w:p>
    <w:p w14:paraId="4D9E544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、基金管理人、基金托管人因依法解散、被依法撤销或者被依法宣告破产等原因进行清算的，基金财产不属于其清算范围。</w:t>
      </w:r>
    </w:p>
    <w:p w14:paraId="4E14989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、基金财产的债权不得与基金管理人、基金托管人固有财产的债务相</w:t>
      </w:r>
      <w:proofErr w:type="gramStart"/>
      <w:r>
        <w:rPr>
          <w:rFonts w:ascii="Arial" w:hAnsi="Arial" w:cs="Arial" w:hint="eastAsia"/>
          <w:kern w:val="0"/>
          <w:szCs w:val="21"/>
        </w:rPr>
        <w:t>抵销</w:t>
      </w:r>
      <w:proofErr w:type="gramEnd"/>
      <w:r>
        <w:rPr>
          <w:rFonts w:ascii="Arial" w:hAnsi="Arial" w:cs="Arial" w:hint="eastAsia"/>
          <w:kern w:val="0"/>
          <w:szCs w:val="21"/>
        </w:rPr>
        <w:t>；不同基金财产的债权债务，不得相互</w:t>
      </w:r>
      <w:proofErr w:type="gramStart"/>
      <w:r>
        <w:rPr>
          <w:rFonts w:ascii="Arial" w:hAnsi="Arial" w:cs="Arial" w:hint="eastAsia"/>
          <w:kern w:val="0"/>
          <w:szCs w:val="21"/>
        </w:rPr>
        <w:t>抵销</w:t>
      </w:r>
      <w:proofErr w:type="gramEnd"/>
      <w:r>
        <w:rPr>
          <w:rFonts w:ascii="Arial" w:hAnsi="Arial" w:cs="Arial" w:hint="eastAsia"/>
          <w:kern w:val="0"/>
          <w:szCs w:val="21"/>
        </w:rPr>
        <w:t>。非因基金财产本身承担的债务，不得对基金财产强制执行。</w:t>
      </w:r>
    </w:p>
    <w:p w14:paraId="072F90F0" w14:textId="77777777" w:rsidR="00ED45CB" w:rsidRDefault="00703CCA">
      <w:pPr>
        <w:spacing w:before="100" w:beforeAutospacing="1" w:after="100" w:afterAutospacing="1" w:line="400" w:lineRule="exact"/>
        <w:ind w:firstLine="420"/>
        <w:rPr>
          <w:rFonts w:ascii="宋体" w:hAnsi="宋体"/>
          <w:kern w:val="0"/>
          <w:szCs w:val="21"/>
        </w:rPr>
      </w:pPr>
      <w:r>
        <w:rPr>
          <w:rFonts w:ascii="宋体" w:hAnsi="宋体"/>
          <w:kern w:val="0"/>
          <w:szCs w:val="21"/>
        </w:rPr>
        <w:br w:type="page"/>
      </w:r>
    </w:p>
    <w:p w14:paraId="46D7E8C1"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61" w:name="_Toc122336555"/>
      <w:bookmarkStart w:id="62" w:name="_Toc88037851"/>
      <w:bookmarkStart w:id="63" w:name="_Toc344308277"/>
      <w:r>
        <w:rPr>
          <w:rFonts w:ascii="宋体" w:eastAsia="宋体" w:hAnsi="宋体" w:hint="eastAsia"/>
          <w:sz w:val="24"/>
          <w:szCs w:val="24"/>
        </w:rPr>
        <w:t>十七、</w:t>
      </w:r>
      <w:bookmarkEnd w:id="61"/>
      <w:bookmarkEnd w:id="62"/>
      <w:r>
        <w:rPr>
          <w:rFonts w:ascii="宋体" w:eastAsia="宋体" w:hAnsi="宋体" w:hint="eastAsia"/>
          <w:sz w:val="24"/>
          <w:szCs w:val="24"/>
        </w:rPr>
        <w:t>基金资产的估值</w:t>
      </w:r>
      <w:bookmarkEnd w:id="63"/>
    </w:p>
    <w:p w14:paraId="64091C5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（一）估值目的</w:t>
      </w:r>
    </w:p>
    <w:p w14:paraId="4C91027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基金估值的目的是为了准确、真实地反映基金相关金融资产和金融负债的公允价值。开放式基金份额申购、赎回价格应按基金估值后确定的基金份额净值计算。</w:t>
      </w:r>
    </w:p>
    <w:p w14:paraId="7219107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（二）估值日</w:t>
      </w:r>
    </w:p>
    <w:p w14:paraId="4699484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本基金的估值日为相关的证券交易场所的正常营业日以及国家法律法规规定需要对外披露基金净值的非营业日。</w:t>
      </w:r>
    </w:p>
    <w:p w14:paraId="017765C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（三）估值对象</w:t>
      </w:r>
    </w:p>
    <w:p w14:paraId="5C873DE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基金所持有的金融资产和金融负债</w:t>
      </w:r>
      <w:r>
        <w:rPr>
          <w:rFonts w:ascii="Arial" w:hAnsi="Arial" w:cs="Arial"/>
          <w:kern w:val="0"/>
          <w:szCs w:val="21"/>
        </w:rPr>
        <w:t>。</w:t>
      </w:r>
    </w:p>
    <w:p w14:paraId="4B5FC2B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（四）估值方法</w:t>
      </w:r>
    </w:p>
    <w:p w14:paraId="33BE5B1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、股票估值方法</w:t>
      </w:r>
    </w:p>
    <w:p w14:paraId="28BA904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）上市流通股票的估值</w:t>
      </w:r>
    </w:p>
    <w:p w14:paraId="183DA95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上市流通股票按估值日其所在证券交易所的收盘价估值；估值日无交易的，且最近交易日后经济环境未发生重大变化，以最近交易日的收盘价估值；如最近交易日后经济环境发生了重大变化的，可参考类似投资品种的现行市价及重大变化因素，调整最近交易市价，确定公允价格。</w:t>
      </w:r>
    </w:p>
    <w:p w14:paraId="1097501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）未上市股票的估值</w:t>
      </w:r>
    </w:p>
    <w:p w14:paraId="17E967F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送股、转增股、配股和公开增发新股等发行未上市的股票，按估值日在交易所挂牌的同一股票的收盘价估值；估值日无交易的，且最近交易日后经济环境未发生重大变化，以最近交易日的收盘价估值；如最近交易日后经济环境发生了重大变化的，可参考类似投资品种的现行市价及重大变化因素，调整最近交易市价，确定公允价格。。</w:t>
      </w:r>
    </w:p>
    <w:p w14:paraId="70472D9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首次发行未上市的股票，采用估值技术确定公允价值，在估值技术难以可靠计量的情况下，按成本估值。</w:t>
      </w:r>
    </w:p>
    <w:p w14:paraId="75AE2F5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）有明确锁定期股票的估值</w:t>
      </w:r>
    </w:p>
    <w:p w14:paraId="365BCD5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首次公开发行有明确锁定期的股票，同一股票在交易所上市后，按交易所上市的同一股票的收盘价估值；非公开发行且处于明确锁定期的股票，按监管机构或行业协会的有关规定确定公允价值。</w:t>
      </w:r>
    </w:p>
    <w:p w14:paraId="7AE1524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、固定收益证券的估值办法</w:t>
      </w:r>
    </w:p>
    <w:p w14:paraId="311D64A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）证券交易所市场实行净价交易的债券按估值日收盘净价估值，估值日没有交易的，且最近交易日后经济环境未发生重大变化，按最近交易日的收盘净价估值</w:t>
      </w:r>
      <w:r>
        <w:rPr>
          <w:rFonts w:ascii="Arial" w:hAnsi="Arial" w:cs="Arial"/>
          <w:kern w:val="0"/>
          <w:szCs w:val="21"/>
        </w:rPr>
        <w:t>；</w:t>
      </w:r>
      <w:r>
        <w:rPr>
          <w:rFonts w:ascii="Arial" w:hAnsi="Arial" w:cs="Arial" w:hint="eastAsia"/>
          <w:kern w:val="0"/>
          <w:szCs w:val="21"/>
        </w:rPr>
        <w:t>如最近交易日后经济环境发生了重大变化的，可参考类似投资品种的现行市价及重大变化因素，调整最近交易市价，确定公允价格。</w:t>
      </w:r>
    </w:p>
    <w:p w14:paraId="4FAC0B6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w:t>
      </w:r>
      <w:r>
        <w:rPr>
          <w:rFonts w:ascii="Arial" w:hAnsi="Arial" w:cs="Arial" w:hint="eastAsia"/>
          <w:kern w:val="0"/>
          <w:szCs w:val="21"/>
        </w:rPr>
        <w:t>2</w:t>
      </w:r>
      <w:r>
        <w:rPr>
          <w:rFonts w:ascii="Arial" w:hAnsi="Arial" w:cs="Arial" w:hint="eastAsia"/>
          <w:kern w:val="0"/>
          <w:szCs w:val="21"/>
        </w:rPr>
        <w:t>）证券交易所市场未实行净价交易的债券按估值日收盘价减去债券收盘价中所含的债券应收利息</w:t>
      </w:r>
      <w:r>
        <w:rPr>
          <w:rFonts w:ascii="Arial" w:hAnsi="Arial" w:cs="Arial"/>
          <w:kern w:val="0"/>
          <w:szCs w:val="21"/>
        </w:rPr>
        <w:t>(</w:t>
      </w:r>
      <w:r>
        <w:rPr>
          <w:rFonts w:ascii="Arial" w:hAnsi="Arial" w:cs="Arial"/>
          <w:kern w:val="0"/>
          <w:szCs w:val="21"/>
        </w:rPr>
        <w:t>自债券计息起始日或上一起</w:t>
      </w:r>
      <w:proofErr w:type="gramStart"/>
      <w:r>
        <w:rPr>
          <w:rFonts w:ascii="Arial" w:hAnsi="Arial" w:cs="Arial"/>
          <w:kern w:val="0"/>
          <w:szCs w:val="21"/>
        </w:rPr>
        <w:t>息</w:t>
      </w:r>
      <w:proofErr w:type="gramEnd"/>
      <w:r>
        <w:rPr>
          <w:rFonts w:ascii="Arial" w:hAnsi="Arial" w:cs="Arial"/>
          <w:kern w:val="0"/>
          <w:szCs w:val="21"/>
        </w:rPr>
        <w:t>日至估值当日的利息</w:t>
      </w:r>
      <w:r>
        <w:rPr>
          <w:rFonts w:ascii="Arial" w:hAnsi="Arial" w:cs="Arial"/>
          <w:kern w:val="0"/>
          <w:szCs w:val="21"/>
        </w:rPr>
        <w:t>)</w:t>
      </w:r>
      <w:r>
        <w:rPr>
          <w:rFonts w:ascii="Arial" w:hAnsi="Arial" w:cs="Arial" w:hint="eastAsia"/>
          <w:kern w:val="0"/>
          <w:szCs w:val="21"/>
        </w:rPr>
        <w:t>得到的净价进行估值，估值日没有交易的，且最近交易日后经济环境未发生重大变化，按有交易的最近交易日所采用的净价估值；如最近交易日后经济环境发生了重大变化的，可参考类似投资品种的现行市价及重大变化因素，调整最近交易市价，确定公允价格。</w:t>
      </w:r>
    </w:p>
    <w:p w14:paraId="163E3DF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）未上市债券采用估值技术确定公允价值，在估值技术难以可靠计量的情况下，按成本估值。</w:t>
      </w:r>
    </w:p>
    <w:p w14:paraId="6CDD0F5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）在银行间债券市场交易的债券、资产支持证券等固定收益品种，采用估值技术确定公允价值。</w:t>
      </w:r>
    </w:p>
    <w:p w14:paraId="77A357A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）交易所以大宗交易方式转让的资产支持证券，采用估值技术确定公允价值，在估值技术难以可靠计量公允价值的情况下，按成本进行后续计量。</w:t>
      </w:r>
    </w:p>
    <w:p w14:paraId="5067491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）同一债券同时在两个或两个以上市场交易的，按债券所处的市场分别估值。</w:t>
      </w:r>
    </w:p>
    <w:p w14:paraId="256C991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、权证估值：</w:t>
      </w:r>
    </w:p>
    <w:p w14:paraId="523A63C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）配股权证的估值：</w:t>
      </w:r>
    </w:p>
    <w:p w14:paraId="25134B6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因持有股票而享有的配股权，类同权证处理方式的，采用估值技术进行估值。</w:t>
      </w:r>
    </w:p>
    <w:p w14:paraId="70413E8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）认沽</w:t>
      </w:r>
      <w:r>
        <w:rPr>
          <w:rFonts w:ascii="Arial" w:hAnsi="Arial" w:cs="Arial" w:hint="eastAsia"/>
          <w:kern w:val="0"/>
          <w:szCs w:val="21"/>
        </w:rPr>
        <w:t>/</w:t>
      </w:r>
      <w:r>
        <w:rPr>
          <w:rFonts w:ascii="Arial" w:hAnsi="Arial" w:cs="Arial" w:hint="eastAsia"/>
          <w:kern w:val="0"/>
          <w:szCs w:val="21"/>
        </w:rPr>
        <w:t>认购权证的估值：</w:t>
      </w:r>
    </w:p>
    <w:p w14:paraId="1209C30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从持有确认日起到卖出日或行权日止，上市交易的认沽</w:t>
      </w:r>
      <w:r>
        <w:rPr>
          <w:rFonts w:ascii="Arial" w:hAnsi="Arial" w:cs="Arial" w:hint="eastAsia"/>
          <w:kern w:val="0"/>
          <w:szCs w:val="21"/>
        </w:rPr>
        <w:t>/</w:t>
      </w:r>
      <w:r>
        <w:rPr>
          <w:rFonts w:ascii="Arial" w:hAnsi="Arial" w:cs="Arial" w:hint="eastAsia"/>
          <w:kern w:val="0"/>
          <w:szCs w:val="21"/>
        </w:rPr>
        <w:t>认购权证按估值日的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未上市交易的认沽</w:t>
      </w:r>
      <w:r>
        <w:rPr>
          <w:rFonts w:ascii="Arial" w:hAnsi="Arial" w:cs="Arial" w:hint="eastAsia"/>
          <w:kern w:val="0"/>
          <w:szCs w:val="21"/>
        </w:rPr>
        <w:t>/</w:t>
      </w:r>
      <w:r>
        <w:rPr>
          <w:rFonts w:ascii="Arial" w:hAnsi="Arial" w:cs="Arial" w:hint="eastAsia"/>
          <w:kern w:val="0"/>
          <w:szCs w:val="21"/>
        </w:rPr>
        <w:t>认购权证采用估值技术确定公允价值，在估值技术难以可靠计量的情况下，按成本估值。</w:t>
      </w:r>
    </w:p>
    <w:p w14:paraId="1B8AA2C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、黄金现货合约、黄金现货延期交收合约及其他经中国人民银行批准的黄金合约，按估值日其所在上海黄金交易所的收盘价估值。</w:t>
      </w:r>
    </w:p>
    <w:p w14:paraId="3092921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、本基金持有的目标</w:t>
      </w:r>
      <w:r>
        <w:rPr>
          <w:rFonts w:ascii="Arial" w:hAnsi="Arial" w:cs="Arial" w:hint="eastAsia"/>
          <w:kern w:val="0"/>
          <w:szCs w:val="21"/>
        </w:rPr>
        <w:t>ETF</w:t>
      </w:r>
      <w:r>
        <w:rPr>
          <w:rFonts w:ascii="Arial" w:hAnsi="Arial" w:cs="Arial" w:hint="eastAsia"/>
          <w:kern w:val="0"/>
          <w:szCs w:val="21"/>
        </w:rPr>
        <w:t>份额</w:t>
      </w:r>
      <w:r>
        <w:rPr>
          <w:rFonts w:ascii="Arial" w:hAnsi="Arial" w:cs="Arial"/>
          <w:kern w:val="0"/>
          <w:szCs w:val="21"/>
        </w:rPr>
        <w:t>以其在</w:t>
      </w:r>
      <w:r>
        <w:rPr>
          <w:rFonts w:ascii="Arial" w:hAnsi="Arial" w:cs="Arial" w:hint="eastAsia"/>
          <w:kern w:val="0"/>
          <w:szCs w:val="21"/>
        </w:rPr>
        <w:t>估值日的基金份额</w:t>
      </w:r>
      <w:r>
        <w:rPr>
          <w:rFonts w:ascii="Arial" w:hAnsi="Arial" w:cs="Arial"/>
          <w:kern w:val="0"/>
          <w:szCs w:val="21"/>
        </w:rPr>
        <w:t>净值进行估值</w:t>
      </w:r>
      <w:r>
        <w:rPr>
          <w:rFonts w:ascii="Arial" w:hAnsi="Arial" w:cs="Arial" w:hint="eastAsia"/>
          <w:kern w:val="0"/>
          <w:szCs w:val="21"/>
        </w:rPr>
        <w:t>。</w:t>
      </w:r>
    </w:p>
    <w:p w14:paraId="01FB5D3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、本基金持有的回购以成本列示，按合同利率在回购期间内逐日计提应收或应付利息。</w:t>
      </w:r>
    </w:p>
    <w:p w14:paraId="2334C1A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7</w:t>
      </w:r>
      <w:r>
        <w:rPr>
          <w:rFonts w:ascii="Arial" w:hAnsi="Arial" w:cs="Arial" w:hint="eastAsia"/>
          <w:kern w:val="0"/>
          <w:szCs w:val="21"/>
        </w:rPr>
        <w:t>、本基金持有的银行存款和备付金余额以本金列示，按相应利率逐日计提利息。</w:t>
      </w:r>
    </w:p>
    <w:p w14:paraId="39F705D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8</w:t>
      </w:r>
      <w:r>
        <w:rPr>
          <w:rFonts w:ascii="Arial" w:hAnsi="Arial" w:cs="Arial" w:hint="eastAsia"/>
          <w:kern w:val="0"/>
          <w:szCs w:val="21"/>
        </w:rPr>
        <w:t>、在任何情况下，基金管理人采用上述</w:t>
      </w:r>
      <w:r>
        <w:rPr>
          <w:rFonts w:ascii="Arial" w:hAnsi="Arial" w:cs="Arial"/>
          <w:kern w:val="0"/>
          <w:szCs w:val="21"/>
        </w:rPr>
        <w:t>1-7</w:t>
      </w:r>
      <w:r>
        <w:rPr>
          <w:rFonts w:ascii="Arial" w:hAnsi="Arial" w:cs="Arial" w:hint="eastAsia"/>
          <w:kern w:val="0"/>
          <w:szCs w:val="21"/>
        </w:rPr>
        <w:t>项规定的方法对基金财产进行估值，均应被认为采用了适当的估值方法。但是，如果基金管理人有充足的理由认为按上述方法对基金财产进行估值不能客观反映其公允价值的，基金管理人可在综合考虑市场成交价、市场报价、流动性、收益率曲线等多种因素的基础上与基金托管人商定后，按最能反映公允价值的价格估值。</w:t>
      </w:r>
    </w:p>
    <w:p w14:paraId="54A884A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9</w:t>
      </w:r>
      <w:r>
        <w:rPr>
          <w:rFonts w:ascii="Arial" w:hAnsi="Arial" w:cs="Arial" w:hint="eastAsia"/>
          <w:kern w:val="0"/>
          <w:szCs w:val="21"/>
        </w:rPr>
        <w:t>、国家有最新规定的，按国家最新规定进行估值。</w:t>
      </w:r>
    </w:p>
    <w:p w14:paraId="5FF5588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（五）估值程序</w:t>
      </w:r>
    </w:p>
    <w:p w14:paraId="625106E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基金日常估值由基金管理人同基金托管人一同进行。基金份额净值由基金管理人完成估</w:t>
      </w:r>
      <w:r>
        <w:rPr>
          <w:rFonts w:ascii="Arial" w:hAnsi="Arial" w:cs="Arial" w:hint="eastAsia"/>
          <w:kern w:val="0"/>
          <w:szCs w:val="21"/>
        </w:rPr>
        <w:lastRenderedPageBreak/>
        <w:t>值后，将估值结果报给基金托管人，基金托管人按《基金合同》规定的估值方法、时间、程序进行复核，基金托管人复核无误后返回给基金管理人，由基金管理人对外公布。月末、年中和年末估值复核与基金会计账目的核对同时进行。</w:t>
      </w:r>
    </w:p>
    <w:p w14:paraId="5983CFE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（六）暂停估值的情形</w:t>
      </w:r>
    </w:p>
    <w:p w14:paraId="30CB729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、基金投资所涉及的证券交易所遇法定节假日或因其他原因暂停营业时；</w:t>
      </w:r>
    </w:p>
    <w:p w14:paraId="07F6C72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、因不可抗力或其他情形致使基金管理人、基金托管人无法准确评估基金财产价值时；</w:t>
      </w:r>
    </w:p>
    <w:p w14:paraId="21429F3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Arial" w:cs="Arial" w:hint="eastAsia"/>
          <w:kern w:val="0"/>
          <w:szCs w:val="21"/>
        </w:rPr>
        <w:t>、占基金相当比例的投资品种的估值出现重大转变，基金管理人为保障基金份额持有人的利益，决定延迟估值；</w:t>
      </w:r>
    </w:p>
    <w:p w14:paraId="13E2295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、本基金所投资的</w:t>
      </w:r>
      <w:r>
        <w:rPr>
          <w:rFonts w:ascii="Arial" w:hAnsi="Arial" w:cs="Arial"/>
          <w:kern w:val="0"/>
          <w:szCs w:val="21"/>
        </w:rPr>
        <w:t>ETF</w:t>
      </w:r>
      <w:r>
        <w:rPr>
          <w:rFonts w:ascii="Arial" w:hAnsi="Arial" w:cs="Arial" w:hint="eastAsia"/>
          <w:kern w:val="0"/>
          <w:szCs w:val="21"/>
        </w:rPr>
        <w:t>发生暂停估值的情形；</w:t>
      </w:r>
    </w:p>
    <w:p w14:paraId="6657CE5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、当前一估值日基金资产净值</w:t>
      </w:r>
      <w:r>
        <w:rPr>
          <w:rFonts w:ascii="Arial" w:hAnsi="Arial" w:cs="Arial" w:hint="eastAsia"/>
          <w:kern w:val="0"/>
          <w:szCs w:val="21"/>
        </w:rPr>
        <w:t>50%</w:t>
      </w:r>
      <w:r>
        <w:rPr>
          <w:rFonts w:ascii="Arial" w:hAnsi="Arial" w:cs="Arial" w:hint="eastAsia"/>
          <w:kern w:val="0"/>
          <w:szCs w:val="21"/>
        </w:rPr>
        <w:t>以上的资产出现无可参考的活跃市场价格且采用估值技术</w:t>
      </w:r>
      <w:proofErr w:type="gramStart"/>
      <w:r>
        <w:rPr>
          <w:rFonts w:ascii="Arial" w:hAnsi="Arial" w:cs="Arial" w:hint="eastAsia"/>
          <w:kern w:val="0"/>
          <w:szCs w:val="21"/>
        </w:rPr>
        <w:t>仍导致</w:t>
      </w:r>
      <w:proofErr w:type="gramEnd"/>
      <w:r>
        <w:rPr>
          <w:rFonts w:ascii="Arial" w:hAnsi="Arial" w:cs="Arial" w:hint="eastAsia"/>
          <w:kern w:val="0"/>
          <w:szCs w:val="21"/>
        </w:rPr>
        <w:t>公允价值存在重大不确定性时，经与基金托管人协商一致，应当暂停估值；</w:t>
      </w:r>
    </w:p>
    <w:p w14:paraId="51937EC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、法律法规规定、中国证监会认定的其他情形。</w:t>
      </w:r>
    </w:p>
    <w:p w14:paraId="2273615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（七）基金份额净值的确认</w:t>
      </w:r>
    </w:p>
    <w:p w14:paraId="3F6A70FE" w14:textId="42851121"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份额净值由基金管理人负责计算，基金托管人进行复核。基金管理人应于每个工作日交易结束后计算当日的基金份额净值并发送给基金托管人。基金托管人对净值计算结果复核确认后发送给基金管理人，由基金管理人按规定对基金份额净值予以公布。</w:t>
      </w:r>
    </w:p>
    <w:p w14:paraId="717D9C0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基金份额净值的计算精确到</w:t>
      </w:r>
      <w:r>
        <w:rPr>
          <w:rFonts w:ascii="Arial" w:hAnsi="Arial" w:cs="Arial" w:hint="eastAsia"/>
          <w:kern w:val="0"/>
          <w:szCs w:val="21"/>
        </w:rPr>
        <w:t>0.0001</w:t>
      </w:r>
      <w:r>
        <w:rPr>
          <w:rFonts w:ascii="Arial" w:hAnsi="Arial" w:cs="Arial" w:hint="eastAsia"/>
          <w:kern w:val="0"/>
          <w:szCs w:val="21"/>
        </w:rPr>
        <w:t>元，小数点后第</w:t>
      </w:r>
      <w:r>
        <w:rPr>
          <w:rFonts w:ascii="Arial" w:hAnsi="Arial" w:cs="Arial" w:hint="eastAsia"/>
          <w:kern w:val="0"/>
          <w:szCs w:val="21"/>
        </w:rPr>
        <w:t>5</w:t>
      </w:r>
      <w:r>
        <w:rPr>
          <w:rFonts w:ascii="Arial" w:hAnsi="Arial" w:cs="Arial" w:hint="eastAsia"/>
          <w:kern w:val="0"/>
          <w:szCs w:val="21"/>
        </w:rPr>
        <w:t>位四舍五入。国家另有规定的，从其规定。</w:t>
      </w:r>
    </w:p>
    <w:p w14:paraId="7AD8D8D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（八）估值错误的处理</w:t>
      </w:r>
    </w:p>
    <w:p w14:paraId="6C03B7C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、当基金财产的估值导致基金份额净值小数点后</w:t>
      </w:r>
      <w:r>
        <w:rPr>
          <w:rFonts w:ascii="Arial" w:hAnsi="Arial" w:cs="Arial" w:hint="eastAsia"/>
          <w:kern w:val="0"/>
          <w:szCs w:val="21"/>
        </w:rPr>
        <w:t>4</w:t>
      </w:r>
      <w:r>
        <w:rPr>
          <w:rFonts w:ascii="Arial" w:hAnsi="Arial" w:cs="Arial" w:hint="eastAsia"/>
          <w:kern w:val="0"/>
          <w:szCs w:val="21"/>
        </w:rPr>
        <w:t>位（含第</w:t>
      </w:r>
      <w:r>
        <w:rPr>
          <w:rFonts w:ascii="Arial" w:hAnsi="Arial" w:cs="Arial" w:hint="eastAsia"/>
          <w:kern w:val="0"/>
          <w:szCs w:val="21"/>
        </w:rPr>
        <w:t>4</w:t>
      </w:r>
      <w:r>
        <w:rPr>
          <w:rFonts w:ascii="Arial" w:hAnsi="Arial" w:cs="Arial" w:hint="eastAsia"/>
          <w:kern w:val="0"/>
          <w:szCs w:val="21"/>
        </w:rPr>
        <w:t>位）内发生差错时，视为基金份额净值估值错误。</w:t>
      </w:r>
    </w:p>
    <w:p w14:paraId="65AF0B8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管理人和基金托管人将采取必要、适当合理的措施确保基金财产估值的准确性、及时性。当基金份额净值出现错误时，基金管理人应当立即予以纠正，并采取合理的措施防止损失进一步扩大；当计价错误达到或超过基金份额净值的</w:t>
      </w:r>
      <w:r>
        <w:rPr>
          <w:rFonts w:ascii="Arial" w:hAnsi="Arial" w:cs="Arial" w:hint="eastAsia"/>
          <w:kern w:val="0"/>
          <w:szCs w:val="21"/>
        </w:rPr>
        <w:t>0.25%</w:t>
      </w:r>
      <w:r>
        <w:rPr>
          <w:rFonts w:ascii="Arial" w:hAnsi="Arial" w:cs="Arial" w:hint="eastAsia"/>
          <w:kern w:val="0"/>
          <w:szCs w:val="21"/>
        </w:rPr>
        <w:t>时，基金管理人应当报中国证监会备案；当计价错误达到或超过基金份额净值的</w:t>
      </w:r>
      <w:r>
        <w:rPr>
          <w:rFonts w:ascii="Arial" w:hAnsi="Arial" w:cs="Arial" w:hint="eastAsia"/>
          <w:kern w:val="0"/>
          <w:szCs w:val="21"/>
        </w:rPr>
        <w:t>0.5%</w:t>
      </w:r>
      <w:r>
        <w:rPr>
          <w:rFonts w:ascii="Arial" w:hAnsi="Arial" w:cs="Arial" w:hint="eastAsia"/>
          <w:kern w:val="0"/>
          <w:szCs w:val="21"/>
        </w:rPr>
        <w:t>时，基金管理人应当公告，并同时报中国证监会备案。</w:t>
      </w:r>
    </w:p>
    <w:p w14:paraId="07598AE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、前述内容如法律法规或监管机构另有规定的，按其规定处理。</w:t>
      </w:r>
    </w:p>
    <w:p w14:paraId="1133032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（九）特殊情形的处理</w:t>
      </w:r>
    </w:p>
    <w:p w14:paraId="6D0DE32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、基金管理人按本节估值方法第</w:t>
      </w:r>
      <w:r>
        <w:rPr>
          <w:rFonts w:ascii="Arial" w:hAnsi="Arial" w:cs="Arial" w:hint="eastAsia"/>
          <w:kern w:val="0"/>
          <w:szCs w:val="21"/>
        </w:rPr>
        <w:t>8</w:t>
      </w:r>
      <w:r>
        <w:rPr>
          <w:rFonts w:ascii="Arial" w:hAnsi="Arial" w:cs="Arial" w:hint="eastAsia"/>
          <w:kern w:val="0"/>
          <w:szCs w:val="21"/>
        </w:rPr>
        <w:t>项有关估值方法进行估值时，所造成的误差不作为基金份额净值错误处理。</w:t>
      </w:r>
    </w:p>
    <w:p w14:paraId="48D17C5B" w14:textId="77777777" w:rsidR="00ED45CB" w:rsidRDefault="00703CCA">
      <w:pPr>
        <w:adjustRightInd w:val="0"/>
        <w:snapToGrid w:val="0"/>
        <w:spacing w:line="360" w:lineRule="auto"/>
        <w:ind w:firstLineChars="200" w:firstLine="420"/>
        <w:rPr>
          <w:rFonts w:ascii="宋体" w:hAnsi="宋体"/>
          <w:kern w:val="0"/>
          <w:szCs w:val="21"/>
        </w:rPr>
      </w:pPr>
      <w:r>
        <w:rPr>
          <w:rFonts w:ascii="Arial" w:hAnsi="Arial" w:cs="Arial" w:hint="eastAsia"/>
          <w:kern w:val="0"/>
          <w:szCs w:val="21"/>
        </w:rPr>
        <w:t>2</w:t>
      </w:r>
      <w:r>
        <w:rPr>
          <w:rFonts w:ascii="Arial" w:hAnsi="Arial" w:cs="Arial" w:hint="eastAsia"/>
          <w:kern w:val="0"/>
          <w:szCs w:val="21"/>
        </w:rPr>
        <w:t>、由于不可抗力原因，或由于证券交易所及登记结算公司发送的数据错误，基金管理人和基金托管人虽然已经采取必要、适当、合理的措施进行检查，但未能发现错误的，由此造成的基金资产估值错误，基金管理人和基金托管人可以免除赔偿责任。但基金管理人应当积极采取必要的措施消除或减轻由此造成的影响。</w:t>
      </w:r>
    </w:p>
    <w:p w14:paraId="279C99AF" w14:textId="77777777" w:rsidR="00ED45CB" w:rsidRDefault="00703CCA">
      <w:pPr>
        <w:spacing w:before="100" w:beforeAutospacing="1" w:after="100" w:afterAutospacing="1" w:line="400" w:lineRule="exact"/>
        <w:ind w:firstLineChars="200" w:firstLine="420"/>
        <w:rPr>
          <w:rFonts w:ascii="宋体" w:hAnsi="宋体"/>
          <w:szCs w:val="21"/>
        </w:rPr>
      </w:pPr>
      <w:r>
        <w:rPr>
          <w:rFonts w:ascii="宋体" w:hAnsi="宋体"/>
          <w:szCs w:val="21"/>
        </w:rPr>
        <w:br w:type="page"/>
      </w:r>
    </w:p>
    <w:p w14:paraId="3DC09442"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64" w:name="_Toc122336556"/>
      <w:bookmarkStart w:id="65" w:name="_Toc344308278"/>
      <w:bookmarkStart w:id="66" w:name="_Toc88037852"/>
      <w:r>
        <w:rPr>
          <w:rFonts w:ascii="宋体" w:eastAsia="宋体" w:hAnsi="宋体" w:hint="eastAsia"/>
          <w:sz w:val="24"/>
          <w:szCs w:val="24"/>
        </w:rPr>
        <w:t>十八、基金费用与税收</w:t>
      </w:r>
      <w:bookmarkEnd w:id="64"/>
      <w:bookmarkEnd w:id="65"/>
      <w:bookmarkEnd w:id="66"/>
    </w:p>
    <w:p w14:paraId="20047EF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（一）基金费用的种类</w:t>
      </w:r>
    </w:p>
    <w:p w14:paraId="6787C58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、基金管理人的管理费；</w:t>
      </w:r>
    </w:p>
    <w:p w14:paraId="5EB10F2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、基金托管人的托管费；</w:t>
      </w:r>
    </w:p>
    <w:p w14:paraId="499E24F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、因基金的证券交易或结算而产生的费用；</w:t>
      </w:r>
    </w:p>
    <w:p w14:paraId="52FD694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、基金合同生效以后的信息披露费用，法律法规、中国证监会另有规定的除外；</w:t>
      </w:r>
    </w:p>
    <w:p w14:paraId="5EBDB10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、基金份额持有人大会费用；</w:t>
      </w:r>
    </w:p>
    <w:p w14:paraId="2E3DFFC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、基金合同生效以后的会计师费和律师费；</w:t>
      </w:r>
    </w:p>
    <w:p w14:paraId="1B8AA77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7</w:t>
      </w:r>
      <w:r>
        <w:rPr>
          <w:rFonts w:ascii="Arial" w:hAnsi="Arial" w:cs="Arial" w:hint="eastAsia"/>
          <w:kern w:val="0"/>
          <w:szCs w:val="21"/>
        </w:rPr>
        <w:t>、基金资产的资金汇划费用；</w:t>
      </w:r>
    </w:p>
    <w:p w14:paraId="3147A48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8</w:t>
      </w:r>
      <w:r>
        <w:rPr>
          <w:rFonts w:ascii="Arial" w:hAnsi="Arial" w:cs="Arial" w:hint="eastAsia"/>
          <w:kern w:val="0"/>
          <w:szCs w:val="21"/>
        </w:rPr>
        <w:t>、</w:t>
      </w:r>
      <w:r>
        <w:rPr>
          <w:rFonts w:ascii="Arial" w:hAnsi="Arial" w:cs="Arial"/>
          <w:kern w:val="0"/>
          <w:szCs w:val="21"/>
        </w:rPr>
        <w:t>C</w:t>
      </w:r>
      <w:r>
        <w:rPr>
          <w:rFonts w:ascii="Arial" w:hAnsi="Arial" w:cs="Arial" w:hint="eastAsia"/>
          <w:kern w:val="0"/>
          <w:szCs w:val="21"/>
        </w:rPr>
        <w:t>类基金份额的销售服务费；</w:t>
      </w:r>
    </w:p>
    <w:p w14:paraId="248075A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9</w:t>
      </w:r>
      <w:r>
        <w:rPr>
          <w:rFonts w:ascii="Arial" w:hAnsi="Arial" w:cs="Arial" w:hint="eastAsia"/>
          <w:kern w:val="0"/>
          <w:szCs w:val="21"/>
        </w:rPr>
        <w:t>、按照国家有关法律法规规定可以列入的其他费用。</w:t>
      </w:r>
    </w:p>
    <w:p w14:paraId="6F2EB65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（二）基金费用计提方法、计提标准和支付方式</w:t>
      </w:r>
    </w:p>
    <w:p w14:paraId="6E15778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、基金管理人的管理费</w:t>
      </w:r>
    </w:p>
    <w:p w14:paraId="4896525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基金管理人的基金管理费按基金资产净值的</w:t>
      </w:r>
      <w:r>
        <w:rPr>
          <w:rFonts w:ascii="Arial" w:hAnsi="Arial" w:cs="Arial" w:hint="eastAsia"/>
          <w:kern w:val="0"/>
          <w:szCs w:val="21"/>
        </w:rPr>
        <w:t>0.50%</w:t>
      </w:r>
      <w:r>
        <w:rPr>
          <w:rFonts w:ascii="Arial" w:hAnsi="Arial" w:cs="Arial" w:hint="eastAsia"/>
          <w:kern w:val="0"/>
          <w:szCs w:val="21"/>
        </w:rPr>
        <w:t>年费率计提。</w:t>
      </w:r>
    </w:p>
    <w:p w14:paraId="49E1187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在通常情况下，基金管理费按前一日基金资产净值的</w:t>
      </w:r>
      <w:r>
        <w:rPr>
          <w:rFonts w:ascii="Arial" w:hAnsi="Arial" w:cs="Arial" w:hint="eastAsia"/>
          <w:kern w:val="0"/>
          <w:szCs w:val="21"/>
        </w:rPr>
        <w:t>0.50%</w:t>
      </w:r>
      <w:r>
        <w:rPr>
          <w:rFonts w:ascii="Arial" w:hAnsi="Arial" w:cs="Arial" w:hint="eastAsia"/>
          <w:kern w:val="0"/>
          <w:szCs w:val="21"/>
        </w:rPr>
        <w:t>年费率计提。计算方法如下：</w:t>
      </w:r>
    </w:p>
    <w:p w14:paraId="5B75412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H</w:t>
      </w:r>
      <w:r>
        <w:rPr>
          <w:rFonts w:ascii="Arial" w:hAnsi="Arial" w:cs="Arial" w:hint="eastAsia"/>
          <w:kern w:val="0"/>
          <w:szCs w:val="21"/>
        </w:rPr>
        <w:t>＝</w:t>
      </w:r>
      <w:r>
        <w:rPr>
          <w:rFonts w:ascii="Arial" w:hAnsi="Arial" w:cs="Arial" w:hint="eastAsia"/>
          <w:kern w:val="0"/>
          <w:szCs w:val="21"/>
        </w:rPr>
        <w:t>E</w:t>
      </w:r>
      <w:r>
        <w:rPr>
          <w:rFonts w:ascii="Arial" w:hAnsi="Arial" w:cs="Arial" w:hint="eastAsia"/>
          <w:kern w:val="0"/>
          <w:szCs w:val="21"/>
        </w:rPr>
        <w:t>×</w:t>
      </w:r>
      <w:r>
        <w:rPr>
          <w:rFonts w:ascii="Arial" w:hAnsi="Arial" w:cs="Arial" w:hint="eastAsia"/>
          <w:kern w:val="0"/>
          <w:szCs w:val="21"/>
        </w:rPr>
        <w:t>0.50%</w:t>
      </w:r>
      <w:r>
        <w:rPr>
          <w:rFonts w:ascii="Arial" w:hAnsi="Arial" w:cs="Arial" w:hint="eastAsia"/>
          <w:kern w:val="0"/>
          <w:szCs w:val="21"/>
        </w:rPr>
        <w:t>÷当年天数</w:t>
      </w:r>
    </w:p>
    <w:p w14:paraId="3C5296B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 xml:space="preserve">H </w:t>
      </w:r>
      <w:r>
        <w:rPr>
          <w:rFonts w:ascii="Arial" w:hAnsi="Arial" w:cs="Arial" w:hint="eastAsia"/>
          <w:kern w:val="0"/>
          <w:szCs w:val="21"/>
        </w:rPr>
        <w:t>为每日应计提的基金管理费</w:t>
      </w:r>
    </w:p>
    <w:p w14:paraId="476DDBB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 xml:space="preserve">E </w:t>
      </w:r>
      <w:r>
        <w:rPr>
          <w:rFonts w:ascii="Arial" w:hAnsi="Arial" w:cs="Arial" w:hint="eastAsia"/>
          <w:kern w:val="0"/>
          <w:szCs w:val="21"/>
        </w:rPr>
        <w:t>为前一日基金资产净值</w:t>
      </w:r>
    </w:p>
    <w:p w14:paraId="5C934D3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基金管理人对本基金投资组合中投资于目标</w:t>
      </w:r>
      <w:r>
        <w:rPr>
          <w:rFonts w:ascii="Arial" w:hAnsi="Arial" w:cs="Arial" w:hint="eastAsia"/>
          <w:kern w:val="0"/>
          <w:szCs w:val="21"/>
        </w:rPr>
        <w:t>ETF</w:t>
      </w:r>
      <w:r>
        <w:rPr>
          <w:rFonts w:ascii="Arial" w:hAnsi="Arial" w:cs="Arial" w:hint="eastAsia"/>
          <w:kern w:val="0"/>
          <w:szCs w:val="21"/>
        </w:rPr>
        <w:t>部分的基金资产净值不计</w:t>
      </w:r>
      <w:proofErr w:type="gramStart"/>
      <w:r>
        <w:rPr>
          <w:rFonts w:ascii="Arial" w:hAnsi="Arial" w:cs="Arial" w:hint="eastAsia"/>
          <w:kern w:val="0"/>
          <w:szCs w:val="21"/>
        </w:rPr>
        <w:t>提基金</w:t>
      </w:r>
      <w:proofErr w:type="gramEnd"/>
      <w:r>
        <w:rPr>
          <w:rFonts w:ascii="Arial" w:hAnsi="Arial" w:cs="Arial" w:hint="eastAsia"/>
          <w:kern w:val="0"/>
          <w:szCs w:val="21"/>
        </w:rPr>
        <w:t>管理费。</w:t>
      </w:r>
    </w:p>
    <w:p w14:paraId="1A05AD8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前一日的基金资产净值为已扣除本基金投资于目标</w:t>
      </w:r>
      <w:r>
        <w:rPr>
          <w:rFonts w:ascii="Arial" w:hAnsi="Arial" w:cs="Arial" w:hint="eastAsia"/>
          <w:kern w:val="0"/>
          <w:szCs w:val="21"/>
        </w:rPr>
        <w:t>ETF</w:t>
      </w:r>
      <w:r>
        <w:rPr>
          <w:rFonts w:ascii="Arial" w:hAnsi="Arial" w:cs="Arial" w:hint="eastAsia"/>
          <w:kern w:val="0"/>
          <w:szCs w:val="21"/>
        </w:rPr>
        <w:t>部分基金资产净值后的净额，金额为负时以零计。</w:t>
      </w:r>
    </w:p>
    <w:p w14:paraId="66DF655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基金管理费每日计提，按月支付。经基金</w:t>
      </w:r>
      <w:r>
        <w:rPr>
          <w:rFonts w:ascii="Arial" w:hAnsi="Arial" w:cs="Arial"/>
          <w:kern w:val="0"/>
          <w:szCs w:val="21"/>
        </w:rPr>
        <w:t>管理人与</w:t>
      </w:r>
      <w:r>
        <w:rPr>
          <w:rFonts w:ascii="Arial" w:hAnsi="Arial" w:cs="Arial" w:hint="eastAsia"/>
          <w:kern w:val="0"/>
          <w:szCs w:val="21"/>
        </w:rPr>
        <w:t>基金</w:t>
      </w:r>
      <w:r>
        <w:rPr>
          <w:rFonts w:ascii="Arial" w:hAnsi="Arial" w:cs="Arial"/>
          <w:kern w:val="0"/>
          <w:szCs w:val="21"/>
        </w:rPr>
        <w:t>托管人</w:t>
      </w:r>
      <w:r>
        <w:rPr>
          <w:rFonts w:ascii="Arial" w:hAnsi="Arial" w:cs="Arial" w:hint="eastAsia"/>
          <w:kern w:val="0"/>
          <w:szCs w:val="21"/>
        </w:rPr>
        <w:t>核对一致后</w:t>
      </w:r>
      <w:r>
        <w:rPr>
          <w:rFonts w:ascii="Arial" w:hAnsi="Arial" w:cs="Arial"/>
          <w:kern w:val="0"/>
          <w:szCs w:val="21"/>
        </w:rPr>
        <w:t>，由</w:t>
      </w:r>
      <w:r>
        <w:rPr>
          <w:rFonts w:ascii="Arial" w:hAnsi="Arial" w:cs="Arial" w:hint="eastAsia"/>
          <w:kern w:val="0"/>
          <w:szCs w:val="21"/>
        </w:rPr>
        <w:t>基金</w:t>
      </w:r>
      <w:r>
        <w:rPr>
          <w:rFonts w:ascii="Arial" w:hAnsi="Arial" w:cs="Arial"/>
          <w:kern w:val="0"/>
          <w:szCs w:val="21"/>
        </w:rPr>
        <w:t>托管人于次月</w:t>
      </w:r>
      <w:r>
        <w:rPr>
          <w:rFonts w:ascii="Arial" w:hAnsi="Arial" w:cs="Arial" w:hint="eastAsia"/>
          <w:kern w:val="0"/>
          <w:szCs w:val="21"/>
        </w:rPr>
        <w:t>首日起</w:t>
      </w:r>
      <w:r>
        <w:rPr>
          <w:rFonts w:ascii="Arial" w:hAnsi="Arial" w:cs="Arial" w:hint="eastAsia"/>
          <w:kern w:val="0"/>
          <w:szCs w:val="21"/>
        </w:rPr>
        <w:t>3</w:t>
      </w:r>
      <w:r>
        <w:rPr>
          <w:rFonts w:ascii="Arial" w:hAnsi="Arial" w:cs="Arial"/>
          <w:kern w:val="0"/>
          <w:szCs w:val="21"/>
        </w:rPr>
        <w:t>个工作日内从</w:t>
      </w:r>
      <w:r>
        <w:rPr>
          <w:rFonts w:ascii="Arial" w:hAnsi="Arial" w:cs="Arial" w:hint="eastAsia"/>
          <w:kern w:val="0"/>
          <w:szCs w:val="21"/>
        </w:rPr>
        <w:t>基金财产中一次性</w:t>
      </w:r>
      <w:r>
        <w:rPr>
          <w:rFonts w:ascii="Arial" w:hAnsi="Arial" w:cs="Arial"/>
          <w:kern w:val="0"/>
          <w:szCs w:val="21"/>
        </w:rPr>
        <w:t>支付给</w:t>
      </w:r>
      <w:r>
        <w:rPr>
          <w:rFonts w:ascii="Arial" w:hAnsi="Arial" w:cs="Arial" w:hint="eastAsia"/>
          <w:kern w:val="0"/>
          <w:szCs w:val="21"/>
        </w:rPr>
        <w:t>基金</w:t>
      </w:r>
      <w:r>
        <w:rPr>
          <w:rFonts w:ascii="Arial" w:hAnsi="Arial" w:cs="Arial"/>
          <w:kern w:val="0"/>
          <w:szCs w:val="21"/>
        </w:rPr>
        <w:t>管</w:t>
      </w:r>
      <w:r>
        <w:rPr>
          <w:rFonts w:ascii="Arial" w:hAnsi="Arial" w:cs="Arial" w:hint="eastAsia"/>
          <w:kern w:val="0"/>
          <w:szCs w:val="21"/>
        </w:rPr>
        <w:t>理</w:t>
      </w:r>
      <w:r>
        <w:rPr>
          <w:rFonts w:ascii="Arial" w:hAnsi="Arial" w:cs="Arial"/>
          <w:kern w:val="0"/>
          <w:szCs w:val="21"/>
        </w:rPr>
        <w:t>人</w:t>
      </w:r>
      <w:r>
        <w:rPr>
          <w:rFonts w:ascii="Arial" w:hAnsi="Arial" w:cs="Arial" w:hint="eastAsia"/>
          <w:kern w:val="0"/>
          <w:szCs w:val="21"/>
        </w:rPr>
        <w:t>。</w:t>
      </w:r>
    </w:p>
    <w:p w14:paraId="233EBAA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、基金托管人的基金托管费</w:t>
      </w:r>
    </w:p>
    <w:p w14:paraId="388A830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基金托管人的基金托管费按基金资产净值的</w:t>
      </w:r>
      <w:r>
        <w:rPr>
          <w:rFonts w:ascii="Arial" w:hAnsi="Arial" w:cs="Arial" w:hint="eastAsia"/>
          <w:kern w:val="0"/>
          <w:szCs w:val="21"/>
        </w:rPr>
        <w:t>0.10%</w:t>
      </w:r>
      <w:r>
        <w:rPr>
          <w:rFonts w:ascii="Arial" w:hAnsi="Arial" w:cs="Arial" w:hint="eastAsia"/>
          <w:kern w:val="0"/>
          <w:szCs w:val="21"/>
        </w:rPr>
        <w:t>年费率计提。</w:t>
      </w:r>
    </w:p>
    <w:p w14:paraId="34D1D43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在通常情况下，基金托管费按前一日基金资产净值的</w:t>
      </w:r>
      <w:r>
        <w:rPr>
          <w:rFonts w:ascii="Arial" w:hAnsi="Arial" w:cs="Arial" w:hint="eastAsia"/>
          <w:kern w:val="0"/>
          <w:szCs w:val="21"/>
        </w:rPr>
        <w:t>0.10%</w:t>
      </w:r>
      <w:r>
        <w:rPr>
          <w:rFonts w:ascii="Arial" w:hAnsi="Arial" w:cs="Arial" w:hint="eastAsia"/>
          <w:kern w:val="0"/>
          <w:szCs w:val="21"/>
        </w:rPr>
        <w:t>年费率计提。计算方法如下：</w:t>
      </w:r>
    </w:p>
    <w:p w14:paraId="70C7746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H=E</w:t>
      </w:r>
      <w:r>
        <w:rPr>
          <w:rFonts w:ascii="Arial" w:hAnsi="Arial" w:cs="Arial" w:hint="eastAsia"/>
          <w:kern w:val="0"/>
          <w:szCs w:val="21"/>
        </w:rPr>
        <w:t>×</w:t>
      </w:r>
      <w:r>
        <w:rPr>
          <w:rFonts w:ascii="Arial" w:hAnsi="Arial" w:cs="Arial" w:hint="eastAsia"/>
          <w:kern w:val="0"/>
          <w:szCs w:val="21"/>
        </w:rPr>
        <w:t>0.10%</w:t>
      </w:r>
      <w:r>
        <w:rPr>
          <w:rFonts w:ascii="Arial" w:hAnsi="Arial" w:cs="Arial" w:hint="eastAsia"/>
          <w:kern w:val="0"/>
          <w:szCs w:val="21"/>
        </w:rPr>
        <w:t>÷当年天数</w:t>
      </w:r>
    </w:p>
    <w:p w14:paraId="2EC8C01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 xml:space="preserve">H </w:t>
      </w:r>
      <w:r>
        <w:rPr>
          <w:rFonts w:ascii="Arial" w:hAnsi="Arial" w:cs="Arial" w:hint="eastAsia"/>
          <w:kern w:val="0"/>
          <w:szCs w:val="21"/>
        </w:rPr>
        <w:t>为每日应计提的基金托管费</w:t>
      </w:r>
    </w:p>
    <w:p w14:paraId="667E598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 xml:space="preserve">E </w:t>
      </w:r>
      <w:r>
        <w:rPr>
          <w:rFonts w:ascii="Arial" w:hAnsi="Arial" w:cs="Arial" w:hint="eastAsia"/>
          <w:kern w:val="0"/>
          <w:szCs w:val="21"/>
        </w:rPr>
        <w:t>为前一日的基金资产净值</w:t>
      </w:r>
    </w:p>
    <w:p w14:paraId="183D266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基金管理人对本基金投资组合中投资于目标</w:t>
      </w:r>
      <w:r>
        <w:rPr>
          <w:rFonts w:ascii="Arial" w:hAnsi="Arial" w:cs="Arial" w:hint="eastAsia"/>
          <w:kern w:val="0"/>
          <w:szCs w:val="21"/>
        </w:rPr>
        <w:t>ETF</w:t>
      </w:r>
      <w:r>
        <w:rPr>
          <w:rFonts w:ascii="Arial" w:hAnsi="Arial" w:cs="Arial" w:hint="eastAsia"/>
          <w:kern w:val="0"/>
          <w:szCs w:val="21"/>
        </w:rPr>
        <w:t>部分的基金资产净值不计</w:t>
      </w:r>
      <w:proofErr w:type="gramStart"/>
      <w:r>
        <w:rPr>
          <w:rFonts w:ascii="Arial" w:hAnsi="Arial" w:cs="Arial" w:hint="eastAsia"/>
          <w:kern w:val="0"/>
          <w:szCs w:val="21"/>
        </w:rPr>
        <w:t>提基金</w:t>
      </w:r>
      <w:proofErr w:type="gramEnd"/>
      <w:r>
        <w:rPr>
          <w:rFonts w:ascii="Arial" w:hAnsi="Arial" w:cs="Arial" w:hint="eastAsia"/>
          <w:kern w:val="0"/>
          <w:szCs w:val="21"/>
        </w:rPr>
        <w:t>托管费。</w:t>
      </w:r>
    </w:p>
    <w:p w14:paraId="7CF5E94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前一日的基金资产净值为已扣除本基金投资于目标</w:t>
      </w:r>
      <w:r>
        <w:rPr>
          <w:rFonts w:ascii="Arial" w:hAnsi="Arial" w:cs="Arial" w:hint="eastAsia"/>
          <w:kern w:val="0"/>
          <w:szCs w:val="21"/>
        </w:rPr>
        <w:t>ETF</w:t>
      </w:r>
      <w:r>
        <w:rPr>
          <w:rFonts w:ascii="Arial" w:hAnsi="Arial" w:cs="Arial" w:hint="eastAsia"/>
          <w:kern w:val="0"/>
          <w:szCs w:val="21"/>
        </w:rPr>
        <w:t>部分基金资产净值后的净额，金额为负时以零计。</w:t>
      </w:r>
    </w:p>
    <w:p w14:paraId="0103D9D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基金托管费每日计提，按月支付。经基金</w:t>
      </w:r>
      <w:r>
        <w:rPr>
          <w:rFonts w:ascii="Arial" w:hAnsi="Arial" w:cs="Arial"/>
          <w:kern w:val="0"/>
          <w:szCs w:val="21"/>
        </w:rPr>
        <w:t>管理人与</w:t>
      </w:r>
      <w:r>
        <w:rPr>
          <w:rFonts w:ascii="Arial" w:hAnsi="Arial" w:cs="Arial" w:hint="eastAsia"/>
          <w:kern w:val="0"/>
          <w:szCs w:val="21"/>
        </w:rPr>
        <w:t>基金</w:t>
      </w:r>
      <w:r>
        <w:rPr>
          <w:rFonts w:ascii="Arial" w:hAnsi="Arial" w:cs="Arial"/>
          <w:kern w:val="0"/>
          <w:szCs w:val="21"/>
        </w:rPr>
        <w:t>托管人</w:t>
      </w:r>
      <w:r>
        <w:rPr>
          <w:rFonts w:ascii="Arial" w:hAnsi="Arial" w:cs="Arial" w:hint="eastAsia"/>
          <w:kern w:val="0"/>
          <w:szCs w:val="21"/>
        </w:rPr>
        <w:t>核对一致后</w:t>
      </w:r>
      <w:r>
        <w:rPr>
          <w:rFonts w:ascii="Arial" w:hAnsi="Arial" w:cs="Arial"/>
          <w:kern w:val="0"/>
          <w:szCs w:val="21"/>
        </w:rPr>
        <w:t>，由</w:t>
      </w:r>
      <w:r>
        <w:rPr>
          <w:rFonts w:ascii="Arial" w:hAnsi="Arial" w:cs="Arial" w:hint="eastAsia"/>
          <w:kern w:val="0"/>
          <w:szCs w:val="21"/>
        </w:rPr>
        <w:t>基金</w:t>
      </w:r>
      <w:r>
        <w:rPr>
          <w:rFonts w:ascii="Arial" w:hAnsi="Arial" w:cs="Arial"/>
          <w:kern w:val="0"/>
          <w:szCs w:val="21"/>
        </w:rPr>
        <w:t>托管人于次月</w:t>
      </w:r>
      <w:r>
        <w:rPr>
          <w:rFonts w:ascii="Arial" w:hAnsi="Arial" w:cs="Arial" w:hint="eastAsia"/>
          <w:kern w:val="0"/>
          <w:szCs w:val="21"/>
        </w:rPr>
        <w:t>首日起</w:t>
      </w:r>
      <w:r>
        <w:rPr>
          <w:rFonts w:ascii="Arial" w:hAnsi="Arial" w:cs="Arial" w:hint="eastAsia"/>
          <w:kern w:val="0"/>
          <w:szCs w:val="21"/>
        </w:rPr>
        <w:t>3</w:t>
      </w:r>
      <w:r>
        <w:rPr>
          <w:rFonts w:ascii="Arial" w:hAnsi="Arial" w:cs="Arial"/>
          <w:kern w:val="0"/>
          <w:szCs w:val="21"/>
        </w:rPr>
        <w:t>个工作日内从</w:t>
      </w:r>
      <w:r>
        <w:rPr>
          <w:rFonts w:ascii="Arial" w:hAnsi="Arial" w:cs="Arial" w:hint="eastAsia"/>
          <w:kern w:val="0"/>
          <w:szCs w:val="21"/>
        </w:rPr>
        <w:t>基金财产中一次性</w:t>
      </w:r>
      <w:r>
        <w:rPr>
          <w:rFonts w:ascii="Arial" w:hAnsi="Arial" w:cs="Arial"/>
          <w:kern w:val="0"/>
          <w:szCs w:val="21"/>
        </w:rPr>
        <w:t>支付给</w:t>
      </w:r>
      <w:r>
        <w:rPr>
          <w:rFonts w:ascii="Arial" w:hAnsi="Arial" w:cs="Arial" w:hint="eastAsia"/>
          <w:kern w:val="0"/>
          <w:szCs w:val="21"/>
        </w:rPr>
        <w:t>基金托管人。</w:t>
      </w:r>
    </w:p>
    <w:p w14:paraId="0BC89653" w14:textId="77777777" w:rsidR="00ED45CB" w:rsidRDefault="00703CCA">
      <w:pPr>
        <w:adjustRightInd w:val="0"/>
        <w:snapToGrid w:val="0"/>
        <w:spacing w:line="360" w:lineRule="auto"/>
        <w:ind w:firstLineChars="200" w:firstLine="420"/>
        <w:rPr>
          <w:rFonts w:ascii="Arial" w:hAnsi="Arial"/>
          <w:szCs w:val="21"/>
        </w:rPr>
      </w:pPr>
      <w:r>
        <w:rPr>
          <w:rFonts w:ascii="Arial" w:hAnsi="Arial" w:cs="Arial" w:hint="eastAsia"/>
          <w:kern w:val="0"/>
          <w:szCs w:val="21"/>
        </w:rPr>
        <w:t>3</w:t>
      </w:r>
      <w:r>
        <w:rPr>
          <w:rFonts w:ascii="Arial" w:hAnsi="Arial" w:cs="Arial" w:hint="eastAsia"/>
          <w:kern w:val="0"/>
          <w:szCs w:val="21"/>
        </w:rPr>
        <w:t>、</w:t>
      </w:r>
      <w:r>
        <w:rPr>
          <w:rFonts w:ascii="Arial" w:hAnsi="Arial"/>
          <w:szCs w:val="21"/>
        </w:rPr>
        <w:t>C</w:t>
      </w:r>
      <w:r>
        <w:rPr>
          <w:rFonts w:ascii="Arial" w:hAnsi="Arial"/>
          <w:szCs w:val="21"/>
        </w:rPr>
        <w:t>类份额的销售服务费</w:t>
      </w:r>
    </w:p>
    <w:p w14:paraId="293BAEBE" w14:textId="77777777" w:rsidR="00ED45CB" w:rsidRDefault="00703CCA">
      <w:pPr>
        <w:adjustRightInd w:val="0"/>
        <w:snapToGrid w:val="0"/>
        <w:spacing w:line="360" w:lineRule="auto"/>
        <w:ind w:firstLineChars="200" w:firstLine="420"/>
        <w:rPr>
          <w:rFonts w:ascii="Arial" w:hAnsi="Arial"/>
          <w:szCs w:val="21"/>
        </w:rPr>
      </w:pPr>
      <w:r>
        <w:rPr>
          <w:rFonts w:ascii="Arial" w:hAnsi="Arial"/>
          <w:szCs w:val="21"/>
        </w:rPr>
        <w:t>本基金</w:t>
      </w:r>
      <w:r>
        <w:rPr>
          <w:rFonts w:ascii="Arial" w:hAnsi="Arial"/>
          <w:szCs w:val="21"/>
        </w:rPr>
        <w:t>A</w:t>
      </w:r>
      <w:r>
        <w:rPr>
          <w:rFonts w:ascii="Arial" w:hAnsi="Arial"/>
          <w:szCs w:val="21"/>
        </w:rPr>
        <w:t>类基金份额不收取销售服务费，</w:t>
      </w:r>
      <w:r>
        <w:rPr>
          <w:rFonts w:ascii="Arial" w:hAnsi="Arial"/>
          <w:szCs w:val="21"/>
        </w:rPr>
        <w:t>C</w:t>
      </w:r>
      <w:r>
        <w:rPr>
          <w:rFonts w:ascii="Arial" w:hAnsi="Arial"/>
          <w:szCs w:val="21"/>
        </w:rPr>
        <w:t>类基金份额的销售服务费年费率为</w:t>
      </w:r>
      <w:r>
        <w:rPr>
          <w:rFonts w:ascii="Arial" w:hAnsi="Arial"/>
          <w:szCs w:val="21"/>
        </w:rPr>
        <w:t>0.</w:t>
      </w:r>
      <w:r>
        <w:rPr>
          <w:rFonts w:ascii="Arial" w:hAnsi="Arial" w:hint="eastAsia"/>
          <w:szCs w:val="21"/>
        </w:rPr>
        <w:t>35</w:t>
      </w:r>
      <w:r>
        <w:rPr>
          <w:rFonts w:ascii="Arial" w:hAnsi="Arial"/>
          <w:szCs w:val="21"/>
        </w:rPr>
        <w:t>%</w:t>
      </w:r>
      <w:r>
        <w:rPr>
          <w:rFonts w:ascii="Arial" w:hAnsi="Arial"/>
          <w:szCs w:val="21"/>
        </w:rPr>
        <w:t>。</w:t>
      </w:r>
    </w:p>
    <w:p w14:paraId="71AB8407" w14:textId="77777777" w:rsidR="00ED45CB" w:rsidRDefault="00703CCA">
      <w:pPr>
        <w:adjustRightInd w:val="0"/>
        <w:snapToGrid w:val="0"/>
        <w:spacing w:line="360" w:lineRule="auto"/>
        <w:ind w:firstLineChars="200" w:firstLine="420"/>
        <w:rPr>
          <w:rFonts w:ascii="Arial" w:hAnsi="Arial"/>
          <w:szCs w:val="21"/>
        </w:rPr>
      </w:pPr>
      <w:r>
        <w:rPr>
          <w:rFonts w:ascii="Arial" w:hAnsi="Arial"/>
          <w:szCs w:val="21"/>
        </w:rPr>
        <w:t>本基金销售服务费按前一日</w:t>
      </w:r>
      <w:r>
        <w:rPr>
          <w:rFonts w:ascii="Arial" w:hAnsi="Arial"/>
          <w:szCs w:val="21"/>
        </w:rPr>
        <w:t>C</w:t>
      </w:r>
      <w:r>
        <w:rPr>
          <w:rFonts w:ascii="Arial" w:hAnsi="Arial"/>
          <w:szCs w:val="21"/>
        </w:rPr>
        <w:t>类基金资产净值的</w:t>
      </w:r>
      <w:r>
        <w:rPr>
          <w:rFonts w:ascii="Arial" w:hAnsi="Arial"/>
          <w:szCs w:val="21"/>
        </w:rPr>
        <w:t>0.</w:t>
      </w:r>
      <w:r>
        <w:rPr>
          <w:rFonts w:ascii="Arial" w:hAnsi="Arial" w:hint="eastAsia"/>
          <w:szCs w:val="21"/>
        </w:rPr>
        <w:t>35</w:t>
      </w:r>
      <w:r>
        <w:rPr>
          <w:rFonts w:ascii="Arial" w:hAnsi="Arial"/>
          <w:szCs w:val="21"/>
        </w:rPr>
        <w:t>%</w:t>
      </w:r>
      <w:r>
        <w:rPr>
          <w:rFonts w:ascii="Arial" w:hAnsi="Arial"/>
          <w:szCs w:val="21"/>
        </w:rPr>
        <w:t>年费率计提。</w:t>
      </w:r>
    </w:p>
    <w:p w14:paraId="5BF4F04C" w14:textId="77777777" w:rsidR="00ED45CB" w:rsidRDefault="00703CCA">
      <w:pPr>
        <w:adjustRightInd w:val="0"/>
        <w:snapToGrid w:val="0"/>
        <w:spacing w:line="360" w:lineRule="auto"/>
        <w:ind w:firstLineChars="200" w:firstLine="420"/>
        <w:rPr>
          <w:rFonts w:ascii="Arial" w:hAnsi="Arial"/>
          <w:szCs w:val="21"/>
        </w:rPr>
      </w:pPr>
      <w:r>
        <w:rPr>
          <w:rFonts w:ascii="Arial" w:hAnsi="Arial"/>
          <w:szCs w:val="21"/>
        </w:rPr>
        <w:t>计算方法如下：</w:t>
      </w:r>
      <w:r>
        <w:rPr>
          <w:rFonts w:ascii="Arial" w:hAnsi="Arial"/>
          <w:szCs w:val="21"/>
        </w:rPr>
        <w:t xml:space="preserve"> </w:t>
      </w:r>
    </w:p>
    <w:p w14:paraId="5EB37D7B" w14:textId="77777777" w:rsidR="00ED45CB" w:rsidRDefault="00703CCA">
      <w:pPr>
        <w:adjustRightInd w:val="0"/>
        <w:snapToGrid w:val="0"/>
        <w:spacing w:line="360" w:lineRule="auto"/>
        <w:ind w:firstLineChars="200" w:firstLine="420"/>
        <w:rPr>
          <w:rFonts w:ascii="Arial" w:hAnsi="Arial"/>
          <w:szCs w:val="21"/>
        </w:rPr>
      </w:pPr>
      <w:r>
        <w:rPr>
          <w:rFonts w:ascii="Arial" w:hAnsi="Arial"/>
          <w:szCs w:val="21"/>
        </w:rPr>
        <w:t>H</w:t>
      </w:r>
      <w:r>
        <w:rPr>
          <w:rFonts w:ascii="Arial" w:hAnsi="Arial"/>
          <w:szCs w:val="21"/>
        </w:rPr>
        <w:t>＝</w:t>
      </w:r>
      <w:r>
        <w:rPr>
          <w:rFonts w:ascii="Arial" w:hAnsi="Arial"/>
          <w:szCs w:val="21"/>
        </w:rPr>
        <w:t>E×</w:t>
      </w:r>
      <w:r>
        <w:rPr>
          <w:rFonts w:ascii="Arial" w:hAnsi="Arial" w:hint="eastAsia"/>
          <w:szCs w:val="21"/>
        </w:rPr>
        <w:t>0.35%</w:t>
      </w:r>
      <w:r>
        <w:rPr>
          <w:rFonts w:ascii="Arial" w:hAnsi="Arial"/>
          <w:szCs w:val="21"/>
        </w:rPr>
        <w:t>÷</w:t>
      </w:r>
      <w:r>
        <w:rPr>
          <w:rFonts w:ascii="Arial" w:hAnsi="Arial"/>
          <w:szCs w:val="21"/>
        </w:rPr>
        <w:t>当年天数</w:t>
      </w:r>
      <w:r>
        <w:rPr>
          <w:rFonts w:ascii="Arial" w:hAnsi="Arial"/>
          <w:szCs w:val="21"/>
        </w:rPr>
        <w:t xml:space="preserve"> </w:t>
      </w:r>
    </w:p>
    <w:p w14:paraId="26E1CAC6" w14:textId="77777777" w:rsidR="00ED45CB" w:rsidRDefault="00703CCA">
      <w:pPr>
        <w:adjustRightInd w:val="0"/>
        <w:snapToGrid w:val="0"/>
        <w:spacing w:line="360" w:lineRule="auto"/>
        <w:ind w:firstLineChars="200" w:firstLine="420"/>
        <w:rPr>
          <w:rFonts w:ascii="Arial" w:hAnsi="Arial"/>
          <w:szCs w:val="21"/>
        </w:rPr>
      </w:pPr>
      <w:r>
        <w:rPr>
          <w:rFonts w:ascii="Arial" w:hAnsi="Arial"/>
          <w:szCs w:val="21"/>
        </w:rPr>
        <w:t>H</w:t>
      </w:r>
      <w:r>
        <w:rPr>
          <w:rFonts w:ascii="Arial" w:hAnsi="Arial"/>
          <w:szCs w:val="21"/>
        </w:rPr>
        <w:t>为</w:t>
      </w:r>
      <w:r>
        <w:rPr>
          <w:rFonts w:ascii="Arial" w:hAnsi="Arial"/>
          <w:szCs w:val="21"/>
        </w:rPr>
        <w:t>C</w:t>
      </w:r>
      <w:r>
        <w:rPr>
          <w:rFonts w:ascii="Arial" w:hAnsi="Arial"/>
          <w:szCs w:val="21"/>
        </w:rPr>
        <w:t>类基金份额每日应计提的销售服务费</w:t>
      </w:r>
    </w:p>
    <w:p w14:paraId="3F2CE7C5" w14:textId="77777777" w:rsidR="00ED45CB" w:rsidRDefault="00703CCA">
      <w:pPr>
        <w:adjustRightInd w:val="0"/>
        <w:snapToGrid w:val="0"/>
        <w:spacing w:line="360" w:lineRule="auto"/>
        <w:ind w:firstLineChars="200" w:firstLine="420"/>
        <w:rPr>
          <w:rFonts w:ascii="Arial" w:hAnsi="Arial"/>
          <w:szCs w:val="21"/>
        </w:rPr>
      </w:pPr>
      <w:r>
        <w:rPr>
          <w:rFonts w:ascii="Arial" w:hAnsi="Arial"/>
          <w:szCs w:val="21"/>
        </w:rPr>
        <w:t>E</w:t>
      </w:r>
      <w:r>
        <w:rPr>
          <w:rFonts w:ascii="Arial" w:hAnsi="Arial"/>
          <w:szCs w:val="21"/>
        </w:rPr>
        <w:t>为</w:t>
      </w:r>
      <w:r>
        <w:rPr>
          <w:rFonts w:ascii="Arial" w:hAnsi="Arial"/>
          <w:szCs w:val="21"/>
        </w:rPr>
        <w:t>C</w:t>
      </w:r>
      <w:r>
        <w:rPr>
          <w:rFonts w:ascii="Arial" w:hAnsi="Arial"/>
          <w:szCs w:val="21"/>
        </w:rPr>
        <w:t>类基金份额前一日基金资产净值</w:t>
      </w:r>
      <w:r>
        <w:rPr>
          <w:rFonts w:ascii="Arial" w:hAnsi="Arial"/>
          <w:szCs w:val="21"/>
        </w:rPr>
        <w:t xml:space="preserve"> </w:t>
      </w:r>
    </w:p>
    <w:p w14:paraId="38C4423D" w14:textId="77777777" w:rsidR="00ED45CB" w:rsidRDefault="00703CCA">
      <w:pPr>
        <w:adjustRightInd w:val="0"/>
        <w:snapToGrid w:val="0"/>
        <w:spacing w:line="360" w:lineRule="auto"/>
        <w:ind w:firstLineChars="200" w:firstLine="420"/>
        <w:rPr>
          <w:rFonts w:ascii="Arial" w:hAnsi="Arial"/>
          <w:szCs w:val="21"/>
        </w:rPr>
      </w:pPr>
      <w:r>
        <w:rPr>
          <w:rFonts w:ascii="Arial" w:hAnsi="Arial"/>
          <w:szCs w:val="21"/>
        </w:rPr>
        <w:t>基金销售服务费</w:t>
      </w:r>
      <w:r>
        <w:rPr>
          <w:rFonts w:ascii="Arial" w:hAnsi="Arial" w:cs="Arial" w:hint="eastAsia"/>
          <w:kern w:val="0"/>
          <w:szCs w:val="21"/>
        </w:rPr>
        <w:t>每日计提，按月支付。经基金</w:t>
      </w:r>
      <w:r>
        <w:rPr>
          <w:rFonts w:ascii="Arial" w:hAnsi="Arial" w:cs="Arial"/>
          <w:kern w:val="0"/>
          <w:szCs w:val="21"/>
        </w:rPr>
        <w:t>管理人与</w:t>
      </w:r>
      <w:r>
        <w:rPr>
          <w:rFonts w:ascii="Arial" w:hAnsi="Arial" w:cs="Arial" w:hint="eastAsia"/>
          <w:kern w:val="0"/>
          <w:szCs w:val="21"/>
        </w:rPr>
        <w:t>基金</w:t>
      </w:r>
      <w:r>
        <w:rPr>
          <w:rFonts w:ascii="Arial" w:hAnsi="Arial" w:cs="Arial"/>
          <w:kern w:val="0"/>
          <w:szCs w:val="21"/>
        </w:rPr>
        <w:t>托管人</w:t>
      </w:r>
      <w:r>
        <w:rPr>
          <w:rFonts w:ascii="Arial" w:hAnsi="Arial" w:cs="Arial" w:hint="eastAsia"/>
          <w:kern w:val="0"/>
          <w:szCs w:val="21"/>
        </w:rPr>
        <w:t>核对一致后</w:t>
      </w:r>
      <w:r>
        <w:rPr>
          <w:rFonts w:ascii="Arial" w:hAnsi="Arial" w:cs="Arial"/>
          <w:kern w:val="0"/>
          <w:szCs w:val="21"/>
        </w:rPr>
        <w:t>，由</w:t>
      </w:r>
      <w:r>
        <w:rPr>
          <w:rFonts w:ascii="Arial" w:hAnsi="Arial" w:cs="Arial" w:hint="eastAsia"/>
          <w:kern w:val="0"/>
          <w:szCs w:val="21"/>
        </w:rPr>
        <w:t>基金</w:t>
      </w:r>
      <w:r>
        <w:rPr>
          <w:rFonts w:ascii="Arial" w:hAnsi="Arial" w:cs="Arial"/>
          <w:kern w:val="0"/>
          <w:szCs w:val="21"/>
        </w:rPr>
        <w:t>托管人于次月</w:t>
      </w:r>
      <w:r>
        <w:rPr>
          <w:rFonts w:ascii="Arial" w:hAnsi="Arial" w:cs="Arial" w:hint="eastAsia"/>
          <w:kern w:val="0"/>
          <w:szCs w:val="21"/>
        </w:rPr>
        <w:t>首日起</w:t>
      </w:r>
      <w:r>
        <w:rPr>
          <w:rFonts w:ascii="Arial" w:hAnsi="Arial" w:cs="Arial" w:hint="eastAsia"/>
          <w:kern w:val="0"/>
          <w:szCs w:val="21"/>
        </w:rPr>
        <w:t>3</w:t>
      </w:r>
      <w:r>
        <w:rPr>
          <w:rFonts w:ascii="Arial" w:hAnsi="Arial" w:cs="Arial"/>
          <w:kern w:val="0"/>
          <w:szCs w:val="21"/>
        </w:rPr>
        <w:t>个工作日内从</w:t>
      </w:r>
      <w:r>
        <w:rPr>
          <w:rFonts w:ascii="Arial" w:hAnsi="Arial" w:cs="Arial" w:hint="eastAsia"/>
          <w:kern w:val="0"/>
          <w:szCs w:val="21"/>
        </w:rPr>
        <w:t>基金财产中一次性划出，由注册登记机构代收，注册登记机构收到后按相关合同规定支付给基金销售机构等。</w:t>
      </w:r>
    </w:p>
    <w:p w14:paraId="5C2DF78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szCs w:val="21"/>
        </w:rPr>
        <w:t>销售服务费主要用于本基金持续销售以及基金份额持有人服务等各项费用。</w:t>
      </w:r>
    </w:p>
    <w:p w14:paraId="6A7EAA7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、本条第（一）款第</w:t>
      </w:r>
      <w:r>
        <w:rPr>
          <w:rFonts w:ascii="Arial" w:hAnsi="Arial" w:cs="Arial" w:hint="eastAsia"/>
          <w:kern w:val="0"/>
          <w:szCs w:val="21"/>
        </w:rPr>
        <w:t xml:space="preserve">3 </w:t>
      </w:r>
      <w:r>
        <w:rPr>
          <w:rFonts w:ascii="Arial" w:hAnsi="Arial" w:cs="Arial" w:hint="eastAsia"/>
          <w:kern w:val="0"/>
          <w:szCs w:val="21"/>
        </w:rPr>
        <w:t>至第</w:t>
      </w:r>
      <w:r>
        <w:rPr>
          <w:rFonts w:ascii="Arial" w:hAnsi="Arial" w:cs="Arial"/>
          <w:kern w:val="0"/>
          <w:szCs w:val="21"/>
        </w:rPr>
        <w:t>7</w:t>
      </w:r>
      <w:r>
        <w:rPr>
          <w:rFonts w:ascii="Arial" w:hAnsi="Arial" w:cs="Arial" w:hint="eastAsia"/>
          <w:kern w:val="0"/>
          <w:szCs w:val="21"/>
        </w:rPr>
        <w:t>项费用由基金管理人和基金托管人根据有关法规及相应协议的规定，列入当期基金费用。</w:t>
      </w:r>
    </w:p>
    <w:p w14:paraId="185DC98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（三）不列入基金费用的项目</w:t>
      </w:r>
    </w:p>
    <w:p w14:paraId="6109326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本条第（一）款约定以外的其他费用，以及基金管理人和基金托管人因未履行或未完全履行义务导致的费用支出或基金财产的损失等不列入基金费用。</w:t>
      </w:r>
    </w:p>
    <w:p w14:paraId="38DEBA7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（四）基金管理费和基金托管费的调整</w:t>
      </w:r>
    </w:p>
    <w:p w14:paraId="53A4FB9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基金管理人和基金托管人可协商酌情调低基金管理费和基金托管费，无须召开基金份额持有人大会。</w:t>
      </w:r>
    </w:p>
    <w:p w14:paraId="7B53BF5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（五）税收</w:t>
      </w:r>
    </w:p>
    <w:p w14:paraId="56DF77DE" w14:textId="77777777" w:rsidR="00ED45CB" w:rsidRDefault="00703CCA">
      <w:pPr>
        <w:adjustRightInd w:val="0"/>
        <w:snapToGrid w:val="0"/>
        <w:spacing w:line="360" w:lineRule="auto"/>
        <w:ind w:firstLineChars="200" w:firstLine="420"/>
        <w:rPr>
          <w:rFonts w:ascii="宋体" w:hAnsi="宋体"/>
          <w:kern w:val="0"/>
          <w:szCs w:val="21"/>
        </w:rPr>
      </w:pPr>
      <w:r>
        <w:rPr>
          <w:rFonts w:ascii="Arial" w:hAnsi="Arial" w:cs="Arial" w:hint="eastAsia"/>
          <w:kern w:val="0"/>
          <w:szCs w:val="21"/>
        </w:rPr>
        <w:t>本基金运作过程中涉及的各纳税主体，依照国家法律法规的规定履行纳税义务。</w:t>
      </w:r>
    </w:p>
    <w:p w14:paraId="560659C9" w14:textId="77777777" w:rsidR="00ED45CB" w:rsidRDefault="00703CCA">
      <w:pPr>
        <w:spacing w:before="100" w:beforeAutospacing="1" w:after="100" w:afterAutospacing="1" w:line="400" w:lineRule="exact"/>
        <w:ind w:firstLine="420"/>
        <w:rPr>
          <w:rFonts w:ascii="宋体" w:hAnsi="宋体"/>
          <w:kern w:val="0"/>
          <w:szCs w:val="21"/>
        </w:rPr>
      </w:pPr>
      <w:r>
        <w:rPr>
          <w:rFonts w:ascii="宋体" w:hAnsi="宋体"/>
          <w:kern w:val="0"/>
          <w:szCs w:val="21"/>
        </w:rPr>
        <w:br w:type="page"/>
      </w:r>
    </w:p>
    <w:p w14:paraId="4CAF6190"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67" w:name="_Toc344308279"/>
      <w:bookmarkStart w:id="68" w:name="_Toc122336557"/>
      <w:bookmarkStart w:id="69" w:name="_Toc88037853"/>
      <w:r>
        <w:rPr>
          <w:rFonts w:ascii="宋体" w:eastAsia="宋体" w:hAnsi="宋体" w:hint="eastAsia"/>
          <w:sz w:val="24"/>
          <w:szCs w:val="24"/>
        </w:rPr>
        <w:t>十九、基金收益与分配</w:t>
      </w:r>
      <w:bookmarkEnd w:id="67"/>
    </w:p>
    <w:p w14:paraId="7F3EC09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（一）收益的构成</w:t>
      </w:r>
    </w:p>
    <w:p w14:paraId="256EE3D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基金本期利润是指基金本期已实现收益加上本期公允价值变动收益。基金本期已实现收益指基金本期利息收入、投资收益、其他收入（不含公允价值变动收益）扣除相关费用后的余额。</w:t>
      </w:r>
    </w:p>
    <w:p w14:paraId="2A28063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期末可供分配利润，采用期末资产负债表中未分配利润与未分配利润中已实现部分的孰低数。</w:t>
      </w:r>
    </w:p>
    <w:p w14:paraId="5C83A55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（二）收益分配原则</w:t>
      </w:r>
    </w:p>
    <w:p w14:paraId="416B561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Arial" w:cs="Arial"/>
          <w:kern w:val="0"/>
          <w:szCs w:val="21"/>
        </w:rPr>
        <w:t>、基金收益分配采用现金方式或红利再投资方式（指将现金红利按分红权益再</w:t>
      </w:r>
      <w:proofErr w:type="gramStart"/>
      <w:r>
        <w:rPr>
          <w:rFonts w:ascii="Arial" w:hAnsi="Arial" w:cs="Arial"/>
          <w:kern w:val="0"/>
          <w:szCs w:val="21"/>
        </w:rPr>
        <w:t>投资日经过</w:t>
      </w:r>
      <w:proofErr w:type="gramEnd"/>
      <w:r>
        <w:rPr>
          <w:rFonts w:ascii="Arial" w:hAnsi="Arial" w:cs="Arial"/>
          <w:kern w:val="0"/>
          <w:szCs w:val="21"/>
        </w:rPr>
        <w:t>除权后的基金份额净值为计算基准自动转为基金份额进行再投资），基金份额持有人可选择现金方式或红利再投资方式；基金份额持有人事先未做出选择的，默认的分红方式为现金方式；</w:t>
      </w:r>
    </w:p>
    <w:p w14:paraId="4DD1CB5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Arial" w:cs="Arial"/>
          <w:kern w:val="0"/>
          <w:szCs w:val="21"/>
        </w:rPr>
        <w:t>、</w:t>
      </w:r>
      <w:r>
        <w:rPr>
          <w:rFonts w:ascii="Arial" w:hAnsi="Arial" w:cs="Arial" w:hint="eastAsia"/>
          <w:kern w:val="0"/>
          <w:szCs w:val="21"/>
        </w:rPr>
        <w:t>同一类别的</w:t>
      </w:r>
      <w:r>
        <w:rPr>
          <w:rFonts w:ascii="Arial" w:hAnsi="Arial" w:cs="Arial"/>
          <w:kern w:val="0"/>
          <w:szCs w:val="21"/>
        </w:rPr>
        <w:t>每一基金份额享有同等分配权；</w:t>
      </w:r>
    </w:p>
    <w:p w14:paraId="04731B3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Arial" w:cs="Arial"/>
          <w:kern w:val="0"/>
          <w:szCs w:val="21"/>
        </w:rPr>
        <w:t>、在符合基金分红条件的前提下，基金收益每年最多分配</w:t>
      </w:r>
      <w:r>
        <w:rPr>
          <w:rFonts w:ascii="Arial" w:hAnsi="Arial" w:cs="Arial"/>
          <w:kern w:val="0"/>
          <w:szCs w:val="21"/>
        </w:rPr>
        <w:t>2</w:t>
      </w:r>
      <w:r>
        <w:rPr>
          <w:rFonts w:ascii="Arial" w:hAnsi="Arial" w:cs="Arial"/>
          <w:kern w:val="0"/>
          <w:szCs w:val="21"/>
        </w:rPr>
        <w:t>次，每次基金收益分配比例不低于可供分配利润的</w:t>
      </w:r>
      <w:r>
        <w:rPr>
          <w:rFonts w:ascii="Arial" w:hAnsi="Arial" w:cs="Arial"/>
          <w:kern w:val="0"/>
          <w:szCs w:val="21"/>
        </w:rPr>
        <w:t>10%</w:t>
      </w:r>
      <w:r>
        <w:rPr>
          <w:rFonts w:ascii="Arial" w:hAnsi="Arial" w:cs="Arial"/>
          <w:kern w:val="0"/>
          <w:szCs w:val="21"/>
        </w:rPr>
        <w:t>，基金的收益分配比例应当以收益分配基准日可供分配利润为基准计算。若自基金合同生效日起不满</w:t>
      </w:r>
      <w:r>
        <w:rPr>
          <w:rFonts w:ascii="Arial" w:hAnsi="Arial" w:cs="Arial"/>
          <w:kern w:val="0"/>
          <w:szCs w:val="21"/>
        </w:rPr>
        <w:t>3</w:t>
      </w:r>
      <w:r>
        <w:rPr>
          <w:rFonts w:ascii="Arial" w:hAnsi="Arial" w:cs="Arial"/>
          <w:kern w:val="0"/>
          <w:szCs w:val="21"/>
        </w:rPr>
        <w:t>个月，可不进行收益分配；</w:t>
      </w:r>
    </w:p>
    <w:p w14:paraId="4EE8709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Arial" w:cs="Arial"/>
          <w:kern w:val="0"/>
          <w:szCs w:val="21"/>
        </w:rPr>
        <w:t>、基金收益分配基准日的基金份额净值减去每单位基金份额收益分配净额后不能低于面值；</w:t>
      </w:r>
      <w:r>
        <w:rPr>
          <w:rFonts w:ascii="Arial" w:hAnsi="Arial" w:cs="Arial"/>
          <w:kern w:val="0"/>
          <w:szCs w:val="21"/>
        </w:rPr>
        <w:t xml:space="preserve"> </w:t>
      </w:r>
    </w:p>
    <w:p w14:paraId="46350A2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Arial" w:cs="Arial"/>
          <w:kern w:val="0"/>
          <w:szCs w:val="21"/>
        </w:rPr>
        <w:t>、基金红利发放</w:t>
      </w:r>
      <w:proofErr w:type="gramStart"/>
      <w:r>
        <w:rPr>
          <w:rFonts w:ascii="Arial" w:hAnsi="Arial" w:cs="Arial"/>
          <w:kern w:val="0"/>
          <w:szCs w:val="21"/>
        </w:rPr>
        <w:t>日距离</w:t>
      </w:r>
      <w:proofErr w:type="gramEnd"/>
      <w:r>
        <w:rPr>
          <w:rFonts w:ascii="Arial" w:hAnsi="Arial" w:cs="Arial"/>
          <w:kern w:val="0"/>
          <w:szCs w:val="21"/>
        </w:rPr>
        <w:t>收益分配基准日（即期末可供分配利润计算截止日）的时间不得超过</w:t>
      </w:r>
      <w:r>
        <w:rPr>
          <w:rFonts w:ascii="Arial" w:hAnsi="Arial" w:cs="Arial"/>
          <w:kern w:val="0"/>
          <w:szCs w:val="21"/>
        </w:rPr>
        <w:t>15</w:t>
      </w:r>
      <w:r>
        <w:rPr>
          <w:rFonts w:ascii="Arial" w:hAnsi="Arial" w:cs="Arial"/>
          <w:kern w:val="0"/>
          <w:szCs w:val="21"/>
        </w:rPr>
        <w:t>个工作日；</w:t>
      </w:r>
    </w:p>
    <w:p w14:paraId="7BD27EA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Arial" w:cs="Arial"/>
          <w:kern w:val="0"/>
          <w:szCs w:val="21"/>
        </w:rPr>
        <w:t>、法律法规或监管机构另有规定的，从其规定。</w:t>
      </w:r>
    </w:p>
    <w:p w14:paraId="5552F29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（三）收益分配方案</w:t>
      </w:r>
    </w:p>
    <w:p w14:paraId="6A315DC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基金收益分配方案中应载明基金期末可供分配利润、基金收益分配对象、分配原则、分配时间、分配数额及比例、分配方式及有关手续费等内容。</w:t>
      </w:r>
    </w:p>
    <w:p w14:paraId="02E85E3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（四）收益分配方案的确定与公告</w:t>
      </w:r>
    </w:p>
    <w:p w14:paraId="2773F8B1" w14:textId="3E115490"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基金收益分配方案由基金管理人拟定，并由基金托管人复核后确定，基金管理人按《信息披露办法》等有关法律法规的规定在指定媒介公告。</w:t>
      </w:r>
    </w:p>
    <w:p w14:paraId="2718706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（五）收益分配中发生的费用</w:t>
      </w:r>
    </w:p>
    <w:p w14:paraId="6F9DD31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、收益分配采用红利再投资方式免收再投资的费用。</w:t>
      </w:r>
    </w:p>
    <w:p w14:paraId="14B752B3" w14:textId="77777777" w:rsidR="00ED45CB" w:rsidRDefault="00703CCA">
      <w:pPr>
        <w:adjustRightInd w:val="0"/>
        <w:snapToGrid w:val="0"/>
        <w:spacing w:line="360" w:lineRule="auto"/>
        <w:ind w:firstLineChars="200" w:firstLine="420"/>
        <w:rPr>
          <w:rFonts w:ascii="宋体" w:hAnsi="宋体"/>
          <w:kern w:val="0"/>
          <w:szCs w:val="21"/>
        </w:rPr>
      </w:pPr>
      <w:r>
        <w:rPr>
          <w:rFonts w:ascii="Arial" w:hAnsi="Arial" w:cs="Arial" w:hint="eastAsia"/>
          <w:kern w:val="0"/>
          <w:szCs w:val="21"/>
        </w:rPr>
        <w:t>2</w:t>
      </w:r>
      <w:r>
        <w:rPr>
          <w:rFonts w:ascii="Arial" w:hAnsi="Arial" w:cs="Arial" w:hint="eastAsia"/>
          <w:kern w:val="0"/>
          <w:szCs w:val="21"/>
        </w:rPr>
        <w:t>、收益分配时发生的银行转账等手续费用由基金份额持有人自行承担。如果基金份额持有人所获现金红利不足支付前述银行转账等手续费用，注册登记机构可将该基金份额持有人的现金红利按除权日经除权后的基金份额净值转为基金份额。</w:t>
      </w:r>
    </w:p>
    <w:p w14:paraId="57EC6BED" w14:textId="77777777" w:rsidR="00ED45CB" w:rsidRDefault="00ED45CB">
      <w:pPr>
        <w:spacing w:before="60" w:after="60" w:line="372" w:lineRule="auto"/>
        <w:ind w:firstLine="420"/>
        <w:rPr>
          <w:rFonts w:ascii="宋体" w:hAnsi="宋体"/>
          <w:kern w:val="0"/>
          <w:szCs w:val="21"/>
        </w:rPr>
      </w:pPr>
    </w:p>
    <w:p w14:paraId="23F54734"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70" w:name="_Toc344308280"/>
      <w:bookmarkStart w:id="71" w:name="_Toc88037854"/>
      <w:bookmarkStart w:id="72" w:name="_Toc122336558"/>
      <w:bookmarkEnd w:id="68"/>
      <w:bookmarkEnd w:id="69"/>
      <w:r>
        <w:rPr>
          <w:rFonts w:ascii="宋体" w:eastAsia="宋体" w:hAnsi="宋体" w:hint="eastAsia"/>
          <w:sz w:val="24"/>
          <w:szCs w:val="24"/>
        </w:rPr>
        <w:t>二十、基金的会计与审计</w:t>
      </w:r>
      <w:bookmarkEnd w:id="70"/>
      <w:bookmarkEnd w:id="71"/>
      <w:bookmarkEnd w:id="72"/>
    </w:p>
    <w:p w14:paraId="13B9632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（一）基金会计政策</w:t>
      </w:r>
    </w:p>
    <w:p w14:paraId="4A1D405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、基金的会计年度为公历每年</w:t>
      </w:r>
      <w:r>
        <w:rPr>
          <w:rFonts w:ascii="Arial" w:hAnsi="Arial" w:cs="Arial" w:hint="eastAsia"/>
          <w:kern w:val="0"/>
          <w:szCs w:val="21"/>
        </w:rPr>
        <w:t xml:space="preserve">1 </w:t>
      </w:r>
      <w:r>
        <w:rPr>
          <w:rFonts w:ascii="Arial" w:hAnsi="Arial" w:cs="Arial" w:hint="eastAsia"/>
          <w:kern w:val="0"/>
          <w:szCs w:val="21"/>
        </w:rPr>
        <w:t>月</w:t>
      </w:r>
      <w:r>
        <w:rPr>
          <w:rFonts w:ascii="Arial" w:hAnsi="Arial" w:cs="Arial" w:hint="eastAsia"/>
          <w:kern w:val="0"/>
          <w:szCs w:val="21"/>
        </w:rPr>
        <w:t xml:space="preserve">1 </w:t>
      </w:r>
      <w:r>
        <w:rPr>
          <w:rFonts w:ascii="Arial" w:hAnsi="Arial" w:cs="Arial" w:hint="eastAsia"/>
          <w:kern w:val="0"/>
          <w:szCs w:val="21"/>
        </w:rPr>
        <w:t>日至</w:t>
      </w:r>
      <w:r>
        <w:rPr>
          <w:rFonts w:ascii="Arial" w:hAnsi="Arial" w:cs="Arial" w:hint="eastAsia"/>
          <w:kern w:val="0"/>
          <w:szCs w:val="21"/>
        </w:rPr>
        <w:t xml:space="preserve">12 </w:t>
      </w:r>
      <w:r>
        <w:rPr>
          <w:rFonts w:ascii="Arial" w:hAnsi="Arial" w:cs="Arial" w:hint="eastAsia"/>
          <w:kern w:val="0"/>
          <w:szCs w:val="21"/>
        </w:rPr>
        <w:t>月</w:t>
      </w:r>
      <w:r>
        <w:rPr>
          <w:rFonts w:ascii="Arial" w:hAnsi="Arial" w:cs="Arial" w:hint="eastAsia"/>
          <w:kern w:val="0"/>
          <w:szCs w:val="21"/>
        </w:rPr>
        <w:t xml:space="preserve">31 </w:t>
      </w:r>
      <w:r>
        <w:rPr>
          <w:rFonts w:ascii="Arial" w:hAnsi="Arial" w:cs="Arial" w:hint="eastAsia"/>
          <w:kern w:val="0"/>
          <w:szCs w:val="21"/>
        </w:rPr>
        <w:t>日。</w:t>
      </w:r>
    </w:p>
    <w:p w14:paraId="5F39D81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、基金核算以人民币为记账本位币，以人民币元为记账单位。</w:t>
      </w:r>
    </w:p>
    <w:p w14:paraId="4922E03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、会计核算制度按国家有关的会计核算制度执行。</w:t>
      </w:r>
    </w:p>
    <w:p w14:paraId="59FF6D6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、本基金独立建账、独立核算。</w:t>
      </w:r>
    </w:p>
    <w:p w14:paraId="3713D0D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、本基金会计责任人为基金管理人。</w:t>
      </w:r>
    </w:p>
    <w:p w14:paraId="0E3FC79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、基金管理人</w:t>
      </w:r>
      <w:r>
        <w:rPr>
          <w:rFonts w:ascii="Arial" w:hAnsi="Arial" w:cs="Arial"/>
          <w:kern w:val="0"/>
          <w:szCs w:val="21"/>
        </w:rPr>
        <w:t>及基金托管人各自</w:t>
      </w:r>
      <w:r>
        <w:rPr>
          <w:rFonts w:ascii="Arial" w:hAnsi="Arial" w:cs="Arial" w:hint="eastAsia"/>
          <w:kern w:val="0"/>
          <w:szCs w:val="21"/>
        </w:rPr>
        <w:t>应保留完整的会计账目、凭证并进行日常的会计核算，按照有关法律法规规定编制基金会计报表，基金托管人定期与基金管理人就基金的会计核算、报表编制等进行核对并以书面方式确认。</w:t>
      </w:r>
    </w:p>
    <w:p w14:paraId="3FD791A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（二）基金审计</w:t>
      </w:r>
    </w:p>
    <w:p w14:paraId="4BFC02FE" w14:textId="39E5FD3E"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、基金管理人聘请与基金管理人、基金托管人相独立的、具有证券、期货相关业务资格的会计师事务所及其注册会计师等对基金年度财务报表及其他规定事项进行审计。</w:t>
      </w:r>
    </w:p>
    <w:p w14:paraId="1E0BBB1E" w14:textId="3ED93426"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、基金管理人认为有充足理由更换会计师事务所，须通报基金托管人。更换会计师事务所需按照《信息披露办法》的有关规定在指定媒介公告。</w:t>
      </w:r>
    </w:p>
    <w:p w14:paraId="43163681" w14:textId="77777777" w:rsidR="00ED45CB" w:rsidRDefault="00703CCA">
      <w:pPr>
        <w:adjustRightInd w:val="0"/>
        <w:snapToGrid w:val="0"/>
        <w:spacing w:line="360" w:lineRule="auto"/>
        <w:ind w:firstLineChars="200" w:firstLine="420"/>
        <w:rPr>
          <w:rFonts w:ascii="宋体" w:hAnsi="宋体"/>
          <w:kern w:val="0"/>
          <w:szCs w:val="21"/>
        </w:rPr>
      </w:pPr>
      <w:r>
        <w:rPr>
          <w:rFonts w:ascii="Arial" w:hAnsi="Arial" w:cs="Arial" w:hint="eastAsia"/>
          <w:kern w:val="0"/>
          <w:szCs w:val="21"/>
        </w:rPr>
        <w:t>3</w:t>
      </w:r>
      <w:r>
        <w:rPr>
          <w:rFonts w:ascii="Arial" w:hAnsi="Arial" w:cs="Arial" w:hint="eastAsia"/>
          <w:kern w:val="0"/>
          <w:szCs w:val="21"/>
        </w:rPr>
        <w:t>、会计师事务所更换经办注册会计师，应事先征得基金管理人同意。</w:t>
      </w:r>
    </w:p>
    <w:p w14:paraId="4635CD14" w14:textId="77777777" w:rsidR="00ED45CB" w:rsidRDefault="00703CCA">
      <w:pPr>
        <w:spacing w:before="100" w:beforeAutospacing="1" w:after="100" w:afterAutospacing="1" w:line="400" w:lineRule="exact"/>
        <w:ind w:firstLine="420"/>
        <w:rPr>
          <w:rFonts w:ascii="宋体" w:hAnsi="宋体"/>
          <w:kern w:val="0"/>
          <w:szCs w:val="21"/>
        </w:rPr>
      </w:pPr>
      <w:r>
        <w:rPr>
          <w:rFonts w:ascii="宋体" w:hAnsi="宋体"/>
          <w:kern w:val="0"/>
          <w:szCs w:val="21"/>
        </w:rPr>
        <w:br w:type="page"/>
      </w:r>
    </w:p>
    <w:p w14:paraId="1909466B"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73" w:name="_Toc88037855"/>
      <w:bookmarkStart w:id="74" w:name="_Toc122336559"/>
      <w:bookmarkStart w:id="75" w:name="_Toc344308281"/>
      <w:r>
        <w:rPr>
          <w:rFonts w:ascii="宋体" w:eastAsia="宋体" w:hAnsi="宋体" w:hint="eastAsia"/>
          <w:sz w:val="24"/>
          <w:szCs w:val="24"/>
        </w:rPr>
        <w:t>二十一、基金的信息披露</w:t>
      </w:r>
      <w:bookmarkEnd w:id="73"/>
      <w:bookmarkEnd w:id="74"/>
      <w:bookmarkEnd w:id="75"/>
    </w:p>
    <w:p w14:paraId="13DF3BA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（一）本基金的信息披露应符合《基金法》、《运作办法》、《信息披露办法》、《流动性风险管理规定》、《基金合同》及其他有关规定。</w:t>
      </w:r>
    </w:p>
    <w:p w14:paraId="76006C2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（二）信息披露义务人</w:t>
      </w:r>
    </w:p>
    <w:p w14:paraId="09410E8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本基金信息披露义务人包括基金管理人、基金托管人、召集基金份额持有人大会的基金份额持有人及其日常机构法律法规和中国证监会规定的自然人、法人和非法人组织。</w:t>
      </w:r>
    </w:p>
    <w:p w14:paraId="1FD5F62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本基金信息披露义务人以保护基金份额持有人利益为根本出发点，按照法律法规和中国证监会的规定披露基金信息，并保证所披露信息的真实性、准确性、完整性、及时性、简明性和易得性。</w:t>
      </w:r>
    </w:p>
    <w:p w14:paraId="6E520698" w14:textId="23D80B40"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信息披露义务人应当在中国证监会规定时间内，将应予披露的基金信息通过中国证监会指定的全国性报刊（以下简称“指定报刊”）及指定互联网网站（以下简称“指定网站”）等媒介披露，并保证投资者能够按照基金合同约定的时间和方式查阅或者复制公开披露的信息资料。</w:t>
      </w:r>
    </w:p>
    <w:p w14:paraId="5BD3E4C9" w14:textId="77777777" w:rsidR="00ED45CB" w:rsidRDefault="00703CCA">
      <w:pPr>
        <w:snapToGrid w:val="0"/>
        <w:spacing w:line="360" w:lineRule="auto"/>
        <w:ind w:firstLineChars="200" w:firstLine="420"/>
        <w:rPr>
          <w:rFonts w:ascii="Arial" w:hAnsi="宋体" w:cs="Arial"/>
          <w:kern w:val="0"/>
          <w:szCs w:val="21"/>
        </w:rPr>
      </w:pPr>
      <w:r>
        <w:rPr>
          <w:rFonts w:ascii="Arial" w:hAnsi="宋体" w:cs="Arial" w:hint="eastAsia"/>
          <w:kern w:val="0"/>
          <w:szCs w:val="21"/>
        </w:rPr>
        <w:t>（三）</w:t>
      </w:r>
      <w:r>
        <w:rPr>
          <w:rFonts w:ascii="Arial" w:hAnsi="宋体" w:cs="Arial"/>
          <w:kern w:val="0"/>
          <w:szCs w:val="21"/>
        </w:rPr>
        <w:t>本基金信息披露义务人承诺公开披露的基金信息，不得有下列行为：</w:t>
      </w:r>
    </w:p>
    <w:p w14:paraId="6AFCDEB0" w14:textId="77777777" w:rsidR="00ED45CB" w:rsidRDefault="00703CCA">
      <w:pPr>
        <w:snapToGrid w:val="0"/>
        <w:spacing w:line="360" w:lineRule="auto"/>
        <w:ind w:firstLineChars="200" w:firstLine="420"/>
        <w:rPr>
          <w:rFonts w:ascii="Arial" w:hAnsi="宋体" w:cs="Arial"/>
          <w:kern w:val="0"/>
          <w:szCs w:val="21"/>
        </w:rPr>
      </w:pPr>
      <w:r>
        <w:rPr>
          <w:rFonts w:ascii="Arial" w:hAnsi="宋体" w:cs="Arial"/>
          <w:kern w:val="0"/>
          <w:szCs w:val="21"/>
        </w:rPr>
        <w:t>1</w:t>
      </w:r>
      <w:r>
        <w:rPr>
          <w:rFonts w:ascii="Arial" w:hAnsi="宋体" w:cs="Arial"/>
          <w:kern w:val="0"/>
          <w:szCs w:val="21"/>
        </w:rPr>
        <w:t>、虚假记载、误导性陈述或者重大遗漏；</w:t>
      </w:r>
    </w:p>
    <w:p w14:paraId="01F806D1" w14:textId="77777777" w:rsidR="00ED45CB" w:rsidRDefault="00703CCA">
      <w:pPr>
        <w:snapToGrid w:val="0"/>
        <w:spacing w:line="360" w:lineRule="auto"/>
        <w:ind w:firstLineChars="200" w:firstLine="420"/>
        <w:rPr>
          <w:rFonts w:ascii="Arial" w:hAnsi="宋体" w:cs="Arial"/>
          <w:kern w:val="0"/>
          <w:szCs w:val="21"/>
        </w:rPr>
      </w:pPr>
      <w:r>
        <w:rPr>
          <w:rFonts w:ascii="Arial" w:hAnsi="宋体" w:cs="Arial"/>
          <w:kern w:val="0"/>
          <w:szCs w:val="21"/>
        </w:rPr>
        <w:t>2</w:t>
      </w:r>
      <w:r>
        <w:rPr>
          <w:rFonts w:ascii="Arial" w:hAnsi="宋体" w:cs="Arial"/>
          <w:kern w:val="0"/>
          <w:szCs w:val="21"/>
        </w:rPr>
        <w:t>、对证券投资业绩进行预测；</w:t>
      </w:r>
    </w:p>
    <w:p w14:paraId="232A4397" w14:textId="77777777" w:rsidR="00ED45CB" w:rsidRDefault="00703CCA">
      <w:pPr>
        <w:snapToGrid w:val="0"/>
        <w:spacing w:line="360" w:lineRule="auto"/>
        <w:ind w:firstLineChars="200" w:firstLine="420"/>
        <w:rPr>
          <w:rFonts w:ascii="Arial" w:hAnsi="宋体" w:cs="Arial"/>
          <w:kern w:val="0"/>
          <w:szCs w:val="21"/>
        </w:rPr>
      </w:pPr>
      <w:r>
        <w:rPr>
          <w:rFonts w:ascii="Arial" w:hAnsi="宋体" w:cs="Arial"/>
          <w:kern w:val="0"/>
          <w:szCs w:val="21"/>
        </w:rPr>
        <w:t>3</w:t>
      </w:r>
      <w:r>
        <w:rPr>
          <w:rFonts w:ascii="Arial" w:hAnsi="宋体" w:cs="Arial"/>
          <w:kern w:val="0"/>
          <w:szCs w:val="21"/>
        </w:rPr>
        <w:t>、违规承诺收益或者承担损失；</w:t>
      </w:r>
    </w:p>
    <w:p w14:paraId="276FAC29" w14:textId="77777777" w:rsidR="00ED45CB" w:rsidRDefault="00703CCA">
      <w:pPr>
        <w:snapToGrid w:val="0"/>
        <w:spacing w:line="360" w:lineRule="auto"/>
        <w:ind w:firstLineChars="200" w:firstLine="420"/>
        <w:rPr>
          <w:rFonts w:ascii="Arial" w:hAnsi="宋体" w:cs="Arial"/>
          <w:kern w:val="0"/>
          <w:szCs w:val="21"/>
        </w:rPr>
      </w:pPr>
      <w:r>
        <w:rPr>
          <w:rFonts w:ascii="Arial" w:hAnsi="宋体" w:cs="Arial"/>
          <w:kern w:val="0"/>
          <w:szCs w:val="21"/>
        </w:rPr>
        <w:t>4</w:t>
      </w:r>
      <w:r>
        <w:rPr>
          <w:rFonts w:ascii="Arial" w:hAnsi="宋体" w:cs="Arial"/>
          <w:kern w:val="0"/>
          <w:szCs w:val="21"/>
        </w:rPr>
        <w:t>、诋毁其他基金管理人、基金托管人或者基金销售机构；</w:t>
      </w:r>
    </w:p>
    <w:p w14:paraId="022C6323" w14:textId="77777777" w:rsidR="00ED45CB" w:rsidRDefault="00703CCA">
      <w:pPr>
        <w:snapToGrid w:val="0"/>
        <w:spacing w:line="360" w:lineRule="auto"/>
        <w:ind w:firstLineChars="200" w:firstLine="420"/>
        <w:rPr>
          <w:rFonts w:ascii="Arial" w:hAnsi="宋体" w:cs="Arial"/>
          <w:kern w:val="0"/>
          <w:szCs w:val="21"/>
        </w:rPr>
      </w:pPr>
      <w:r>
        <w:rPr>
          <w:rFonts w:ascii="Arial" w:hAnsi="宋体" w:cs="Arial"/>
          <w:kern w:val="0"/>
          <w:szCs w:val="21"/>
        </w:rPr>
        <w:t>5</w:t>
      </w:r>
      <w:r>
        <w:rPr>
          <w:rFonts w:ascii="Arial" w:hAnsi="宋体" w:cs="Arial"/>
          <w:kern w:val="0"/>
          <w:szCs w:val="21"/>
        </w:rPr>
        <w:t>、登载任何自然人、法人</w:t>
      </w:r>
      <w:r>
        <w:rPr>
          <w:rFonts w:ascii="Arial" w:hAnsi="宋体" w:cs="Arial" w:hint="eastAsia"/>
          <w:kern w:val="0"/>
          <w:szCs w:val="21"/>
        </w:rPr>
        <w:t>和非法人</w:t>
      </w:r>
      <w:r>
        <w:rPr>
          <w:rFonts w:ascii="Arial" w:hAnsi="宋体" w:cs="Arial"/>
          <w:kern w:val="0"/>
          <w:szCs w:val="21"/>
        </w:rPr>
        <w:t>组织的祝贺性、恭维性或推荐性的文字；</w:t>
      </w:r>
    </w:p>
    <w:p w14:paraId="7BE3D8B4" w14:textId="77777777" w:rsidR="00ED45CB" w:rsidRDefault="00703CCA">
      <w:pPr>
        <w:snapToGrid w:val="0"/>
        <w:spacing w:line="360" w:lineRule="auto"/>
        <w:ind w:firstLineChars="200" w:firstLine="420"/>
        <w:rPr>
          <w:rFonts w:ascii="Arial" w:hAnsi="Arial"/>
          <w:kern w:val="0"/>
          <w:szCs w:val="21"/>
        </w:rPr>
      </w:pPr>
      <w:r>
        <w:rPr>
          <w:rFonts w:ascii="Arial" w:hAnsi="宋体" w:cs="Arial"/>
          <w:kern w:val="0"/>
          <w:szCs w:val="21"/>
        </w:rPr>
        <w:t>6</w:t>
      </w:r>
      <w:r>
        <w:rPr>
          <w:rFonts w:ascii="Arial" w:hAnsi="宋体" w:cs="Arial"/>
          <w:kern w:val="0"/>
          <w:szCs w:val="21"/>
        </w:rPr>
        <w:t>、中国证监会禁止的其他行为。</w:t>
      </w:r>
    </w:p>
    <w:p w14:paraId="6EFD6AED" w14:textId="77777777" w:rsidR="00ED45CB" w:rsidRDefault="00703CCA">
      <w:pPr>
        <w:snapToGrid w:val="0"/>
        <w:spacing w:line="360" w:lineRule="auto"/>
        <w:ind w:firstLineChars="200" w:firstLine="420"/>
        <w:rPr>
          <w:rFonts w:ascii="Arial" w:hAnsi="宋体" w:cs="Arial"/>
          <w:kern w:val="0"/>
          <w:szCs w:val="21"/>
        </w:rPr>
      </w:pPr>
      <w:r>
        <w:rPr>
          <w:rFonts w:ascii="Arial" w:hAnsi="Arial" w:hint="eastAsia"/>
          <w:szCs w:val="21"/>
        </w:rPr>
        <w:t>（四）</w:t>
      </w:r>
      <w:r>
        <w:rPr>
          <w:rFonts w:ascii="Arial" w:hAnsi="宋体" w:cs="Arial"/>
          <w:kern w:val="0"/>
          <w:szCs w:val="21"/>
        </w:rPr>
        <w:t>本基金公开披露的信息应采用中文文本。如同时采用外文文本的，基金信息披露义务人应保证</w:t>
      </w:r>
      <w:r>
        <w:rPr>
          <w:rFonts w:ascii="Arial" w:hAnsi="宋体" w:cs="Arial" w:hint="eastAsia"/>
          <w:kern w:val="0"/>
          <w:szCs w:val="21"/>
        </w:rPr>
        <w:t>不同</w:t>
      </w:r>
      <w:r>
        <w:rPr>
          <w:rFonts w:ascii="Arial" w:hAnsi="宋体" w:cs="Arial"/>
          <w:kern w:val="0"/>
          <w:szCs w:val="21"/>
        </w:rPr>
        <w:t>文本的内容一致。</w:t>
      </w:r>
      <w:r>
        <w:rPr>
          <w:rFonts w:ascii="Arial" w:hAnsi="宋体" w:cs="Arial" w:hint="eastAsia"/>
          <w:kern w:val="0"/>
          <w:szCs w:val="21"/>
        </w:rPr>
        <w:t>不同</w:t>
      </w:r>
      <w:r>
        <w:rPr>
          <w:rFonts w:ascii="Arial" w:hAnsi="宋体" w:cs="Arial"/>
          <w:kern w:val="0"/>
          <w:szCs w:val="21"/>
        </w:rPr>
        <w:t>文本</w:t>
      </w:r>
      <w:r>
        <w:rPr>
          <w:rFonts w:ascii="Arial" w:hAnsi="宋体" w:cs="Arial" w:hint="eastAsia"/>
          <w:kern w:val="0"/>
          <w:szCs w:val="21"/>
        </w:rPr>
        <w:t>之间</w:t>
      </w:r>
      <w:r>
        <w:rPr>
          <w:rFonts w:ascii="Arial" w:hAnsi="宋体" w:cs="Arial"/>
          <w:kern w:val="0"/>
          <w:szCs w:val="21"/>
        </w:rPr>
        <w:t>发生歧义的，以中文文本为准。</w:t>
      </w:r>
    </w:p>
    <w:p w14:paraId="0AFBE87B" w14:textId="77777777" w:rsidR="00ED45CB" w:rsidRDefault="00703CCA">
      <w:pPr>
        <w:snapToGrid w:val="0"/>
        <w:spacing w:line="360" w:lineRule="auto"/>
        <w:ind w:firstLineChars="200" w:firstLine="420"/>
        <w:rPr>
          <w:rFonts w:ascii="Arial" w:hAnsi="宋体" w:cs="Arial"/>
          <w:kern w:val="0"/>
          <w:szCs w:val="21"/>
        </w:rPr>
      </w:pPr>
      <w:r>
        <w:rPr>
          <w:rFonts w:ascii="Arial" w:hAnsi="宋体" w:cs="Arial"/>
          <w:kern w:val="0"/>
          <w:szCs w:val="21"/>
        </w:rPr>
        <w:t>本基金公开披露的信息采用阿拉伯数字；除特别说明外，货币单位为人民币元。</w:t>
      </w:r>
    </w:p>
    <w:p w14:paraId="495997B8" w14:textId="1CF71F7C" w:rsidR="00ED45CB" w:rsidRDefault="00703CCA">
      <w:pPr>
        <w:adjustRightInd w:val="0"/>
        <w:snapToGrid w:val="0"/>
        <w:spacing w:line="360" w:lineRule="auto"/>
        <w:ind w:firstLineChars="200" w:firstLine="420"/>
        <w:rPr>
          <w:rFonts w:ascii="Arial" w:hAnsi="Arial" w:cs="Arial"/>
          <w:kern w:val="0"/>
          <w:szCs w:val="21"/>
        </w:rPr>
      </w:pPr>
      <w:r>
        <w:rPr>
          <w:rFonts w:ascii="Arial" w:hAnsi="Arial" w:hint="eastAsia"/>
          <w:szCs w:val="21"/>
        </w:rPr>
        <w:t>（五）</w:t>
      </w:r>
      <w:r>
        <w:rPr>
          <w:rFonts w:ascii="Arial" w:hAnsi="Arial" w:cs="Arial" w:hint="eastAsia"/>
          <w:kern w:val="0"/>
          <w:szCs w:val="21"/>
        </w:rPr>
        <w:t>基金招募说明书、基金合同、基金托管协议、基金产品资料概要</w:t>
      </w:r>
    </w:p>
    <w:p w14:paraId="0D1E3C4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基金募集申请经中国证监会核准后，基金管理人应当在基金份额发售的</w:t>
      </w:r>
      <w:r>
        <w:rPr>
          <w:rFonts w:ascii="Arial" w:hAnsi="Arial" w:cs="Arial" w:hint="eastAsia"/>
          <w:kern w:val="0"/>
          <w:szCs w:val="21"/>
        </w:rPr>
        <w:t>3</w:t>
      </w:r>
      <w:r>
        <w:rPr>
          <w:rFonts w:ascii="Arial" w:hAnsi="Arial" w:cs="Arial" w:hint="eastAsia"/>
          <w:kern w:val="0"/>
          <w:szCs w:val="21"/>
        </w:rPr>
        <w:t>日前，将招募说明书、基金合同摘要登载在指定报刊和网站上；基金管理人、基金托管人应当将基金合同、基金托管协议登载在各自公司网站上。</w:t>
      </w:r>
    </w:p>
    <w:p w14:paraId="5BFBE9E7" w14:textId="4B07EC05"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6A4928E5" w14:textId="0E348A1E"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基金产品资料概要是基金招募说明书的摘要文件，用于向投资者提供简明的基金概要信息。《基金合同》生效后，基金产品资料概要的信息发生重大变更的，基金管理人应当在三</w:t>
      </w:r>
      <w:r>
        <w:rPr>
          <w:rFonts w:ascii="Arial" w:hAnsi="Arial" w:cs="Arial" w:hint="eastAsia"/>
          <w:kern w:val="0"/>
          <w:szCs w:val="21"/>
        </w:rPr>
        <w:lastRenderedPageBreak/>
        <w:t>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4AC45D7B" w14:textId="376F4CD8"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（六）基金份额发售公告</w:t>
      </w:r>
    </w:p>
    <w:p w14:paraId="6A431C3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基金管理人应当就基金份额发售的具体事宜编制基金份额发售公告，并在披露招募说明书的当日登载于指定报刊和网站上。</w:t>
      </w:r>
    </w:p>
    <w:p w14:paraId="2B9F20DC" w14:textId="43E3B8F6"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（七）基金合同生效公告</w:t>
      </w:r>
    </w:p>
    <w:p w14:paraId="12BC6374" w14:textId="0F0097D0"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基金管理人应当在基金合同生效的次日在指定媒介上登载基金合同生效公告。</w:t>
      </w:r>
    </w:p>
    <w:p w14:paraId="60401036" w14:textId="2A16214B"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（八）基金净值信息</w:t>
      </w:r>
    </w:p>
    <w:p w14:paraId="14BAD4DE" w14:textId="034B6BF5"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基金合同生效后，在开始办理基金份额申购或者赎回前，基金管理人应当至少每周在指定网站披露一次基金份额净值和基金份额累计净值。</w:t>
      </w:r>
    </w:p>
    <w:p w14:paraId="5E84F5AE" w14:textId="6BAE5DBA"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在开始办理基金份额申购或者赎回之后，基金管理人应当在不晚于每个开放日的次日，通过指定网站、销售机构网站或者营业网点披露开放日的基金份额净值和基金份额累计净值。</w:t>
      </w:r>
    </w:p>
    <w:p w14:paraId="2DD1F46C" w14:textId="3191537F"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基金管理人应当在不晚于半年度和年度最后一日的次日，在指定网站披露半年度和年度最后一日的基金份额净值和基金份额累计净值。</w:t>
      </w:r>
    </w:p>
    <w:p w14:paraId="6A9A8F66" w14:textId="2F3D04DB"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（九）定期报告</w:t>
      </w:r>
    </w:p>
    <w:p w14:paraId="467C36CA" w14:textId="52F0179B"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定期报告由基金管理人按照法律法规和中国证监会颁布的有关证券投资基金信息披露内容与格式的相关文件的规定单独编制，由基金托管人按照法律法规的规定对相关内容进行复核。基金定期报告，包括基金年度报告、基金中期报告和基金季度报告及更新的招募说明书。</w:t>
      </w:r>
    </w:p>
    <w:p w14:paraId="264EAB17" w14:textId="5F76F381"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年度报告：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330664AD" w14:textId="3CFB42DB"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、基金中期报告：基金管理人应当在上半年结束之日起两个月内，编制完成基金中期报告，将中期报告登载在指定网站上，并将中期报告提示性公告登载在指定报刊上。</w:t>
      </w:r>
    </w:p>
    <w:p w14:paraId="17511A17" w14:textId="7A60A429"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、基金季度报告：基金管理人应当在季度结束之日起</w:t>
      </w:r>
      <w:r>
        <w:rPr>
          <w:rFonts w:ascii="Arial" w:hAnsi="Arial" w:cs="Arial" w:hint="eastAsia"/>
          <w:kern w:val="0"/>
          <w:szCs w:val="21"/>
        </w:rPr>
        <w:t>15</w:t>
      </w:r>
      <w:r>
        <w:rPr>
          <w:rFonts w:ascii="Arial" w:hAnsi="Arial" w:cs="Arial" w:hint="eastAsia"/>
          <w:kern w:val="0"/>
          <w:szCs w:val="21"/>
        </w:rPr>
        <w:t>个工作日内，编制完成基金季度报告，将季度报告登载在指定网站上，并将季度报告提示性公告登载在指定报刊上。</w:t>
      </w:r>
    </w:p>
    <w:p w14:paraId="1D62A4A5" w14:textId="6886C156"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基金合同生效不足</w:t>
      </w:r>
      <w:r>
        <w:rPr>
          <w:rFonts w:ascii="Arial" w:hAnsi="Arial" w:cs="Arial" w:hint="eastAsia"/>
          <w:kern w:val="0"/>
          <w:szCs w:val="21"/>
        </w:rPr>
        <w:t>2</w:t>
      </w:r>
      <w:r>
        <w:rPr>
          <w:rFonts w:ascii="Arial" w:hAnsi="Arial" w:cs="Arial" w:hint="eastAsia"/>
          <w:kern w:val="0"/>
          <w:szCs w:val="21"/>
        </w:rPr>
        <w:t>个月的，基金管理人可以不编制当期季度报告、中期报告或者年度报告。</w:t>
      </w:r>
    </w:p>
    <w:p w14:paraId="6C5321E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法律法规或中国证监会另有规定的，从其规定。</w:t>
      </w:r>
    </w:p>
    <w:p w14:paraId="4C49BF6A" w14:textId="14B3F79B"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本基金持续运作过程中，应当在基金年度报告和中期报告中披露基金组合资产情况及其流动性风险分析等。</w:t>
      </w:r>
    </w:p>
    <w:p w14:paraId="44412D6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如报告期内出现单一投资者持有基金份额达到或超过基金总份额</w:t>
      </w:r>
      <w:r>
        <w:rPr>
          <w:rFonts w:ascii="Arial" w:hAnsi="Arial" w:cs="Arial" w:hint="eastAsia"/>
          <w:kern w:val="0"/>
          <w:szCs w:val="21"/>
        </w:rPr>
        <w:t>20%</w:t>
      </w:r>
      <w:r>
        <w:rPr>
          <w:rFonts w:ascii="Arial" w:hAnsi="Arial" w:cs="Arial" w:hint="eastAsia"/>
          <w:kern w:val="0"/>
          <w:szCs w:val="21"/>
        </w:rPr>
        <w:t>的情形，为保障</w:t>
      </w:r>
      <w:r>
        <w:rPr>
          <w:rFonts w:ascii="Arial" w:hAnsi="Arial" w:cs="Arial" w:hint="eastAsia"/>
          <w:kern w:val="0"/>
          <w:szCs w:val="21"/>
        </w:rPr>
        <w:lastRenderedPageBreak/>
        <w:t>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w:t>
      </w:r>
    </w:p>
    <w:p w14:paraId="1378D2B2" w14:textId="572EB658"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（十）临时报告与公告</w:t>
      </w:r>
    </w:p>
    <w:p w14:paraId="1D37A233" w14:textId="0ED355E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基金发生重大事件，有关信息披露义务人应当在两日内编制临时报告书，并登载在指定报刊和指定网站上。</w:t>
      </w:r>
    </w:p>
    <w:p w14:paraId="7A56467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前款所称重大事件，是指可能对基金份额持有人权益或者基金份额的价格产生重大影响的事件，包括：</w:t>
      </w:r>
    </w:p>
    <w:p w14:paraId="5AD9DEB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、基金份额持有人大会的召开及决定的事项；</w:t>
      </w:r>
    </w:p>
    <w:p w14:paraId="734278E2" w14:textId="5C93443A"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、《基金合同》终止、基金清算；</w:t>
      </w:r>
    </w:p>
    <w:p w14:paraId="582464D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、转换基金运作方式、基金合并；</w:t>
      </w:r>
    </w:p>
    <w:p w14:paraId="073D9E4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、更换基金管理人、基金托管人、基金份额登记机构，基金改聘会计师事务所；</w:t>
      </w:r>
    </w:p>
    <w:p w14:paraId="61EE6555" w14:textId="18AD3F96"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、基金管理人委托基金服务机构代为办理基金的份额登记、核算、估值等事项，基金托管人委托基金服务机构代为办理基金的核算、估值、复核等事项；</w:t>
      </w:r>
    </w:p>
    <w:p w14:paraId="11B24FA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、基金管理人、基金托管人的法定名称、住所发生变更；</w:t>
      </w:r>
    </w:p>
    <w:p w14:paraId="00A6E1D0" w14:textId="0E6F4FFB"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7</w:t>
      </w:r>
      <w:r>
        <w:rPr>
          <w:rFonts w:ascii="Arial" w:hAnsi="Arial" w:cs="Arial" w:hint="eastAsia"/>
          <w:kern w:val="0"/>
          <w:szCs w:val="21"/>
        </w:rPr>
        <w:t>、基金管理人变更持有百分之五以上股权的股东、基金管理人的实际控制人变更；</w:t>
      </w:r>
    </w:p>
    <w:p w14:paraId="10F197B1" w14:textId="66F9975F"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8</w:t>
      </w:r>
      <w:r>
        <w:rPr>
          <w:rFonts w:ascii="Arial" w:hAnsi="Arial" w:cs="Arial" w:hint="eastAsia"/>
          <w:kern w:val="0"/>
          <w:szCs w:val="21"/>
        </w:rPr>
        <w:t>、基金募集期延长或提前结束募集；</w:t>
      </w:r>
    </w:p>
    <w:p w14:paraId="1F551C89" w14:textId="41B60F36"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9</w:t>
      </w:r>
      <w:r>
        <w:rPr>
          <w:rFonts w:ascii="Arial" w:hAnsi="Arial" w:cs="Arial" w:hint="eastAsia"/>
          <w:kern w:val="0"/>
          <w:szCs w:val="21"/>
        </w:rPr>
        <w:t>、基金管理人的高级管理人员、基金经理和基金托管人专门基金托管部门负责人发生变动；</w:t>
      </w:r>
    </w:p>
    <w:p w14:paraId="1F346A9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10</w:t>
      </w:r>
      <w:r>
        <w:rPr>
          <w:rFonts w:ascii="Arial" w:hAnsi="Arial" w:cs="Arial" w:hint="eastAsia"/>
          <w:kern w:val="0"/>
          <w:szCs w:val="21"/>
        </w:rPr>
        <w:t>、基金管理人的董事在最近</w:t>
      </w:r>
      <w:r>
        <w:rPr>
          <w:rFonts w:ascii="Arial" w:hAnsi="Arial" w:cs="Arial" w:hint="eastAsia"/>
          <w:kern w:val="0"/>
          <w:szCs w:val="21"/>
        </w:rPr>
        <w:t>12</w:t>
      </w:r>
      <w:r>
        <w:rPr>
          <w:rFonts w:ascii="Arial" w:hAnsi="Arial" w:cs="Arial" w:hint="eastAsia"/>
          <w:kern w:val="0"/>
          <w:szCs w:val="21"/>
        </w:rPr>
        <w:t>个月内变更超过</w:t>
      </w:r>
      <w:r>
        <w:rPr>
          <w:rFonts w:ascii="Arial" w:hAnsi="Arial" w:cs="Arial" w:hint="eastAsia"/>
          <w:kern w:val="0"/>
          <w:szCs w:val="21"/>
        </w:rPr>
        <w:t>50%</w:t>
      </w:r>
      <w:r>
        <w:rPr>
          <w:rFonts w:ascii="Arial" w:hAnsi="Arial" w:cs="Arial" w:hint="eastAsia"/>
          <w:kern w:val="0"/>
          <w:szCs w:val="21"/>
        </w:rPr>
        <w:t>；</w:t>
      </w:r>
    </w:p>
    <w:p w14:paraId="38E997CE" w14:textId="00726044"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11</w:t>
      </w:r>
      <w:r>
        <w:rPr>
          <w:rFonts w:ascii="Arial" w:hAnsi="Arial" w:cs="Arial" w:hint="eastAsia"/>
          <w:kern w:val="0"/>
          <w:szCs w:val="21"/>
        </w:rPr>
        <w:t>、基金管理人、基金托管人专门基金托管部门的主要业务人员在最近</w:t>
      </w:r>
      <w:r>
        <w:rPr>
          <w:rFonts w:ascii="Arial" w:hAnsi="Arial" w:cs="Arial" w:hint="eastAsia"/>
          <w:kern w:val="0"/>
          <w:szCs w:val="21"/>
        </w:rPr>
        <w:t>12</w:t>
      </w:r>
      <w:r>
        <w:rPr>
          <w:rFonts w:ascii="Arial" w:hAnsi="Arial" w:cs="Arial" w:hint="eastAsia"/>
          <w:kern w:val="0"/>
          <w:szCs w:val="21"/>
        </w:rPr>
        <w:t>个月内变动超过</w:t>
      </w:r>
      <w:r>
        <w:rPr>
          <w:rFonts w:ascii="Arial" w:hAnsi="Arial" w:cs="Arial" w:hint="eastAsia"/>
          <w:kern w:val="0"/>
          <w:szCs w:val="21"/>
        </w:rPr>
        <w:t>30%</w:t>
      </w:r>
      <w:r>
        <w:rPr>
          <w:rFonts w:ascii="Arial" w:hAnsi="Arial" w:cs="Arial" w:hint="eastAsia"/>
          <w:kern w:val="0"/>
          <w:szCs w:val="21"/>
        </w:rPr>
        <w:t>；</w:t>
      </w:r>
    </w:p>
    <w:p w14:paraId="74718878" w14:textId="40B3A3DD"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12</w:t>
      </w:r>
      <w:r>
        <w:rPr>
          <w:rFonts w:ascii="Arial" w:hAnsi="Arial" w:cs="Arial" w:hint="eastAsia"/>
          <w:kern w:val="0"/>
          <w:szCs w:val="21"/>
        </w:rPr>
        <w:t>、涉及基金管理业务、基金财产、基金托管业务的诉讼或仲裁；</w:t>
      </w:r>
    </w:p>
    <w:p w14:paraId="45FAF244" w14:textId="43376203"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13</w:t>
      </w:r>
      <w:r>
        <w:rPr>
          <w:rFonts w:ascii="Arial" w:hAnsi="Arial" w:cs="Arial" w:hint="eastAsia"/>
          <w:kern w:val="0"/>
          <w:szCs w:val="21"/>
        </w:rPr>
        <w:t>、基金管理人或其高级管理人员、基金经理因基金管理业务相关行为受到重大行政处罚、刑事处罚，基金托管人或其专门基金托管部门负责人因基金托管业务相关行为受到重大行政处罚、刑事处罚；</w:t>
      </w:r>
    </w:p>
    <w:p w14:paraId="23915FF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14</w:t>
      </w:r>
      <w:r>
        <w:rPr>
          <w:rFonts w:ascii="Arial" w:hAnsi="Arial" w:cs="Arial" w:hint="eastAsia"/>
          <w:kern w:val="0"/>
          <w:szCs w:val="21"/>
        </w:rPr>
        <w:t>、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14:paraId="1B1ADA6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15</w:t>
      </w:r>
      <w:r>
        <w:rPr>
          <w:rFonts w:ascii="Arial" w:hAnsi="Arial" w:cs="Arial" w:hint="eastAsia"/>
          <w:kern w:val="0"/>
          <w:szCs w:val="21"/>
        </w:rPr>
        <w:t>、基金收益分配事项；</w:t>
      </w:r>
    </w:p>
    <w:p w14:paraId="70385A5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16</w:t>
      </w:r>
      <w:r>
        <w:rPr>
          <w:rFonts w:ascii="Arial" w:hAnsi="Arial" w:cs="Arial" w:hint="eastAsia"/>
          <w:kern w:val="0"/>
          <w:szCs w:val="21"/>
        </w:rPr>
        <w:t>、管理费、托管费、销售服务费、申购费、赎回费等费用计提标准、计提方式和费率发生变更；</w:t>
      </w:r>
    </w:p>
    <w:p w14:paraId="3CEE575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17</w:t>
      </w:r>
      <w:r>
        <w:rPr>
          <w:rFonts w:ascii="Arial" w:hAnsi="Arial" w:cs="Arial" w:hint="eastAsia"/>
          <w:kern w:val="0"/>
          <w:szCs w:val="21"/>
        </w:rPr>
        <w:t>、基金份额净值计价错误</w:t>
      </w:r>
      <w:proofErr w:type="gramStart"/>
      <w:r>
        <w:rPr>
          <w:rFonts w:ascii="Arial" w:hAnsi="Arial" w:cs="Arial" w:hint="eastAsia"/>
          <w:kern w:val="0"/>
          <w:szCs w:val="21"/>
        </w:rPr>
        <w:t>达基金</w:t>
      </w:r>
      <w:proofErr w:type="gramEnd"/>
      <w:r>
        <w:rPr>
          <w:rFonts w:ascii="Arial" w:hAnsi="Arial" w:cs="Arial" w:hint="eastAsia"/>
          <w:kern w:val="0"/>
          <w:szCs w:val="21"/>
        </w:rPr>
        <w:t>份额净值</w:t>
      </w:r>
      <w:r>
        <w:rPr>
          <w:rFonts w:ascii="Arial" w:hAnsi="Arial" w:cs="Arial" w:hint="eastAsia"/>
          <w:kern w:val="0"/>
          <w:szCs w:val="21"/>
        </w:rPr>
        <w:t>0.5%</w:t>
      </w:r>
      <w:r>
        <w:rPr>
          <w:rFonts w:ascii="Arial" w:hAnsi="Arial" w:cs="Arial" w:hint="eastAsia"/>
          <w:kern w:val="0"/>
          <w:szCs w:val="21"/>
        </w:rPr>
        <w:t>；</w:t>
      </w:r>
    </w:p>
    <w:p w14:paraId="043C625B" w14:textId="367DC1F6"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18</w:t>
      </w:r>
      <w:r>
        <w:rPr>
          <w:rFonts w:ascii="Arial" w:hAnsi="Arial" w:cs="Arial" w:hint="eastAsia"/>
          <w:kern w:val="0"/>
          <w:szCs w:val="21"/>
        </w:rPr>
        <w:t>、基金开始办理申购、赎回；</w:t>
      </w:r>
    </w:p>
    <w:p w14:paraId="61A6F009" w14:textId="40BBA06A"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19</w:t>
      </w:r>
      <w:r>
        <w:rPr>
          <w:rFonts w:ascii="Arial" w:hAnsi="Arial" w:cs="Arial" w:hint="eastAsia"/>
          <w:kern w:val="0"/>
          <w:szCs w:val="21"/>
        </w:rPr>
        <w:t>、基金发生巨额赎回并延期办理；</w:t>
      </w:r>
    </w:p>
    <w:p w14:paraId="5C537504" w14:textId="7905C976"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20</w:t>
      </w:r>
      <w:r>
        <w:rPr>
          <w:rFonts w:ascii="Arial" w:hAnsi="Arial" w:cs="Arial" w:hint="eastAsia"/>
          <w:kern w:val="0"/>
          <w:szCs w:val="21"/>
        </w:rPr>
        <w:t>、基金连续发生巨额赎回并暂停接受赎回申请或延缓支付赎回款项；</w:t>
      </w:r>
    </w:p>
    <w:p w14:paraId="08BCFBF0" w14:textId="45330775"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21</w:t>
      </w:r>
      <w:r>
        <w:rPr>
          <w:rFonts w:ascii="Arial" w:hAnsi="Arial" w:cs="Arial" w:hint="eastAsia"/>
          <w:kern w:val="0"/>
          <w:szCs w:val="21"/>
        </w:rPr>
        <w:t>、基金暂停接受申购、赎回申请或重新接受申购、赎回申请；</w:t>
      </w:r>
    </w:p>
    <w:p w14:paraId="5519E5BA" w14:textId="51B1DE0F"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22</w:t>
      </w:r>
      <w:r>
        <w:rPr>
          <w:rFonts w:ascii="Arial" w:hAnsi="Arial" w:cs="Arial" w:hint="eastAsia"/>
          <w:kern w:val="0"/>
          <w:szCs w:val="21"/>
        </w:rPr>
        <w:t>、基金份额持有人大会的决议；</w:t>
      </w:r>
    </w:p>
    <w:p w14:paraId="5D8EEB9B" w14:textId="2FA0B506"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23</w:t>
      </w:r>
      <w:r>
        <w:rPr>
          <w:rFonts w:ascii="Arial" w:hAnsi="Arial" w:cs="Arial" w:hint="eastAsia"/>
          <w:kern w:val="0"/>
          <w:szCs w:val="21"/>
        </w:rPr>
        <w:t>、发生涉及本基金申购、赎回事项调整或潜在影响投资者赎回等重大事项时；</w:t>
      </w:r>
    </w:p>
    <w:p w14:paraId="4EF18DBF" w14:textId="0ECBB4F5"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24</w:t>
      </w:r>
      <w:r>
        <w:rPr>
          <w:rFonts w:ascii="Arial" w:hAnsi="Arial" w:cs="Arial" w:hint="eastAsia"/>
          <w:kern w:val="0"/>
          <w:szCs w:val="21"/>
        </w:rPr>
        <w:t>、基金信息披露义务人认为可能对基金份额持有人权益或者基金份额的价格产生重大影响的其他事项或中国证监会规定的其他事项。</w:t>
      </w:r>
    </w:p>
    <w:p w14:paraId="23D7BC91" w14:textId="37E9DC44"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（十一）公开澄清</w:t>
      </w:r>
    </w:p>
    <w:p w14:paraId="2669DAE6" w14:textId="21B3FE90"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基金合同期限内，任何公共媒介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14:paraId="45FF6353" w14:textId="11399655"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（十二）清算报告</w:t>
      </w:r>
    </w:p>
    <w:p w14:paraId="719242B6" w14:textId="6949014F"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基金终止运作的，基金管理人应当依法组织基金财产清算小组对基金财产进行清算并</w:t>
      </w:r>
      <w:proofErr w:type="gramStart"/>
      <w:r>
        <w:rPr>
          <w:rFonts w:ascii="Arial" w:hAnsi="Arial" w:cs="Arial" w:hint="eastAsia"/>
          <w:kern w:val="0"/>
          <w:szCs w:val="21"/>
        </w:rPr>
        <w:t>作出</w:t>
      </w:r>
      <w:proofErr w:type="gramEnd"/>
      <w:r>
        <w:rPr>
          <w:rFonts w:ascii="Arial" w:hAnsi="Arial" w:cs="Arial" w:hint="eastAsia"/>
          <w:kern w:val="0"/>
          <w:szCs w:val="21"/>
        </w:rPr>
        <w:t>清算报告。基金财产清算小组应当将清算报告登载在指定网站上，并将清算报告提示性公告登载在指定报刊上。</w:t>
      </w:r>
    </w:p>
    <w:p w14:paraId="13163EF9" w14:textId="30C42A03"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（十三）信息披露文件的存放与查阅</w:t>
      </w:r>
    </w:p>
    <w:p w14:paraId="577A9DDD" w14:textId="0ED87274"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依法必须披露的信息发布后，基金管理人、基金托管人应当按照相关法律法规规定将信息置备于各自住所，供社会公众查阅、复制。</w:t>
      </w:r>
    </w:p>
    <w:p w14:paraId="16070519" w14:textId="77777777" w:rsidR="00ED45CB" w:rsidRDefault="00703CCA">
      <w:pPr>
        <w:spacing w:line="360" w:lineRule="auto"/>
        <w:ind w:firstLineChars="200" w:firstLine="420"/>
        <w:rPr>
          <w:bCs/>
          <w:sz w:val="24"/>
        </w:rPr>
      </w:pPr>
      <w:r>
        <w:rPr>
          <w:rFonts w:ascii="Arial" w:hAnsi="Arial" w:hint="eastAsia"/>
          <w:kern w:val="0"/>
          <w:szCs w:val="21"/>
        </w:rPr>
        <w:t>（十四）</w:t>
      </w:r>
      <w:r>
        <w:rPr>
          <w:bCs/>
          <w:sz w:val="24"/>
        </w:rPr>
        <w:t>信息披露事务管理</w:t>
      </w:r>
    </w:p>
    <w:p w14:paraId="265B5372" w14:textId="77777777" w:rsidR="00ED45CB" w:rsidRDefault="00703CCA">
      <w:pPr>
        <w:spacing w:line="360" w:lineRule="auto"/>
        <w:ind w:firstLineChars="200" w:firstLine="480"/>
        <w:rPr>
          <w:bCs/>
          <w:sz w:val="24"/>
        </w:rPr>
      </w:pPr>
      <w:r>
        <w:rPr>
          <w:bCs/>
          <w:sz w:val="24"/>
        </w:rPr>
        <w:t>基金管理人、基金托管人应当建立健全信息披露管理制度，指定</w:t>
      </w:r>
      <w:r>
        <w:rPr>
          <w:rFonts w:hint="eastAsia"/>
          <w:bCs/>
          <w:sz w:val="24"/>
        </w:rPr>
        <w:t>专门部门及高级管理人员</w:t>
      </w:r>
      <w:r>
        <w:rPr>
          <w:bCs/>
          <w:sz w:val="24"/>
        </w:rPr>
        <w:t>负责管理信息披露事务。</w:t>
      </w:r>
    </w:p>
    <w:p w14:paraId="189CFB35" w14:textId="77777777" w:rsidR="00ED45CB" w:rsidRDefault="00703CCA">
      <w:pPr>
        <w:spacing w:line="360" w:lineRule="auto"/>
        <w:ind w:firstLineChars="200" w:firstLine="480"/>
        <w:rPr>
          <w:bCs/>
          <w:sz w:val="24"/>
        </w:rPr>
      </w:pPr>
      <w:r>
        <w:rPr>
          <w:bCs/>
          <w:sz w:val="24"/>
        </w:rPr>
        <w:t>基金信息披露义务人公开披露基金信息，应当符合中国证监会相关基金信息披露内容与格式准则</w:t>
      </w:r>
      <w:r>
        <w:rPr>
          <w:rFonts w:hint="eastAsia"/>
          <w:bCs/>
          <w:sz w:val="24"/>
        </w:rPr>
        <w:t>等法律法规</w:t>
      </w:r>
      <w:r>
        <w:rPr>
          <w:bCs/>
          <w:sz w:val="24"/>
        </w:rPr>
        <w:t>规定。</w:t>
      </w:r>
    </w:p>
    <w:p w14:paraId="595DDBF8" w14:textId="77777777" w:rsidR="00ED45CB" w:rsidRDefault="00703CCA">
      <w:pPr>
        <w:spacing w:line="360" w:lineRule="auto"/>
        <w:ind w:firstLineChars="200" w:firstLine="480"/>
        <w:rPr>
          <w:bCs/>
          <w:sz w:val="24"/>
        </w:rPr>
      </w:pPr>
      <w:r>
        <w:rPr>
          <w:bCs/>
          <w:sz w:val="24"/>
        </w:rPr>
        <w:t>基金托管人应当按照相关法律法规、中国证监会的规定和《基金合同》的约定，对基金管理人编制的基金资产净值、</w:t>
      </w:r>
      <w:r>
        <w:rPr>
          <w:rFonts w:hint="eastAsia"/>
          <w:bCs/>
          <w:sz w:val="24"/>
        </w:rPr>
        <w:t>各类</w:t>
      </w:r>
      <w:r>
        <w:rPr>
          <w:bCs/>
          <w:sz w:val="24"/>
        </w:rPr>
        <w:t>基金份额净值、基金份额申购赎回价格、基金定期报告</w:t>
      </w:r>
      <w:r>
        <w:rPr>
          <w:rFonts w:hint="eastAsia"/>
          <w:bCs/>
          <w:sz w:val="24"/>
        </w:rPr>
        <w:t>、</w:t>
      </w:r>
      <w:r>
        <w:rPr>
          <w:bCs/>
          <w:sz w:val="24"/>
        </w:rPr>
        <w:t>更新的招募说明书</w:t>
      </w:r>
      <w:r>
        <w:rPr>
          <w:rFonts w:hint="eastAsia"/>
          <w:bCs/>
          <w:sz w:val="24"/>
        </w:rPr>
        <w:t>、基金产品资料概要、基金清算报告</w:t>
      </w:r>
      <w:r>
        <w:rPr>
          <w:bCs/>
          <w:sz w:val="24"/>
        </w:rPr>
        <w:t>等相关基金信息进行复核、审查，并向基金管理人</w:t>
      </w:r>
      <w:r>
        <w:rPr>
          <w:rFonts w:hint="eastAsia"/>
          <w:bCs/>
          <w:sz w:val="24"/>
        </w:rPr>
        <w:t>进行书面或电子确认</w:t>
      </w:r>
      <w:r>
        <w:rPr>
          <w:bCs/>
          <w:sz w:val="24"/>
        </w:rPr>
        <w:t>。</w:t>
      </w:r>
    </w:p>
    <w:p w14:paraId="00CCB062" w14:textId="77777777" w:rsidR="00ED45CB" w:rsidRDefault="00703CCA">
      <w:pPr>
        <w:spacing w:line="360" w:lineRule="auto"/>
        <w:ind w:firstLineChars="200" w:firstLine="480"/>
        <w:rPr>
          <w:bCs/>
          <w:sz w:val="24"/>
        </w:rPr>
      </w:pPr>
      <w:r>
        <w:rPr>
          <w:bCs/>
          <w:sz w:val="24"/>
        </w:rPr>
        <w:t>基金管理人、基金托管人应当在指定</w:t>
      </w:r>
      <w:r>
        <w:rPr>
          <w:rFonts w:hint="eastAsia"/>
          <w:bCs/>
          <w:sz w:val="24"/>
        </w:rPr>
        <w:t>报刊</w:t>
      </w:r>
      <w:r>
        <w:rPr>
          <w:bCs/>
          <w:sz w:val="24"/>
        </w:rPr>
        <w:t>中选择</w:t>
      </w:r>
      <w:r>
        <w:rPr>
          <w:rFonts w:hint="eastAsia"/>
          <w:bCs/>
          <w:sz w:val="24"/>
        </w:rPr>
        <w:t>一家报刊</w:t>
      </w:r>
      <w:r>
        <w:rPr>
          <w:bCs/>
          <w:sz w:val="24"/>
        </w:rPr>
        <w:t>披露</w:t>
      </w:r>
      <w:r>
        <w:rPr>
          <w:rFonts w:hint="eastAsia"/>
          <w:bCs/>
          <w:sz w:val="24"/>
        </w:rPr>
        <w:t>本基金</w:t>
      </w:r>
      <w:r>
        <w:rPr>
          <w:bCs/>
          <w:sz w:val="24"/>
        </w:rPr>
        <w:t>信息。</w:t>
      </w:r>
    </w:p>
    <w:p w14:paraId="479759AC" w14:textId="77777777" w:rsidR="00ED45CB" w:rsidRDefault="00703CCA">
      <w:pPr>
        <w:spacing w:line="360" w:lineRule="auto"/>
        <w:ind w:firstLineChars="200" w:firstLine="480"/>
        <w:rPr>
          <w:bCs/>
          <w:sz w:val="24"/>
        </w:rPr>
      </w:pPr>
      <w:r>
        <w:rPr>
          <w:rFonts w:hint="eastAsia"/>
          <w:bCs/>
          <w:sz w:val="24"/>
        </w:rPr>
        <w:t>基金管理人、基金托管人应当向中国证监会基金电子披露网站报送拟披露的基金信息，并保证相关报送信息的真实、准确、完整、及时。</w:t>
      </w:r>
    </w:p>
    <w:p w14:paraId="1457EC90" w14:textId="77777777" w:rsidR="00ED45CB" w:rsidRDefault="00703CCA">
      <w:pPr>
        <w:spacing w:line="360" w:lineRule="auto"/>
        <w:ind w:firstLineChars="200" w:firstLine="480"/>
        <w:rPr>
          <w:bCs/>
          <w:sz w:val="24"/>
        </w:rPr>
      </w:pPr>
      <w:r>
        <w:rPr>
          <w:bCs/>
          <w:sz w:val="24"/>
        </w:rPr>
        <w:t>基金管理人、基金托管人除依法在指定</w:t>
      </w:r>
      <w:r>
        <w:rPr>
          <w:rFonts w:hint="eastAsia"/>
          <w:bCs/>
          <w:sz w:val="24"/>
        </w:rPr>
        <w:t>媒介</w:t>
      </w:r>
      <w:r>
        <w:rPr>
          <w:bCs/>
          <w:sz w:val="24"/>
        </w:rPr>
        <w:t>上披露信息外，还可以根据需要在其他公共媒介披露信息，但是其他公共媒介不得早于指定</w:t>
      </w:r>
      <w:r>
        <w:rPr>
          <w:rFonts w:hint="eastAsia"/>
          <w:bCs/>
          <w:sz w:val="24"/>
        </w:rPr>
        <w:t>媒介</w:t>
      </w:r>
      <w:r>
        <w:rPr>
          <w:bCs/>
          <w:sz w:val="24"/>
        </w:rPr>
        <w:t>披露信息，并且</w:t>
      </w:r>
      <w:r>
        <w:rPr>
          <w:bCs/>
          <w:sz w:val="24"/>
        </w:rPr>
        <w:lastRenderedPageBreak/>
        <w:t>在不同媒介上披露同一信息的内容应当一致。</w:t>
      </w:r>
    </w:p>
    <w:p w14:paraId="0C1AFD6C" w14:textId="77777777" w:rsidR="00ED45CB" w:rsidRDefault="00703CCA">
      <w:pPr>
        <w:spacing w:line="360" w:lineRule="auto"/>
        <w:ind w:firstLineChars="200" w:firstLine="480"/>
        <w:rPr>
          <w:bCs/>
          <w:sz w:val="24"/>
        </w:rPr>
      </w:pPr>
      <w:r>
        <w:rPr>
          <w:bCs/>
          <w:sz w:val="24"/>
        </w:rPr>
        <w:t>为基金信息披露义务人公开披露的基金信息出具审计报告、法律意见书的专业机构，应当制作工作底稿，并将相关档案至少保存到《基金合同》终止后</w:t>
      </w:r>
      <w:r>
        <w:rPr>
          <w:rFonts w:hint="eastAsia"/>
          <w:bCs/>
          <w:sz w:val="24"/>
        </w:rPr>
        <w:t>10</w:t>
      </w:r>
      <w:r>
        <w:rPr>
          <w:bCs/>
          <w:sz w:val="24"/>
        </w:rPr>
        <w:t>年。</w:t>
      </w:r>
    </w:p>
    <w:p w14:paraId="0278D90D" w14:textId="77777777" w:rsidR="00ED45CB" w:rsidRDefault="00703CCA">
      <w:pPr>
        <w:spacing w:line="360" w:lineRule="auto"/>
        <w:ind w:firstLineChars="200" w:firstLine="480"/>
        <w:rPr>
          <w:bCs/>
          <w:sz w:val="24"/>
        </w:rPr>
      </w:pPr>
      <w:r>
        <w:rPr>
          <w:bCs/>
          <w:sz w:val="24"/>
        </w:rPr>
        <w:t>基金管理人、基金托管人除按法律法规要求披露信息外，也可着眼于为投资者决策提供有用信息的角度，在保证公平对待投资者、</w:t>
      </w:r>
      <w:proofErr w:type="gramStart"/>
      <w:r>
        <w:rPr>
          <w:bCs/>
          <w:sz w:val="24"/>
        </w:rPr>
        <w:t>不</w:t>
      </w:r>
      <w:proofErr w:type="gramEnd"/>
      <w:r>
        <w:rPr>
          <w:bCs/>
          <w:sz w:val="24"/>
        </w:rPr>
        <w:t>误导投资者、不影响基金正常投资操作的前提下，自主提升信息披露服务的质量。具体要求应当符合中国证监会及自律规则的相关规定。前述自主披露如产生信息披露费用，该费用不得从基金财产中列支。</w:t>
      </w:r>
    </w:p>
    <w:p w14:paraId="712B7FC4" w14:textId="20AB901A" w:rsidR="00ED45CB" w:rsidRDefault="00ED45CB">
      <w:pPr>
        <w:adjustRightInd w:val="0"/>
        <w:snapToGrid w:val="0"/>
        <w:spacing w:line="360" w:lineRule="auto"/>
        <w:ind w:firstLineChars="200" w:firstLine="420"/>
        <w:rPr>
          <w:rFonts w:ascii="宋体" w:hAnsi="宋体"/>
          <w:kern w:val="0"/>
          <w:szCs w:val="21"/>
        </w:rPr>
      </w:pPr>
    </w:p>
    <w:p w14:paraId="2CD17D50" w14:textId="77777777" w:rsidR="00ED45CB" w:rsidRDefault="00703CCA">
      <w:pPr>
        <w:spacing w:before="100" w:beforeAutospacing="1" w:after="100" w:afterAutospacing="1" w:line="400" w:lineRule="exact"/>
        <w:ind w:firstLine="420"/>
        <w:rPr>
          <w:rFonts w:ascii="宋体" w:hAnsi="宋体"/>
          <w:kern w:val="0"/>
          <w:szCs w:val="21"/>
        </w:rPr>
      </w:pPr>
      <w:r>
        <w:rPr>
          <w:rFonts w:ascii="宋体" w:hAnsi="宋体"/>
          <w:kern w:val="0"/>
          <w:szCs w:val="21"/>
        </w:rPr>
        <w:br w:type="page"/>
      </w:r>
    </w:p>
    <w:p w14:paraId="7BC1413F"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76" w:name="_Toc344308282"/>
      <w:r>
        <w:rPr>
          <w:rFonts w:ascii="宋体" w:eastAsia="宋体" w:hAnsi="宋体" w:hint="eastAsia"/>
          <w:sz w:val="24"/>
          <w:szCs w:val="24"/>
        </w:rPr>
        <w:t>二十二  基金的业务规则</w:t>
      </w:r>
      <w:bookmarkEnd w:id="76"/>
    </w:p>
    <w:p w14:paraId="3FF1104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基金份额持有人应遵守基金托管人、基金管理人及其代理销售机构和注册登记机构的相关交易及业务规则。</w:t>
      </w:r>
    </w:p>
    <w:p w14:paraId="1E09B647" w14:textId="77777777" w:rsidR="00ED45CB" w:rsidRDefault="00703CCA">
      <w:pPr>
        <w:spacing w:before="100" w:beforeAutospacing="1" w:after="100" w:afterAutospacing="1" w:line="400" w:lineRule="exact"/>
        <w:ind w:firstLine="420"/>
        <w:rPr>
          <w:rFonts w:ascii="宋体" w:hAnsi="宋体"/>
          <w:kern w:val="0"/>
          <w:szCs w:val="21"/>
        </w:rPr>
      </w:pPr>
      <w:r>
        <w:rPr>
          <w:rFonts w:ascii="宋体" w:hAnsi="宋体"/>
          <w:kern w:val="0"/>
          <w:szCs w:val="21"/>
        </w:rPr>
        <w:br w:type="page"/>
      </w:r>
    </w:p>
    <w:p w14:paraId="75A296C2"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77" w:name="_Toc122336560"/>
      <w:bookmarkStart w:id="78" w:name="_Toc88037856"/>
      <w:bookmarkStart w:id="79" w:name="_Toc344308283"/>
      <w:bookmarkStart w:id="80" w:name="OLE_LINK2"/>
      <w:r>
        <w:rPr>
          <w:rFonts w:ascii="宋体" w:eastAsia="宋体" w:hAnsi="宋体" w:hint="eastAsia"/>
          <w:sz w:val="24"/>
          <w:szCs w:val="24"/>
        </w:rPr>
        <w:t>二十三、基金合同的变更、终止与基金财产的清算</w:t>
      </w:r>
      <w:bookmarkEnd w:id="77"/>
      <w:bookmarkEnd w:id="78"/>
      <w:bookmarkEnd w:id="79"/>
    </w:p>
    <w:p w14:paraId="797E8FE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（一）基金合同的变更</w:t>
      </w:r>
    </w:p>
    <w:p w14:paraId="0764764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、变更基金合同涉及法律法规规定或本合同约定应经基金份额持有人大会决议通过的事项的，应召</w:t>
      </w:r>
      <w:proofErr w:type="gramStart"/>
      <w:r>
        <w:rPr>
          <w:rFonts w:ascii="Arial" w:hAnsi="Arial" w:cs="Arial" w:hint="eastAsia"/>
          <w:kern w:val="0"/>
          <w:szCs w:val="21"/>
        </w:rPr>
        <w:t>开基金</w:t>
      </w:r>
      <w:proofErr w:type="gramEnd"/>
      <w:r>
        <w:rPr>
          <w:rFonts w:ascii="Arial" w:hAnsi="Arial" w:cs="Arial" w:hint="eastAsia"/>
          <w:kern w:val="0"/>
          <w:szCs w:val="21"/>
        </w:rPr>
        <w:t>份额持有人大会决议通过。</w:t>
      </w:r>
    </w:p>
    <w:p w14:paraId="3419588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、变更基金合同的基金份额持有人大会决议应报中国证监会核准或备案，并自中国证监会核准或出具无异议意见之日起生效。</w:t>
      </w:r>
    </w:p>
    <w:p w14:paraId="4B6626B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、但如</w:t>
      </w:r>
      <w:proofErr w:type="gramStart"/>
      <w:r>
        <w:rPr>
          <w:rFonts w:ascii="Arial" w:hAnsi="Arial" w:cs="Arial" w:hint="eastAsia"/>
          <w:kern w:val="0"/>
          <w:szCs w:val="21"/>
        </w:rPr>
        <w:t>因相应</w:t>
      </w:r>
      <w:proofErr w:type="gramEnd"/>
      <w:r>
        <w:rPr>
          <w:rFonts w:ascii="Arial" w:hAnsi="Arial" w:cs="Arial" w:hint="eastAsia"/>
          <w:kern w:val="0"/>
          <w:szCs w:val="21"/>
        </w:rPr>
        <w:t>的法律法规发生变动并属于本基金合同必须遵照进行修改的情形，或者基金合同的修改不涉及本基金合同当事人权利义务关系发生变化或对基金份额持有人利益无实质性不利影响的，可不经基金份额持有人大会决议，而经基金管理人和基金托管人同意修改后公布，并报中国证监会备案。</w:t>
      </w:r>
    </w:p>
    <w:p w14:paraId="28E8BF2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（二）基金合同的终止</w:t>
      </w:r>
    </w:p>
    <w:p w14:paraId="03FA389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有下列情形之一的，本基金合同应当终止：</w:t>
      </w:r>
    </w:p>
    <w:p w14:paraId="315A21F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、基金份额持有人大会决定终止；</w:t>
      </w:r>
    </w:p>
    <w:p w14:paraId="69D5FF8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、因重大违法、违规行为，被中国证监会责令终止的；</w:t>
      </w:r>
    </w:p>
    <w:p w14:paraId="51B804F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、基金管理人、基金托管人职责终止，在六个月内没有新基金管理人、基金托管人承接的；</w:t>
      </w:r>
    </w:p>
    <w:p w14:paraId="1BA2DF9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、法律法规和基金合同规定的其他情形。</w:t>
      </w:r>
    </w:p>
    <w:p w14:paraId="5269046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基金合同终止后，基金管理人和基金托管人有权依照《基金法》、《运作办法》、《销售办法》、基金合同及其他有关法律法规的规定，行使请求给付报酬、从基金财产中获得补偿的权利。</w:t>
      </w:r>
    </w:p>
    <w:p w14:paraId="21DB3EC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（三）基金财产的清算</w:t>
      </w:r>
    </w:p>
    <w:p w14:paraId="73055F0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、基金合同终止，基金管理人应当按法律法规和本基金合同的有关规定组织清算组对基金财产进行清算。</w:t>
      </w:r>
    </w:p>
    <w:p w14:paraId="301C0CA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、基金财产清算组</w:t>
      </w:r>
    </w:p>
    <w:p w14:paraId="3F1E2C9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）自基金合同终止事由之日起</w:t>
      </w:r>
      <w:r>
        <w:rPr>
          <w:rFonts w:ascii="Arial" w:hAnsi="Arial" w:cs="Arial" w:hint="eastAsia"/>
          <w:kern w:val="0"/>
          <w:szCs w:val="21"/>
        </w:rPr>
        <w:t>30</w:t>
      </w:r>
      <w:r>
        <w:rPr>
          <w:rFonts w:ascii="Arial" w:hAnsi="Arial" w:cs="Arial" w:hint="eastAsia"/>
          <w:kern w:val="0"/>
          <w:szCs w:val="21"/>
        </w:rPr>
        <w:t>个工作日内由基金管理人组织成立基金财产清算组，在基金财产清算组接管基金财产之前，基金管理人和基金托管人应按照基金合同和托管协议的规定继续履行保护基金财产安全的职责。</w:t>
      </w:r>
    </w:p>
    <w:p w14:paraId="03A2B45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）基金财产清算组成员由基金管理人、基金托管人、具有从事证券、期货相关业务资格的注册会计师、律师以及中国证监会指定的人员组成。基金财产清算组可以聘用必要的工作人员。</w:t>
      </w:r>
    </w:p>
    <w:p w14:paraId="13EC582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）基金财产清算组负责基金财产的保管、清理、估价、变现和分配。基金财产清算组可以依法进行必要的民事活动。</w:t>
      </w:r>
    </w:p>
    <w:p w14:paraId="6CFD8F2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3</w:t>
      </w:r>
      <w:r>
        <w:rPr>
          <w:rFonts w:ascii="Arial" w:hAnsi="Arial" w:cs="Arial" w:hint="eastAsia"/>
          <w:kern w:val="0"/>
          <w:szCs w:val="21"/>
        </w:rPr>
        <w:t>、清算程序</w:t>
      </w:r>
    </w:p>
    <w:p w14:paraId="5669A89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）基金合同终止情形发生后，由基金财产清算组统一接管基金财产；</w:t>
      </w:r>
    </w:p>
    <w:p w14:paraId="2E76094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）基金财产清算组根据基金财产的情况确定清算期限；</w:t>
      </w:r>
    </w:p>
    <w:p w14:paraId="014E501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）基金财产清算组对基金财产进行清理和确认；</w:t>
      </w:r>
    </w:p>
    <w:p w14:paraId="3462784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）对基金财产进行评估和变现；</w:t>
      </w:r>
    </w:p>
    <w:p w14:paraId="40AC853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）制作清算报告；</w:t>
      </w:r>
    </w:p>
    <w:p w14:paraId="35809E3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）聘请会计师事务所对清算报告进行外部审计，聘请律师事务所对清算报告出具法律意见书；</w:t>
      </w:r>
    </w:p>
    <w:p w14:paraId="22434BF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）将清算报告报中国证监会备案并公告；</w:t>
      </w:r>
    </w:p>
    <w:p w14:paraId="0AC56F3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）对基金财产进行分配。</w:t>
      </w:r>
    </w:p>
    <w:p w14:paraId="534749F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、清算费用</w:t>
      </w:r>
    </w:p>
    <w:p w14:paraId="70ED9E8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清算费用是指基金财产清算组在进行基金清算过程中发生的所有合理费用，清算费用由基金财产清算组优先从基金财产中支付。</w:t>
      </w:r>
    </w:p>
    <w:p w14:paraId="66E6E54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、基金剩余财产的分配</w:t>
      </w:r>
    </w:p>
    <w:p w14:paraId="42F5A43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基金财产按下列顺序清偿：</w:t>
      </w:r>
    </w:p>
    <w:p w14:paraId="64A89A6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）支付清算费用；</w:t>
      </w:r>
    </w:p>
    <w:p w14:paraId="333860D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）交纳所欠税款；</w:t>
      </w:r>
    </w:p>
    <w:p w14:paraId="14E923B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）清偿基金债务；</w:t>
      </w:r>
    </w:p>
    <w:p w14:paraId="4F0C72C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）按基金份额持有人持有的基金份额比例进行分配。</w:t>
      </w:r>
    </w:p>
    <w:p w14:paraId="2B9D39A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基金财产未按前款（</w:t>
      </w:r>
      <w:r>
        <w:rPr>
          <w:rFonts w:ascii="Arial" w:hAnsi="Arial" w:cs="Arial" w:hint="eastAsia"/>
          <w:kern w:val="0"/>
          <w:szCs w:val="21"/>
        </w:rPr>
        <w:t>1</w:t>
      </w: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）项规定清偿前，不分配给基金份额持有人。</w:t>
      </w:r>
    </w:p>
    <w:p w14:paraId="49BA90D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对于基金缴存于中国证券登记结算有限责任公司的最低结算备付金和交易席位保证金等，在中国证券登记结算有限责任公司对其进行调整后方可收回。</w:t>
      </w:r>
    </w:p>
    <w:p w14:paraId="15527C2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、基金财产清算的公告</w:t>
      </w:r>
    </w:p>
    <w:p w14:paraId="18713F3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基金财产清算</w:t>
      </w:r>
      <w:proofErr w:type="gramStart"/>
      <w:r>
        <w:rPr>
          <w:rFonts w:ascii="Arial" w:hAnsi="Arial" w:cs="Arial" w:hint="eastAsia"/>
          <w:kern w:val="0"/>
          <w:szCs w:val="21"/>
        </w:rPr>
        <w:t>组做出</w:t>
      </w:r>
      <w:proofErr w:type="gramEnd"/>
      <w:r>
        <w:rPr>
          <w:rFonts w:ascii="Arial" w:hAnsi="Arial" w:cs="Arial" w:hint="eastAsia"/>
          <w:kern w:val="0"/>
          <w:szCs w:val="21"/>
        </w:rPr>
        <w:t>的清算报告经具有证券、期货相关业务资格的会计师事务所审计，律师事务所出具法律意见书后，报中国证监会备案并公告，基金财产清算小组应当将清算报告登载在指定网站上，并将清算报告提示性公告登载在指定报刊上。</w:t>
      </w:r>
    </w:p>
    <w:p w14:paraId="4B937F38" w14:textId="77777777" w:rsidR="00ED45CB" w:rsidRDefault="00703CCA">
      <w:pPr>
        <w:adjustRightInd w:val="0"/>
        <w:snapToGrid w:val="0"/>
        <w:spacing w:line="360" w:lineRule="auto"/>
        <w:ind w:firstLineChars="200" w:firstLine="420"/>
        <w:rPr>
          <w:rFonts w:ascii="宋体" w:hAnsi="宋体"/>
          <w:color w:val="000000"/>
          <w:kern w:val="0"/>
          <w:szCs w:val="21"/>
        </w:rPr>
      </w:pPr>
      <w:r>
        <w:rPr>
          <w:rFonts w:ascii="Arial" w:hAnsi="Arial" w:cs="Arial" w:hint="eastAsia"/>
          <w:kern w:val="0"/>
          <w:szCs w:val="21"/>
        </w:rPr>
        <w:t>7</w:t>
      </w:r>
      <w:r>
        <w:rPr>
          <w:rFonts w:ascii="Arial" w:hAnsi="Arial" w:cs="Arial" w:hint="eastAsia"/>
          <w:kern w:val="0"/>
          <w:szCs w:val="21"/>
        </w:rPr>
        <w:t>、基金财产清算账册及文件由基金托管人保存</w:t>
      </w:r>
      <w:r>
        <w:rPr>
          <w:rFonts w:ascii="Arial" w:hAnsi="Arial" w:cs="Arial" w:hint="eastAsia"/>
          <w:kern w:val="0"/>
          <w:szCs w:val="21"/>
        </w:rPr>
        <w:t>15</w:t>
      </w:r>
      <w:r>
        <w:rPr>
          <w:rFonts w:ascii="Arial" w:hAnsi="Arial" w:cs="Arial" w:hint="eastAsia"/>
          <w:kern w:val="0"/>
          <w:szCs w:val="21"/>
        </w:rPr>
        <w:t>年以上。</w:t>
      </w:r>
    </w:p>
    <w:p w14:paraId="74845770" w14:textId="77777777" w:rsidR="00ED45CB" w:rsidRDefault="00703CCA">
      <w:pPr>
        <w:spacing w:before="100" w:beforeAutospacing="1" w:after="100" w:afterAutospacing="1" w:line="400" w:lineRule="exact"/>
        <w:ind w:firstLine="420"/>
        <w:rPr>
          <w:rFonts w:ascii="宋体" w:hAnsi="宋体"/>
          <w:color w:val="FF0000"/>
          <w:kern w:val="0"/>
          <w:szCs w:val="21"/>
        </w:rPr>
      </w:pPr>
      <w:r>
        <w:rPr>
          <w:rFonts w:ascii="宋体" w:hAnsi="宋体"/>
          <w:color w:val="FF0000"/>
          <w:kern w:val="0"/>
          <w:szCs w:val="21"/>
        </w:rPr>
        <w:br w:type="page"/>
      </w:r>
    </w:p>
    <w:p w14:paraId="141B6A90" w14:textId="77777777" w:rsidR="00ED45CB" w:rsidRDefault="00703CCA">
      <w:pPr>
        <w:pStyle w:val="2"/>
        <w:spacing w:before="100" w:beforeAutospacing="1" w:after="100" w:afterAutospacing="1" w:line="400" w:lineRule="exact"/>
        <w:jc w:val="center"/>
        <w:rPr>
          <w:rFonts w:ascii="宋体" w:eastAsia="宋体" w:hAnsi="宋体"/>
          <w:kern w:val="0"/>
          <w:sz w:val="21"/>
          <w:szCs w:val="21"/>
        </w:rPr>
      </w:pPr>
      <w:bookmarkStart w:id="81" w:name="_Toc88037857"/>
      <w:bookmarkStart w:id="82" w:name="_Toc122336561"/>
      <w:bookmarkStart w:id="83" w:name="_Toc344308284"/>
      <w:r>
        <w:rPr>
          <w:rFonts w:ascii="宋体" w:eastAsia="宋体" w:hAnsi="宋体" w:hint="eastAsia"/>
          <w:sz w:val="24"/>
          <w:szCs w:val="24"/>
        </w:rPr>
        <w:t>二十四、</w:t>
      </w:r>
      <w:bookmarkStart w:id="84" w:name="_Toc88037858"/>
      <w:bookmarkEnd w:id="81"/>
      <w:r>
        <w:rPr>
          <w:rFonts w:ascii="宋体" w:eastAsia="宋体" w:hAnsi="宋体" w:hint="eastAsia"/>
          <w:sz w:val="24"/>
          <w:szCs w:val="24"/>
        </w:rPr>
        <w:t>违约责任</w:t>
      </w:r>
      <w:bookmarkEnd w:id="82"/>
      <w:bookmarkEnd w:id="83"/>
      <w:bookmarkEnd w:id="84"/>
    </w:p>
    <w:p w14:paraId="7AD3C7F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（一）因基金管理人或基金托管人违约给基金财产或者基金份额持有人造成损害的，应当分别对各自的行为依法承担赔偿责任，因共同行为给基金财产或者基金份额持有人造成损害的，应当承担连带赔偿责任。</w:t>
      </w:r>
    </w:p>
    <w:p w14:paraId="29AC1F2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（三）基金合同当事人违反本基金合同，给基金财产或其他基金合同当事人造成损失的，应承担相应的赔偿责任。</w:t>
      </w:r>
    </w:p>
    <w:p w14:paraId="4B34314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（三）发生下列情况时，当事人可以免责：</w:t>
      </w:r>
    </w:p>
    <w:p w14:paraId="2C52376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Arial" w:cs="Arial" w:hint="eastAsia"/>
          <w:kern w:val="0"/>
          <w:szCs w:val="21"/>
        </w:rPr>
        <w:t>、基金管理人和</w:t>
      </w:r>
      <w:r>
        <w:rPr>
          <w:rFonts w:ascii="Arial" w:hAnsi="Arial" w:cs="Arial" w:hint="eastAsia"/>
          <w:kern w:val="0"/>
          <w:szCs w:val="21"/>
        </w:rPr>
        <w:t>/</w:t>
      </w:r>
      <w:r>
        <w:rPr>
          <w:rFonts w:ascii="Arial" w:hAnsi="Arial" w:cs="Arial" w:hint="eastAsia"/>
          <w:kern w:val="0"/>
          <w:szCs w:val="21"/>
        </w:rPr>
        <w:t>或基金托管人按照中国证监会的规定或当时有效的法律法规或规章的作为或不作为而造成的损失等；</w:t>
      </w:r>
    </w:p>
    <w:p w14:paraId="6924F58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Arial" w:cs="Arial" w:hint="eastAsia"/>
          <w:kern w:val="0"/>
          <w:szCs w:val="21"/>
        </w:rPr>
        <w:t>、基金管理人由于按照本基金合同规定的投资原则进行的投资所造成的损失等；</w:t>
      </w:r>
    </w:p>
    <w:p w14:paraId="49EC77A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、不可抗力。基金管理人及基金托管人因不可抗力不能履行本合同的，可根据不可抗力的影响部分或全部免除责任，但法律另有规定的除外。任何一方迟延履行后发生不可抗力的，不能免除责任。</w:t>
      </w:r>
    </w:p>
    <w:p w14:paraId="0FB7880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（四）在发生一方或多方当事人违约的情况下，基金合同能够继续履行的应当继续履行。</w:t>
      </w:r>
    </w:p>
    <w:p w14:paraId="0EE960A3" w14:textId="77777777" w:rsidR="00ED45CB" w:rsidRDefault="00703CCA">
      <w:pPr>
        <w:adjustRightInd w:val="0"/>
        <w:snapToGrid w:val="0"/>
        <w:spacing w:line="360" w:lineRule="auto"/>
        <w:ind w:firstLineChars="200" w:firstLine="420"/>
        <w:rPr>
          <w:rFonts w:ascii="宋体" w:hAnsi="宋体"/>
          <w:kern w:val="0"/>
          <w:szCs w:val="21"/>
        </w:rPr>
      </w:pPr>
      <w:r>
        <w:rPr>
          <w:rFonts w:ascii="Arial" w:hAnsi="Arial" w:cs="Arial" w:hint="eastAsia"/>
          <w:kern w:val="0"/>
          <w:szCs w:val="21"/>
        </w:rPr>
        <w:t>（五）本基金合同当事人一方违约后，其他当事方应当采取适当措施防止损失的扩大；没有采取适当措施致使损失扩大的，不得就扩大的损失要求赔偿。守约方因防止损失扩大而支出的合理费用由违约方承担。</w:t>
      </w:r>
    </w:p>
    <w:p w14:paraId="2A2D11A0" w14:textId="77777777" w:rsidR="00ED45CB" w:rsidRDefault="00703CCA">
      <w:pPr>
        <w:spacing w:before="100" w:beforeAutospacing="1" w:after="100" w:afterAutospacing="1" w:line="400" w:lineRule="exact"/>
        <w:rPr>
          <w:rFonts w:ascii="宋体" w:hAnsi="宋体"/>
          <w:kern w:val="0"/>
          <w:szCs w:val="21"/>
        </w:rPr>
      </w:pPr>
      <w:r>
        <w:rPr>
          <w:rFonts w:ascii="宋体" w:hAnsi="宋体"/>
          <w:kern w:val="0"/>
          <w:szCs w:val="21"/>
        </w:rPr>
        <w:br w:type="page"/>
      </w:r>
    </w:p>
    <w:p w14:paraId="1E09FABF" w14:textId="77777777" w:rsidR="00ED45CB" w:rsidRDefault="00703CCA">
      <w:pPr>
        <w:pStyle w:val="2"/>
        <w:spacing w:before="100" w:beforeAutospacing="1" w:after="100" w:afterAutospacing="1" w:line="400" w:lineRule="exact"/>
        <w:jc w:val="center"/>
        <w:rPr>
          <w:rFonts w:ascii="宋体" w:eastAsia="宋体" w:hAnsi="宋体"/>
          <w:kern w:val="0"/>
          <w:sz w:val="21"/>
          <w:szCs w:val="21"/>
        </w:rPr>
      </w:pPr>
      <w:bookmarkStart w:id="85" w:name="_Toc88037859"/>
      <w:bookmarkStart w:id="86" w:name="_Toc122336562"/>
      <w:bookmarkStart w:id="87" w:name="_Toc344308285"/>
      <w:r>
        <w:rPr>
          <w:rFonts w:ascii="宋体" w:eastAsia="宋体" w:hAnsi="宋体" w:hint="eastAsia"/>
          <w:sz w:val="24"/>
          <w:szCs w:val="24"/>
        </w:rPr>
        <w:t>二十五、争议的处理</w:t>
      </w:r>
      <w:bookmarkEnd w:id="85"/>
      <w:bookmarkEnd w:id="86"/>
      <w:bookmarkEnd w:id="87"/>
    </w:p>
    <w:p w14:paraId="7FE54022" w14:textId="77777777" w:rsidR="00ED45CB" w:rsidRPr="00735672" w:rsidRDefault="00703CCA">
      <w:pPr>
        <w:adjustRightInd w:val="0"/>
        <w:snapToGrid w:val="0"/>
        <w:spacing w:line="360" w:lineRule="auto"/>
        <w:ind w:firstLineChars="200" w:firstLine="420"/>
        <w:rPr>
          <w:rFonts w:ascii="Arial" w:hAnsi="Arial" w:cs="Arial"/>
          <w:b/>
          <w:i/>
          <w:kern w:val="0"/>
          <w:szCs w:val="21"/>
        </w:rPr>
      </w:pPr>
      <w:r w:rsidRPr="00735672">
        <w:rPr>
          <w:rFonts w:ascii="Arial" w:hAnsi="Arial" w:cs="Arial" w:hint="eastAsia"/>
          <w:b/>
          <w:i/>
          <w:kern w:val="0"/>
          <w:szCs w:val="21"/>
        </w:rPr>
        <w:t>（一）本基金合同适用中华人民共和国法律并从其解释。</w:t>
      </w:r>
    </w:p>
    <w:p w14:paraId="18DA54E3" w14:textId="77777777" w:rsidR="00ED45CB" w:rsidRPr="00735672" w:rsidRDefault="00703CCA">
      <w:pPr>
        <w:adjustRightInd w:val="0"/>
        <w:snapToGrid w:val="0"/>
        <w:spacing w:line="360" w:lineRule="auto"/>
        <w:ind w:firstLineChars="200" w:firstLine="420"/>
        <w:rPr>
          <w:rFonts w:ascii="Arial" w:hAnsi="Arial" w:cs="Arial"/>
          <w:b/>
          <w:i/>
          <w:kern w:val="0"/>
          <w:szCs w:val="21"/>
        </w:rPr>
      </w:pPr>
      <w:r w:rsidRPr="00735672">
        <w:rPr>
          <w:rFonts w:ascii="Arial" w:hAnsi="Arial" w:cs="Arial" w:hint="eastAsia"/>
          <w:b/>
          <w:i/>
          <w:kern w:val="0"/>
          <w:szCs w:val="21"/>
        </w:rPr>
        <w:t>（二）本基金合同的当事人之间因本基金合同产生的或与本基金合同有关的争议可通过友好协商解决，但若自一方书面提出协商解决争议之日起</w:t>
      </w:r>
      <w:r w:rsidRPr="00735672">
        <w:rPr>
          <w:rFonts w:ascii="Arial" w:hAnsi="Arial" w:cs="Arial"/>
          <w:b/>
          <w:i/>
          <w:kern w:val="0"/>
          <w:szCs w:val="21"/>
        </w:rPr>
        <w:t>60</w:t>
      </w:r>
      <w:r w:rsidRPr="00735672">
        <w:rPr>
          <w:rFonts w:ascii="Arial" w:hAnsi="Arial" w:cs="Arial" w:hint="eastAsia"/>
          <w:b/>
          <w:i/>
          <w:kern w:val="0"/>
          <w:szCs w:val="21"/>
        </w:rPr>
        <w:t>日内争议未能以协商方式解决的，则任何一方有权将争议提交位于北京的中国国际经济贸易仲裁委员会，按照其时有效的仲裁规则进行仲裁。仲裁裁决是终局的，对仲裁各方当事人均具有约束力。</w:t>
      </w:r>
    </w:p>
    <w:p w14:paraId="0AF737C0" w14:textId="77777777" w:rsidR="00ED45CB" w:rsidRDefault="00703CCA">
      <w:pPr>
        <w:adjustRightInd w:val="0"/>
        <w:snapToGrid w:val="0"/>
        <w:spacing w:line="360" w:lineRule="auto"/>
        <w:ind w:firstLineChars="200" w:firstLine="420"/>
        <w:rPr>
          <w:rFonts w:ascii="Arial" w:hAnsi="Arial" w:cs="Arial"/>
          <w:kern w:val="0"/>
          <w:szCs w:val="21"/>
        </w:rPr>
      </w:pPr>
      <w:r w:rsidRPr="00735672">
        <w:rPr>
          <w:rFonts w:ascii="Arial" w:hAnsi="Arial" w:cs="Arial" w:hint="eastAsia"/>
          <w:b/>
          <w:i/>
          <w:kern w:val="0"/>
          <w:szCs w:val="21"/>
        </w:rPr>
        <w:t>（三）除争议所涉内容之外，本基金合同的其他部分应当由本基金合同当事人继续履行。</w:t>
      </w:r>
    </w:p>
    <w:p w14:paraId="4922657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br w:type="page"/>
      </w:r>
    </w:p>
    <w:p w14:paraId="479B6038" w14:textId="77777777" w:rsidR="00ED45CB" w:rsidRDefault="00703CCA">
      <w:pPr>
        <w:pStyle w:val="2"/>
        <w:spacing w:before="100" w:beforeAutospacing="1" w:after="100" w:afterAutospacing="1" w:line="400" w:lineRule="exact"/>
        <w:jc w:val="center"/>
        <w:rPr>
          <w:rFonts w:ascii="宋体" w:eastAsia="宋体" w:hAnsi="宋体"/>
          <w:sz w:val="24"/>
          <w:szCs w:val="24"/>
        </w:rPr>
      </w:pPr>
      <w:bookmarkStart w:id="88" w:name="_Toc88037860"/>
      <w:bookmarkStart w:id="89" w:name="_Toc122336563"/>
      <w:bookmarkStart w:id="90" w:name="_Toc344308286"/>
      <w:r>
        <w:rPr>
          <w:rFonts w:ascii="宋体" w:eastAsia="宋体" w:hAnsi="宋体" w:hint="eastAsia"/>
          <w:sz w:val="24"/>
          <w:szCs w:val="24"/>
        </w:rPr>
        <w:t>二十六、基金合同的效力</w:t>
      </w:r>
      <w:bookmarkEnd w:id="88"/>
      <w:bookmarkEnd w:id="89"/>
      <w:bookmarkEnd w:id="90"/>
    </w:p>
    <w:p w14:paraId="2EC723F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本基金合同是基金合同当事人之间的法律文件，应由基金管理人和基金托管人的法定代表人或其授权签字人签字并加盖公章。基金合同于投资者缴纳认购的基金份额的款项时成立，自基金募集结束报中国证监会备案并获中国证监会书面确认后生效。</w:t>
      </w:r>
    </w:p>
    <w:p w14:paraId="28BB18C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（二）本基金合同的有效期自其生效之日起至本基金财产清算结果报中国证监会备案并公告之日止。</w:t>
      </w:r>
    </w:p>
    <w:p w14:paraId="2CB2CC5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（三）本基金合同自生效之日起对包括基金管理人、基金托管人和基金份额持有人在内的基金合同各方当事人具有同等的法律约束力。</w:t>
      </w:r>
    </w:p>
    <w:p w14:paraId="6256AA2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（四）本基金合同正本一式六份，除上报有关监管机构二份外，基金管理人、基金托管人各持有二份，每份具有同等的法律效力。</w:t>
      </w:r>
    </w:p>
    <w:p w14:paraId="31C9A37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五</w:t>
      </w:r>
      <w:r>
        <w:rPr>
          <w:rFonts w:ascii="Arial" w:hAnsi="Arial" w:cs="Arial" w:hint="eastAsia"/>
          <w:kern w:val="0"/>
          <w:szCs w:val="21"/>
        </w:rPr>
        <w:t>)</w:t>
      </w:r>
      <w:r>
        <w:rPr>
          <w:rFonts w:ascii="Arial" w:hAnsi="Arial" w:cs="Arial" w:hint="eastAsia"/>
          <w:kern w:val="0"/>
          <w:szCs w:val="21"/>
        </w:rPr>
        <w:t>基金合同存放地和投资者取得基金合同的方式</w:t>
      </w:r>
    </w:p>
    <w:p w14:paraId="1F918A5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基金合同存放在基金管理人和基金托管人住所，投资者在支付工本费后，可在合理时间内取得上述文件复印件，基金合同条款及内容应以基金合同正本为准。</w:t>
      </w:r>
    </w:p>
    <w:bookmarkEnd w:id="80"/>
    <w:p w14:paraId="2D73F6BB" w14:textId="77777777" w:rsidR="00ED45CB" w:rsidRDefault="00ED45CB">
      <w:pPr>
        <w:spacing w:before="100" w:beforeAutospacing="1" w:after="100" w:afterAutospacing="1" w:line="400" w:lineRule="exact"/>
        <w:ind w:firstLine="420"/>
        <w:rPr>
          <w:rFonts w:ascii="宋体" w:hAnsi="宋体"/>
          <w:kern w:val="0"/>
          <w:szCs w:val="21"/>
        </w:rPr>
      </w:pPr>
    </w:p>
    <w:p w14:paraId="54CD2B57" w14:textId="77777777" w:rsidR="00ED45CB" w:rsidRDefault="00703CCA">
      <w:pPr>
        <w:rPr>
          <w:rFonts w:ascii="宋体" w:hAnsi="宋体"/>
          <w:sz w:val="24"/>
        </w:rPr>
      </w:pPr>
      <w:r>
        <w:rPr>
          <w:rFonts w:ascii="宋体" w:hAnsi="宋体" w:hint="eastAsia"/>
          <w:sz w:val="24"/>
        </w:rPr>
        <w:br w:type="page"/>
      </w:r>
    </w:p>
    <w:p w14:paraId="5E04866A" w14:textId="77777777" w:rsidR="00ED45CB" w:rsidRDefault="00703CCA">
      <w:pPr>
        <w:pStyle w:val="2"/>
        <w:spacing w:before="100" w:beforeAutospacing="1" w:after="100" w:afterAutospacing="1" w:line="400" w:lineRule="exact"/>
        <w:jc w:val="center"/>
        <w:rPr>
          <w:rFonts w:ascii="宋体" w:hAnsi="宋体"/>
          <w:sz w:val="24"/>
        </w:rPr>
      </w:pPr>
      <w:bookmarkStart w:id="91" w:name="_Toc344308287"/>
      <w:r>
        <w:rPr>
          <w:rFonts w:ascii="宋体" w:eastAsia="宋体" w:hAnsi="宋体" w:hint="eastAsia"/>
          <w:sz w:val="24"/>
          <w:szCs w:val="24"/>
        </w:rPr>
        <w:t>二十七、基金合同摘要</w:t>
      </w:r>
      <w:bookmarkEnd w:id="91"/>
    </w:p>
    <w:p w14:paraId="6EA57A3B" w14:textId="77777777" w:rsidR="00ED45CB" w:rsidRDefault="00ED45CB"/>
    <w:p w14:paraId="5D4F0E96" w14:textId="77777777" w:rsidR="00ED45CB" w:rsidRDefault="00703CCA">
      <w:pPr>
        <w:adjustRightInd w:val="0"/>
        <w:snapToGrid w:val="0"/>
        <w:spacing w:line="360" w:lineRule="auto"/>
        <w:ind w:left="420"/>
        <w:rPr>
          <w:rFonts w:ascii="Arial" w:hAnsi="Arial" w:cs="Arial"/>
          <w:b/>
          <w:kern w:val="0"/>
          <w:szCs w:val="21"/>
        </w:rPr>
      </w:pPr>
      <w:bookmarkStart w:id="92" w:name="_Toc266369095"/>
      <w:bookmarkStart w:id="93" w:name="_Toc253128719"/>
      <w:r>
        <w:rPr>
          <w:rFonts w:ascii="Arial" w:hAnsi="Arial" w:cs="Arial"/>
          <w:b/>
          <w:kern w:val="0"/>
          <w:szCs w:val="21"/>
        </w:rPr>
        <w:t>一、基金份额持有人、基金管理人和基金托管人的权利、义务</w:t>
      </w:r>
      <w:bookmarkEnd w:id="92"/>
      <w:bookmarkEnd w:id="93"/>
    </w:p>
    <w:p w14:paraId="3CEF72B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（一）基金份额持有人的权利、义务</w:t>
      </w:r>
    </w:p>
    <w:p w14:paraId="4911021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、基金投资者购买本</w:t>
      </w:r>
      <w:proofErr w:type="gramStart"/>
      <w:r>
        <w:rPr>
          <w:rFonts w:ascii="Arial" w:hAnsi="Arial" w:cs="Arial" w:hint="eastAsia"/>
          <w:kern w:val="0"/>
          <w:szCs w:val="21"/>
        </w:rPr>
        <w:t>基金基金</w:t>
      </w:r>
      <w:proofErr w:type="gramEnd"/>
      <w:r>
        <w:rPr>
          <w:rFonts w:ascii="Arial" w:hAnsi="Arial" w:cs="Arial" w:hint="eastAsia"/>
          <w:kern w:val="0"/>
          <w:szCs w:val="21"/>
        </w:rPr>
        <w:t>份额的行为即</w:t>
      </w:r>
      <w:bookmarkStart w:id="94" w:name="_GoBack"/>
      <w:bookmarkEnd w:id="94"/>
      <w:r>
        <w:rPr>
          <w:rFonts w:ascii="Arial" w:hAnsi="Arial" w:cs="Arial" w:hint="eastAsia"/>
          <w:kern w:val="0"/>
          <w:szCs w:val="21"/>
        </w:rPr>
        <w:t>视为对基金合同的承认和接受，基金投资者</w:t>
      </w:r>
      <w:proofErr w:type="gramStart"/>
      <w:r>
        <w:rPr>
          <w:rFonts w:ascii="Arial" w:hAnsi="Arial" w:cs="Arial" w:hint="eastAsia"/>
          <w:kern w:val="0"/>
          <w:szCs w:val="21"/>
        </w:rPr>
        <w:t>自依据</w:t>
      </w:r>
      <w:proofErr w:type="gramEnd"/>
      <w:r>
        <w:rPr>
          <w:rFonts w:ascii="Arial" w:hAnsi="Arial" w:cs="Arial" w:hint="eastAsia"/>
          <w:kern w:val="0"/>
          <w:szCs w:val="21"/>
        </w:rPr>
        <w:t>基金合同取得基金份额，即成为基金份额持有人和基金合同当事人。基金份额持有人作为当事人并不以在基金合同上书面签章为必要条件。同一类别的每份基金份额具有同等的合法权益。</w:t>
      </w:r>
    </w:p>
    <w:p w14:paraId="2C891E5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、基金份额持有人的权利</w:t>
      </w:r>
    </w:p>
    <w:p w14:paraId="235ECDF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）分享基金财产收益；</w:t>
      </w:r>
    </w:p>
    <w:p w14:paraId="07108A6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）参与分配清算后的剩余基金财产；</w:t>
      </w:r>
    </w:p>
    <w:p w14:paraId="209B173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）依法申请、赎回其持有的基金份额；</w:t>
      </w:r>
      <w:r>
        <w:rPr>
          <w:rFonts w:ascii="Arial" w:hAnsi="Arial" w:cs="Arial" w:hint="eastAsia"/>
          <w:kern w:val="0"/>
          <w:szCs w:val="21"/>
        </w:rPr>
        <w:t xml:space="preserve"> </w:t>
      </w:r>
    </w:p>
    <w:p w14:paraId="78D68BD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）按照规定要求召开基金份额持有人大会；</w:t>
      </w:r>
      <w:r>
        <w:rPr>
          <w:rFonts w:ascii="Arial" w:hAnsi="Arial" w:cs="Arial" w:hint="eastAsia"/>
          <w:kern w:val="0"/>
          <w:szCs w:val="21"/>
        </w:rPr>
        <w:t xml:space="preserve"> </w:t>
      </w:r>
    </w:p>
    <w:p w14:paraId="59BFC8C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）出席或者委派代表出席基金份额持有人大会，对基金份额持有人大会审议事项行使表决权；</w:t>
      </w:r>
      <w:r>
        <w:rPr>
          <w:rFonts w:ascii="Arial" w:hAnsi="Arial" w:cs="Arial" w:hint="eastAsia"/>
          <w:kern w:val="0"/>
          <w:szCs w:val="21"/>
        </w:rPr>
        <w:t xml:space="preserve"> </w:t>
      </w:r>
    </w:p>
    <w:p w14:paraId="2D85E53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）查阅或者复制公开披露的基金信息资料；</w:t>
      </w:r>
      <w:r>
        <w:rPr>
          <w:rFonts w:ascii="Arial" w:hAnsi="Arial" w:cs="Arial" w:hint="eastAsia"/>
          <w:kern w:val="0"/>
          <w:szCs w:val="21"/>
        </w:rPr>
        <w:t xml:space="preserve"> </w:t>
      </w:r>
    </w:p>
    <w:p w14:paraId="04B82D6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）监督基金管理人的投资运作；</w:t>
      </w:r>
    </w:p>
    <w:p w14:paraId="28B3876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）对基金管理人、基金托管人、基金份额销售机构损害其合法权益的行为依法提起诉讼；</w:t>
      </w:r>
    </w:p>
    <w:p w14:paraId="0A5DC42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9</w:t>
      </w:r>
      <w:r>
        <w:rPr>
          <w:rFonts w:ascii="Arial" w:hAnsi="Arial" w:cs="Arial" w:hint="eastAsia"/>
          <w:kern w:val="0"/>
          <w:szCs w:val="21"/>
        </w:rPr>
        <w:t>）法律法规、基金合同规定的其他权利。</w:t>
      </w:r>
    </w:p>
    <w:p w14:paraId="4A3B925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、基金份额持有人的义务</w:t>
      </w:r>
    </w:p>
    <w:p w14:paraId="6A6A02F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）遵守法律法规、基金合同及其他有关规定；</w:t>
      </w:r>
    </w:p>
    <w:p w14:paraId="7FFFFAF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）缴纳基金认购、申购款项及基金合同规定的费用；</w:t>
      </w:r>
    </w:p>
    <w:p w14:paraId="1A4BDC0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）在持有的基金份额范围内，承担基金亏损或者基金合同终止的有限责任；</w:t>
      </w:r>
    </w:p>
    <w:p w14:paraId="6B43D90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）不从事任何有损基金、其他基金份额持有人及其他基金合同当事人合法利益的活动；</w:t>
      </w:r>
    </w:p>
    <w:p w14:paraId="24E979A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）执行基金份额持有人大会的决议；</w:t>
      </w:r>
    </w:p>
    <w:p w14:paraId="2BED81D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）返还在基金交易过程中因任何原因获得的不当得利；</w:t>
      </w:r>
    </w:p>
    <w:p w14:paraId="519B047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）遵守基金管理人、销售机构和注册登记机构的相关交易及业务规则；</w:t>
      </w:r>
    </w:p>
    <w:p w14:paraId="4306867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）法律法规及基金合同规定的其他义务。</w:t>
      </w:r>
    </w:p>
    <w:p w14:paraId="6C61898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（二）基金管理人的权利、义务</w:t>
      </w:r>
    </w:p>
    <w:p w14:paraId="74E4E08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、基金管理人的权利</w:t>
      </w:r>
    </w:p>
    <w:p w14:paraId="0B86334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）依法募集基金，办理基金备案手续；</w:t>
      </w:r>
    </w:p>
    <w:p w14:paraId="3668C52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w:t>
      </w:r>
      <w:r>
        <w:rPr>
          <w:rFonts w:ascii="Arial" w:hAnsi="Arial" w:cs="Arial" w:hint="eastAsia"/>
          <w:kern w:val="0"/>
          <w:szCs w:val="21"/>
        </w:rPr>
        <w:t>2</w:t>
      </w:r>
      <w:r>
        <w:rPr>
          <w:rFonts w:ascii="Arial" w:hAnsi="Arial" w:cs="Arial" w:hint="eastAsia"/>
          <w:kern w:val="0"/>
          <w:szCs w:val="21"/>
        </w:rPr>
        <w:t>）依照法律法规和基金合同独立管理运用基金财产；</w:t>
      </w:r>
    </w:p>
    <w:p w14:paraId="6C5FB3F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）根据法律法规和基金合同的规定，制订、修改并公布有关基金认购、申购、赎回、转托管、基金转换、</w:t>
      </w:r>
      <w:proofErr w:type="gramStart"/>
      <w:r>
        <w:rPr>
          <w:rFonts w:ascii="Arial" w:hAnsi="Arial" w:cs="Arial" w:hint="eastAsia"/>
          <w:kern w:val="0"/>
          <w:szCs w:val="21"/>
        </w:rPr>
        <w:t>非交易</w:t>
      </w:r>
      <w:proofErr w:type="gramEnd"/>
      <w:r>
        <w:rPr>
          <w:rFonts w:ascii="Arial" w:hAnsi="Arial" w:cs="Arial" w:hint="eastAsia"/>
          <w:kern w:val="0"/>
          <w:szCs w:val="21"/>
        </w:rPr>
        <w:t>过户、冻结、收益分配等方面的业务规则；</w:t>
      </w:r>
    </w:p>
    <w:p w14:paraId="2E880C4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）根据法律法规和基金合同的规定决定本基金的相关费率结构和收费方式，获得基金管理费，收取认购费、申购费、赎回费及其他事先核准或公告的合理费用以及法律法规规定的其他费用；</w:t>
      </w:r>
    </w:p>
    <w:p w14:paraId="344C023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）根据法律法规和基金合同的规定销售基金份额；</w:t>
      </w:r>
    </w:p>
    <w:p w14:paraId="62FEE76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在本合同的有效期内，在不违反公平、合理原则以及不妨碍基金托管人遵守相关法律法规及其行业监管要求的基础上，基金管理人有权对基金托管人履行本合同的情况进行必要的监督。如认为基金托管人违反了法律法规或基金合同规定对基金财产、其他基金合同当事人的利益造成重大损失的，应及时呈报中国证监会和中国银监会，以及采取其他必要措施以保护本基金及相关基金合同当事人的利益；</w:t>
      </w:r>
    </w:p>
    <w:p w14:paraId="680137C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）根据基金合同的规定选择适当的基金代销机构并有权依照代销协议和有关法律法规对基金代销机构行为进行必要的监督和检查；</w:t>
      </w:r>
    </w:p>
    <w:p w14:paraId="11C6D9A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）自行担任基金注册登记机构或选择、更换基金注册登记机构，办理基金注册登记业务，并按照基金合同规定对基金注册登记机构进行必要的监督和检查；</w:t>
      </w:r>
    </w:p>
    <w:p w14:paraId="149923F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9</w:t>
      </w:r>
      <w:r>
        <w:rPr>
          <w:rFonts w:ascii="Arial" w:hAnsi="Arial" w:cs="Arial" w:hint="eastAsia"/>
          <w:kern w:val="0"/>
          <w:szCs w:val="21"/>
        </w:rPr>
        <w:t>）在基金合同约定的范围内，拒绝或暂停受理申购和赎回的申请；</w:t>
      </w:r>
    </w:p>
    <w:p w14:paraId="52050F4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10</w:t>
      </w:r>
      <w:r>
        <w:rPr>
          <w:rFonts w:ascii="Arial" w:hAnsi="Arial" w:cs="Arial" w:hint="eastAsia"/>
          <w:kern w:val="0"/>
          <w:szCs w:val="21"/>
        </w:rPr>
        <w:t>）在法律法规允许的前提下，为基金份额持有人的利益依法为基金进行融资、融券；</w:t>
      </w:r>
    </w:p>
    <w:p w14:paraId="2727BCC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11</w:t>
      </w:r>
      <w:r>
        <w:rPr>
          <w:rFonts w:ascii="Arial" w:hAnsi="Arial" w:cs="Arial" w:hint="eastAsia"/>
          <w:kern w:val="0"/>
          <w:szCs w:val="21"/>
        </w:rPr>
        <w:t>）依据法律法规和基金合同的规定，制订基金收益分配方案；</w:t>
      </w:r>
    </w:p>
    <w:p w14:paraId="3A82220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12</w:t>
      </w:r>
      <w:r>
        <w:rPr>
          <w:rFonts w:ascii="Arial" w:hAnsi="Arial" w:cs="Arial" w:hint="eastAsia"/>
          <w:kern w:val="0"/>
          <w:szCs w:val="21"/>
        </w:rPr>
        <w:t>）按照法律法规，代表基金对被投资企业行使股东权利，代表基金行使因投资于其他证券所产生的权利；</w:t>
      </w:r>
    </w:p>
    <w:p w14:paraId="2D5FD9B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13</w:t>
      </w:r>
      <w:r>
        <w:rPr>
          <w:rFonts w:ascii="Arial" w:hAnsi="Arial" w:cs="Arial" w:hint="eastAsia"/>
          <w:kern w:val="0"/>
          <w:szCs w:val="21"/>
        </w:rPr>
        <w:t>）在基金托管人职责终止时，提名新的基金托管人；</w:t>
      </w:r>
    </w:p>
    <w:p w14:paraId="5130B27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14</w:t>
      </w:r>
      <w:r>
        <w:rPr>
          <w:rFonts w:ascii="Arial" w:hAnsi="Arial" w:cs="Arial" w:hint="eastAsia"/>
          <w:kern w:val="0"/>
          <w:szCs w:val="21"/>
        </w:rPr>
        <w:t>）依据法律法规和基金合同的规定，召集基金份额持有人大会；</w:t>
      </w:r>
    </w:p>
    <w:p w14:paraId="543AC59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15</w:t>
      </w:r>
      <w:r>
        <w:rPr>
          <w:rFonts w:ascii="Arial" w:hAnsi="Arial" w:cs="Arial" w:hint="eastAsia"/>
          <w:kern w:val="0"/>
          <w:szCs w:val="21"/>
        </w:rPr>
        <w:t>）选择、更换事务所、会计师事务所、证券经纪商或其他为基金提供服务的外部机构并确定有关费率；</w:t>
      </w:r>
    </w:p>
    <w:p w14:paraId="6DBBD7B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16</w:t>
      </w:r>
      <w:r>
        <w:rPr>
          <w:rFonts w:ascii="Arial" w:hAnsi="Arial" w:cs="Arial" w:hint="eastAsia"/>
          <w:kern w:val="0"/>
          <w:szCs w:val="21"/>
        </w:rPr>
        <w:t>）法律法规、基金合同规定的其他权利。</w:t>
      </w:r>
    </w:p>
    <w:p w14:paraId="5A4FBD2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、基金管理人的义务</w:t>
      </w:r>
    </w:p>
    <w:p w14:paraId="401979F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）依法申请并募集基金，办理或者中国证监会认定的其他机构代为办理基金份额的发售、申购、赎回和登记事宜；</w:t>
      </w:r>
    </w:p>
    <w:p w14:paraId="2C697E1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）办理基金备案手续；</w:t>
      </w:r>
      <w:r>
        <w:rPr>
          <w:rFonts w:ascii="Arial" w:hAnsi="Arial" w:cs="Arial" w:hint="eastAsia"/>
          <w:kern w:val="0"/>
          <w:szCs w:val="21"/>
        </w:rPr>
        <w:t xml:space="preserve"> </w:t>
      </w:r>
    </w:p>
    <w:p w14:paraId="6616B4A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）自基金合同生效之日起，以诚实信用、勤勉尽责的原则管理和运用基金财产；</w:t>
      </w:r>
    </w:p>
    <w:p w14:paraId="101E7B3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）配备足够的具有专业资格的人员进行基金投资分析、决策，以专业化的经营方式管理和运作基金财产；</w:t>
      </w:r>
    </w:p>
    <w:p w14:paraId="7C6A889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w:t>
      </w:r>
      <w:r>
        <w:rPr>
          <w:rFonts w:ascii="Arial" w:hAnsi="Arial" w:cs="Arial" w:hint="eastAsia"/>
          <w:kern w:val="0"/>
          <w:szCs w:val="21"/>
        </w:rPr>
        <w:t>5</w:t>
      </w:r>
      <w:r>
        <w:rPr>
          <w:rFonts w:ascii="Arial" w:hAnsi="Arial" w:cs="Arial" w:hint="eastAsia"/>
          <w:kern w:val="0"/>
          <w:szCs w:val="21"/>
        </w:rPr>
        <w:t>）建立健全内部风险控制、监察与稽核、财务管理及人事管理等制度，保证所管理的基金财产和基金管理人的财产相互独立，对所管理的不同基金分别管理、分别记账，进行证券投资；</w:t>
      </w:r>
    </w:p>
    <w:p w14:paraId="1E06A98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）按基金合同的约定确定基金收益分配方案，及时向基金份额持有人分配基金收益；</w:t>
      </w:r>
    </w:p>
    <w:p w14:paraId="00A25B0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）除依据《基金法》、基金合同及其他有关规定外，不得为自己及任何第三人谋取利益，不得委托第三人运作基金财产；</w:t>
      </w:r>
      <w:r>
        <w:rPr>
          <w:rFonts w:ascii="Arial" w:hAnsi="Arial" w:cs="Arial" w:hint="eastAsia"/>
          <w:kern w:val="0"/>
          <w:szCs w:val="21"/>
        </w:rPr>
        <w:t xml:space="preserve"> </w:t>
      </w:r>
    </w:p>
    <w:p w14:paraId="6F8A5A0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）进行基金会计核算并编制基金的财务会计报告；</w:t>
      </w:r>
    </w:p>
    <w:p w14:paraId="29ADAE5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9</w:t>
      </w:r>
      <w:r>
        <w:rPr>
          <w:rFonts w:ascii="Arial" w:hAnsi="Arial" w:cs="Arial" w:hint="eastAsia"/>
          <w:kern w:val="0"/>
          <w:szCs w:val="21"/>
        </w:rPr>
        <w:t>）依法接受基金托管人的监督；</w:t>
      </w:r>
    </w:p>
    <w:p w14:paraId="07072518" w14:textId="2B1865E0"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10</w:t>
      </w:r>
      <w:r>
        <w:rPr>
          <w:rFonts w:ascii="Arial" w:hAnsi="Arial" w:cs="Arial" w:hint="eastAsia"/>
          <w:kern w:val="0"/>
          <w:szCs w:val="21"/>
        </w:rPr>
        <w:t>）编制季度报告、中期报告和年度报告；</w:t>
      </w:r>
    </w:p>
    <w:p w14:paraId="3826AE2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11</w:t>
      </w:r>
      <w:r>
        <w:rPr>
          <w:rFonts w:ascii="Arial" w:hAnsi="Arial" w:cs="Arial" w:hint="eastAsia"/>
          <w:kern w:val="0"/>
          <w:szCs w:val="21"/>
        </w:rPr>
        <w:t>）采取适当合理的措施使计算开放式基金份额认购、申购、赎回和注销价格的方法符合基金合同等法律文件的规定；</w:t>
      </w:r>
      <w:r>
        <w:rPr>
          <w:rFonts w:ascii="Arial" w:hAnsi="Arial" w:cs="Arial" w:hint="eastAsia"/>
          <w:kern w:val="0"/>
          <w:szCs w:val="21"/>
        </w:rPr>
        <w:t xml:space="preserve"> </w:t>
      </w:r>
    </w:p>
    <w:p w14:paraId="3EF332D5" w14:textId="6209165E"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12</w:t>
      </w:r>
      <w:r>
        <w:rPr>
          <w:rFonts w:ascii="Arial" w:hAnsi="Arial" w:cs="Arial" w:hint="eastAsia"/>
          <w:kern w:val="0"/>
          <w:szCs w:val="21"/>
        </w:rPr>
        <w:t>）计算并公告基金净值</w:t>
      </w:r>
      <w:r w:rsidR="007B2C8B">
        <w:rPr>
          <w:rFonts w:ascii="Arial" w:hAnsi="Arial" w:cs="Arial" w:hint="eastAsia"/>
          <w:kern w:val="0"/>
          <w:szCs w:val="21"/>
        </w:rPr>
        <w:t>信息</w:t>
      </w:r>
      <w:r>
        <w:rPr>
          <w:rFonts w:ascii="Arial" w:hAnsi="Arial" w:cs="Arial" w:hint="eastAsia"/>
          <w:kern w:val="0"/>
          <w:szCs w:val="21"/>
        </w:rPr>
        <w:t>，确定基金份额申购、赎回价格；</w:t>
      </w:r>
    </w:p>
    <w:p w14:paraId="12F1DF1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13</w:t>
      </w:r>
      <w:r>
        <w:rPr>
          <w:rFonts w:ascii="Arial" w:hAnsi="Arial" w:cs="Arial" w:hint="eastAsia"/>
          <w:kern w:val="0"/>
          <w:szCs w:val="21"/>
        </w:rPr>
        <w:t>）严格按照《基金法》、基金合同及其他有关规定，履行信息披露及报告义务；</w:t>
      </w:r>
    </w:p>
    <w:p w14:paraId="640904D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14</w:t>
      </w:r>
      <w:r>
        <w:rPr>
          <w:rFonts w:ascii="Arial" w:hAnsi="Arial" w:cs="Arial" w:hint="eastAsia"/>
          <w:kern w:val="0"/>
          <w:szCs w:val="21"/>
        </w:rPr>
        <w:t>）保守基金商业秘密，不泄露基金投资计划、投资意向等。除基金法、基金合同及其他有关规定另有规定外，在基金信息公开披露前应予以保密，不得向他人泄露；</w:t>
      </w:r>
    </w:p>
    <w:p w14:paraId="490AC95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15</w:t>
      </w:r>
      <w:r>
        <w:rPr>
          <w:rFonts w:ascii="Arial" w:hAnsi="Arial" w:cs="Arial" w:hint="eastAsia"/>
          <w:kern w:val="0"/>
          <w:szCs w:val="21"/>
        </w:rPr>
        <w:t>）按规定受理申购和赎回申请，及时、足额支付赎回款项；</w:t>
      </w:r>
    </w:p>
    <w:p w14:paraId="3DDB4C1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16</w:t>
      </w:r>
      <w:r>
        <w:rPr>
          <w:rFonts w:ascii="Arial" w:hAnsi="Arial" w:cs="Arial" w:hint="eastAsia"/>
          <w:kern w:val="0"/>
          <w:szCs w:val="21"/>
        </w:rPr>
        <w:t>）保存基金财产管理业务活动的记录、账册、报表、代表基金签订的重大合同及其他相关资料；</w:t>
      </w:r>
    </w:p>
    <w:p w14:paraId="2103431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17</w:t>
      </w:r>
      <w:r>
        <w:rPr>
          <w:rFonts w:ascii="Arial" w:hAnsi="Arial" w:cs="Arial" w:hint="eastAsia"/>
          <w:kern w:val="0"/>
          <w:szCs w:val="21"/>
        </w:rPr>
        <w:t>）依据《基金法》、基金合同及其他有关规定召集基金份额持有人大会或配合基金托管人、基金份额持有人依法召集基金份额持有人大会；</w:t>
      </w:r>
    </w:p>
    <w:p w14:paraId="15315AF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18</w:t>
      </w:r>
      <w:r>
        <w:rPr>
          <w:rFonts w:ascii="Arial" w:hAnsi="Arial" w:cs="Arial" w:hint="eastAsia"/>
          <w:kern w:val="0"/>
          <w:szCs w:val="21"/>
        </w:rPr>
        <w:t>）以基金管理人名义，代表基金份额持有人利益行使诉讼权利或实施其他法律行为；</w:t>
      </w:r>
    </w:p>
    <w:p w14:paraId="217B838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19</w:t>
      </w:r>
      <w:r>
        <w:rPr>
          <w:rFonts w:ascii="Arial" w:hAnsi="Arial" w:cs="Arial" w:hint="eastAsia"/>
          <w:kern w:val="0"/>
          <w:szCs w:val="21"/>
        </w:rPr>
        <w:t>）组织并参加基金财产清算小组，参与基金财产的保管、清理、估价、变现和分配；</w:t>
      </w:r>
    </w:p>
    <w:p w14:paraId="1A70DA8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20</w:t>
      </w:r>
      <w:r>
        <w:rPr>
          <w:rFonts w:ascii="Arial" w:hAnsi="Arial" w:cs="Arial" w:hint="eastAsia"/>
          <w:kern w:val="0"/>
          <w:szCs w:val="21"/>
        </w:rPr>
        <w:t>）因违反基金合同导致基金财产的损失或损害基金份额持有人的合法权益，应承担赔偿责任，其赔偿责任不因其退任而免除；</w:t>
      </w:r>
    </w:p>
    <w:p w14:paraId="767C781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21</w:t>
      </w:r>
      <w:r>
        <w:rPr>
          <w:rFonts w:ascii="Arial" w:hAnsi="Arial" w:cs="Arial" w:hint="eastAsia"/>
          <w:kern w:val="0"/>
          <w:szCs w:val="21"/>
        </w:rPr>
        <w:t>）基金托管人违反基金合同造成基金财产损失时，应为基金份额持有人利益向基金托管人追偿；</w:t>
      </w:r>
    </w:p>
    <w:p w14:paraId="2018A8C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22</w:t>
      </w:r>
      <w:r>
        <w:rPr>
          <w:rFonts w:ascii="Arial" w:hAnsi="Arial" w:cs="Arial" w:hint="eastAsia"/>
          <w:kern w:val="0"/>
          <w:szCs w:val="21"/>
        </w:rPr>
        <w:t>）法律法规、基金合同及中国证监会规定的其他义务。</w:t>
      </w:r>
    </w:p>
    <w:p w14:paraId="6D10D08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（三）基金托管人的权利、义务</w:t>
      </w:r>
    </w:p>
    <w:p w14:paraId="391DE31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、基金托管人的权利</w:t>
      </w:r>
    </w:p>
    <w:p w14:paraId="4A9E3EA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）依据法律法规和基金合同的规定安全保管基金财产；</w:t>
      </w:r>
    </w:p>
    <w:p w14:paraId="33D751B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）依照基金合同的约定获得基金托管费；</w:t>
      </w:r>
    </w:p>
    <w:p w14:paraId="666664F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）监督基金管理人对本基金的投资运作；</w:t>
      </w:r>
    </w:p>
    <w:p w14:paraId="013B69B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w:t>
      </w:r>
      <w:r>
        <w:rPr>
          <w:rFonts w:ascii="Arial" w:hAnsi="Arial" w:cs="Arial" w:hint="eastAsia"/>
          <w:kern w:val="0"/>
          <w:szCs w:val="21"/>
        </w:rPr>
        <w:t>4</w:t>
      </w:r>
      <w:r>
        <w:rPr>
          <w:rFonts w:ascii="Arial" w:hAnsi="Arial" w:cs="Arial" w:hint="eastAsia"/>
          <w:kern w:val="0"/>
          <w:szCs w:val="21"/>
        </w:rPr>
        <w:t>）在基金管理人职责终止时，提名新的基金管理人；</w:t>
      </w:r>
      <w:r>
        <w:rPr>
          <w:rFonts w:ascii="Arial" w:hAnsi="Arial" w:cs="Arial" w:hint="eastAsia"/>
          <w:kern w:val="0"/>
          <w:szCs w:val="21"/>
        </w:rPr>
        <w:t xml:space="preserve"> </w:t>
      </w:r>
    </w:p>
    <w:p w14:paraId="5F54389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）依据法律法规和基金合同的规定召集基金份额持有人大会；</w:t>
      </w:r>
    </w:p>
    <w:p w14:paraId="3D0D181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）法律法规、基金合同规定的其他权利。</w:t>
      </w:r>
    </w:p>
    <w:p w14:paraId="3A62C22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、基金托管人的义务</w:t>
      </w:r>
    </w:p>
    <w:p w14:paraId="79BE9BF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）安全保管基金财产；</w:t>
      </w:r>
    </w:p>
    <w:p w14:paraId="207352F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）设立专门的基金托管部，具有符合要求的营业场所，配备足够的、合格的熟悉基金托管业务的专职人员，负责基金财产托管事宜；</w:t>
      </w:r>
    </w:p>
    <w:p w14:paraId="0342929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）按规定开设基金财产的资金账户和证券账户；</w:t>
      </w:r>
    </w:p>
    <w:p w14:paraId="2BFE81E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）除依据《基金法》、基金合同及其他有关规定外，不得以基金财产为自己及任何第三人谋取非法利益，不得委托第三人托管基金财产；</w:t>
      </w:r>
    </w:p>
    <w:p w14:paraId="5DCB171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）对所托管的不同基金财产分别设置账户，确保基金财产的完整和独立；</w:t>
      </w:r>
    </w:p>
    <w:p w14:paraId="5342EFA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）保管由基金管理人代表基金签订的与基金有关的重大合同及有关凭证；</w:t>
      </w:r>
    </w:p>
    <w:p w14:paraId="49F1C3D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）保存基金托管业务活动的记录、账册、报表和其他相关资料；</w:t>
      </w:r>
    </w:p>
    <w:p w14:paraId="5AF41DC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）按照基金合同的约定，根据基金管理人的指令，及时办理清算、交割事宜；</w:t>
      </w:r>
      <w:r>
        <w:rPr>
          <w:rFonts w:ascii="Arial" w:hAnsi="Arial" w:cs="Arial" w:hint="eastAsia"/>
          <w:kern w:val="0"/>
          <w:szCs w:val="21"/>
        </w:rPr>
        <w:t xml:space="preserve"> </w:t>
      </w:r>
    </w:p>
    <w:p w14:paraId="6228088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9</w:t>
      </w:r>
      <w:r>
        <w:rPr>
          <w:rFonts w:ascii="Arial" w:hAnsi="Arial" w:cs="Arial" w:hint="eastAsia"/>
          <w:kern w:val="0"/>
          <w:szCs w:val="21"/>
        </w:rPr>
        <w:t>）保守基金商业秘密。除《基金法》、基金合同及其他有关规定另有规定外，在基金信息公开披露前应予以保密，不得向他人泄露；</w:t>
      </w:r>
    </w:p>
    <w:p w14:paraId="34DB1E3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10</w:t>
      </w:r>
      <w:r>
        <w:rPr>
          <w:rFonts w:ascii="Arial" w:hAnsi="Arial" w:cs="Arial" w:hint="eastAsia"/>
          <w:kern w:val="0"/>
          <w:szCs w:val="21"/>
        </w:rPr>
        <w:t>）根据法律法规及本合同的约定，办理与基金托管业务活动有关的信息披露事项；</w:t>
      </w:r>
    </w:p>
    <w:p w14:paraId="55223C21" w14:textId="11AC05BE"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11</w:t>
      </w:r>
      <w:r>
        <w:rPr>
          <w:rFonts w:ascii="Arial" w:hAnsi="Arial" w:cs="Arial" w:hint="eastAsia"/>
          <w:kern w:val="0"/>
          <w:szCs w:val="21"/>
        </w:rPr>
        <w:t>）对基金财务会计报告、</w:t>
      </w:r>
      <w:r w:rsidR="00917EB9">
        <w:rPr>
          <w:rFonts w:ascii="Arial" w:hAnsi="Arial" w:cs="Arial" w:hint="eastAsia"/>
          <w:kern w:val="0"/>
          <w:szCs w:val="21"/>
        </w:rPr>
        <w:t>中期</w:t>
      </w:r>
      <w:r>
        <w:rPr>
          <w:rFonts w:ascii="Arial" w:hAnsi="Arial" w:cs="Arial" w:hint="eastAsia"/>
          <w:kern w:val="0"/>
          <w:szCs w:val="21"/>
        </w:rPr>
        <w:t>和年度基金报告的相关内容出具意见，说明基金管理人在各重要方面的运作是否严格按照基金合同的规定进行；如果基金管理人有未执行基金合同规定的行为，还应当说明基金托管人是否采取了适当的措施；</w:t>
      </w:r>
    </w:p>
    <w:p w14:paraId="1D69A14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12</w:t>
      </w:r>
      <w:r>
        <w:rPr>
          <w:rFonts w:ascii="Arial" w:hAnsi="Arial" w:cs="Arial" w:hint="eastAsia"/>
          <w:kern w:val="0"/>
          <w:szCs w:val="21"/>
        </w:rPr>
        <w:t>）保存基金份额持有人名册；</w:t>
      </w:r>
    </w:p>
    <w:p w14:paraId="785CA164" w14:textId="32F84B4C"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13</w:t>
      </w:r>
      <w:r>
        <w:rPr>
          <w:rFonts w:ascii="Arial" w:hAnsi="Arial" w:cs="Arial" w:hint="eastAsia"/>
          <w:kern w:val="0"/>
          <w:szCs w:val="21"/>
        </w:rPr>
        <w:t>）复核基金管理人计算的基金资产净值</w:t>
      </w:r>
      <w:r w:rsidR="00283338">
        <w:rPr>
          <w:rFonts w:ascii="Arial" w:hAnsi="Arial" w:cs="Arial" w:hint="eastAsia"/>
          <w:kern w:val="0"/>
          <w:szCs w:val="21"/>
        </w:rPr>
        <w:t>、基金份额净值</w:t>
      </w:r>
      <w:r>
        <w:rPr>
          <w:rFonts w:ascii="Arial" w:hAnsi="Arial" w:cs="Arial" w:hint="eastAsia"/>
          <w:kern w:val="0"/>
          <w:szCs w:val="21"/>
        </w:rPr>
        <w:t>和基金份额申购、赎回价格；</w:t>
      </w:r>
    </w:p>
    <w:p w14:paraId="14A8648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14</w:t>
      </w:r>
      <w:r>
        <w:rPr>
          <w:rFonts w:ascii="Arial" w:hAnsi="Arial" w:cs="Arial" w:hint="eastAsia"/>
          <w:kern w:val="0"/>
          <w:szCs w:val="21"/>
        </w:rPr>
        <w:t>）按规定制作相关账册并与基金管理人核对；</w:t>
      </w:r>
    </w:p>
    <w:p w14:paraId="1B264C5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15</w:t>
      </w:r>
      <w:r>
        <w:rPr>
          <w:rFonts w:ascii="Arial" w:hAnsi="Arial" w:cs="Arial" w:hint="eastAsia"/>
          <w:kern w:val="0"/>
          <w:szCs w:val="21"/>
        </w:rPr>
        <w:t>）依据基金管理人的指令或有关规定向基金份额持有人支付基金收益和赎回款项；</w:t>
      </w:r>
    </w:p>
    <w:p w14:paraId="274C6F2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16</w:t>
      </w:r>
      <w:r>
        <w:rPr>
          <w:rFonts w:ascii="Arial" w:hAnsi="Arial" w:cs="Arial" w:hint="eastAsia"/>
          <w:kern w:val="0"/>
          <w:szCs w:val="21"/>
        </w:rPr>
        <w:t>）按照规定召集基金份额持有人大会或配合基金管理人、基金份额持有人依法召集基金份额持有人大会；</w:t>
      </w:r>
    </w:p>
    <w:p w14:paraId="3A508C6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17</w:t>
      </w:r>
      <w:r>
        <w:rPr>
          <w:rFonts w:ascii="Arial" w:hAnsi="Arial" w:cs="Arial" w:hint="eastAsia"/>
          <w:kern w:val="0"/>
          <w:szCs w:val="21"/>
        </w:rPr>
        <w:t>）按照法律法规监督基金管理人的投资运作；</w:t>
      </w:r>
    </w:p>
    <w:p w14:paraId="3F25FF9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18</w:t>
      </w:r>
      <w:r>
        <w:rPr>
          <w:rFonts w:ascii="Arial" w:hAnsi="Arial" w:cs="Arial" w:hint="eastAsia"/>
          <w:kern w:val="0"/>
          <w:szCs w:val="21"/>
        </w:rPr>
        <w:t>）因过错违反基金合同导致基金财产损失，应承担赔偿责任，其责任不因其退任而免除；</w:t>
      </w:r>
    </w:p>
    <w:p w14:paraId="2FCC017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19</w:t>
      </w:r>
      <w:r>
        <w:rPr>
          <w:rFonts w:ascii="Arial" w:hAnsi="Arial" w:cs="Arial" w:hint="eastAsia"/>
          <w:kern w:val="0"/>
          <w:szCs w:val="21"/>
        </w:rPr>
        <w:t>）因基金管理人违反基金合同造成基金财产损失时，应为基金向基金管理人追偿，除法律法规另有规定外，基金托管人不承担连带责任；</w:t>
      </w:r>
    </w:p>
    <w:p w14:paraId="40617E3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20</w:t>
      </w:r>
      <w:r>
        <w:rPr>
          <w:rFonts w:ascii="Arial" w:hAnsi="Arial" w:cs="Arial" w:hint="eastAsia"/>
          <w:kern w:val="0"/>
          <w:szCs w:val="21"/>
        </w:rPr>
        <w:t>）法律法规、基金合同及中国证监会规定的其他义务。</w:t>
      </w:r>
    </w:p>
    <w:p w14:paraId="7732BB3F" w14:textId="77777777" w:rsidR="00ED45CB" w:rsidRDefault="00ED45CB">
      <w:pPr>
        <w:adjustRightInd w:val="0"/>
        <w:snapToGrid w:val="0"/>
        <w:spacing w:line="360" w:lineRule="auto"/>
        <w:ind w:firstLineChars="200" w:firstLine="420"/>
        <w:rPr>
          <w:rFonts w:ascii="Arial" w:hAnsi="Arial" w:cs="Arial"/>
          <w:szCs w:val="21"/>
        </w:rPr>
      </w:pPr>
    </w:p>
    <w:p w14:paraId="7046487C" w14:textId="77777777" w:rsidR="00ED45CB" w:rsidRDefault="00703CCA">
      <w:pPr>
        <w:adjustRightInd w:val="0"/>
        <w:snapToGrid w:val="0"/>
        <w:spacing w:line="360" w:lineRule="auto"/>
        <w:ind w:firstLineChars="200" w:firstLine="420"/>
        <w:rPr>
          <w:rFonts w:ascii="Arial" w:hAnsi="Arial" w:cs="Arial"/>
          <w:b/>
          <w:kern w:val="0"/>
          <w:szCs w:val="21"/>
        </w:rPr>
      </w:pPr>
      <w:bookmarkStart w:id="95" w:name="_Toc253128720"/>
      <w:bookmarkStart w:id="96" w:name="_Toc266369096"/>
      <w:r>
        <w:rPr>
          <w:rFonts w:ascii="Arial" w:hAnsi="Arial" w:cs="Arial"/>
          <w:b/>
          <w:kern w:val="0"/>
          <w:szCs w:val="21"/>
        </w:rPr>
        <w:lastRenderedPageBreak/>
        <w:t>二、基金份额持有人大会召集、议事及表决的程序和规则</w:t>
      </w:r>
      <w:bookmarkEnd w:id="95"/>
      <w:bookmarkEnd w:id="96"/>
    </w:p>
    <w:p w14:paraId="5357ACC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（一）本基金的基金份额持有人大会，由本基金的基金份额持有人组成，基金份额持有人可委托代理人参加会议并行使表决权。基金份额持有人持有的每一基金份额拥有平等的投票权。</w:t>
      </w:r>
    </w:p>
    <w:p w14:paraId="658BAE7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（二）有以下情形之一时，应召</w:t>
      </w:r>
      <w:proofErr w:type="gramStart"/>
      <w:r>
        <w:rPr>
          <w:rFonts w:ascii="Arial" w:hAnsi="Arial" w:cs="Arial" w:hint="eastAsia"/>
          <w:kern w:val="0"/>
          <w:szCs w:val="21"/>
        </w:rPr>
        <w:t>开基金</w:t>
      </w:r>
      <w:proofErr w:type="gramEnd"/>
      <w:r>
        <w:rPr>
          <w:rFonts w:ascii="Arial" w:hAnsi="Arial" w:cs="Arial" w:hint="eastAsia"/>
          <w:kern w:val="0"/>
          <w:szCs w:val="21"/>
        </w:rPr>
        <w:t>份额持有人大会：</w:t>
      </w:r>
    </w:p>
    <w:p w14:paraId="3AB0440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、终止基金合同；</w:t>
      </w:r>
    </w:p>
    <w:p w14:paraId="172F6B2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、转换基金运作方式；</w:t>
      </w:r>
    </w:p>
    <w:p w14:paraId="112DCAF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、提高基金管理人、基金托管人的报酬标准，但根据法律法规的要求提高该等报酬标准的除外；</w:t>
      </w:r>
    </w:p>
    <w:p w14:paraId="6DF9A46B" w14:textId="21E3ED92" w:rsidR="00ED45CB" w:rsidRDefault="00703CCA" w:rsidP="00917EB9">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、更换基金管理人、基金托管人；</w:t>
      </w:r>
    </w:p>
    <w:p w14:paraId="1D2598BB" w14:textId="1BB6BF0D"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、变更基金类别；</w:t>
      </w:r>
    </w:p>
    <w:p w14:paraId="4660FB26" w14:textId="4CCC0F1E"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、变更基金投资目标、范围或策略；</w:t>
      </w:r>
    </w:p>
    <w:p w14:paraId="118FCA02" w14:textId="4B6CD0FB"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7</w:t>
      </w:r>
      <w:r>
        <w:rPr>
          <w:rFonts w:ascii="Arial" w:hAnsi="Arial" w:cs="Arial" w:hint="eastAsia"/>
          <w:kern w:val="0"/>
          <w:szCs w:val="21"/>
        </w:rPr>
        <w:t>、变更基金份额持有人大会议事程序、表决方式和表决程序；</w:t>
      </w:r>
    </w:p>
    <w:p w14:paraId="5445631A" w14:textId="289A1A48"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8</w:t>
      </w:r>
      <w:r>
        <w:rPr>
          <w:rFonts w:ascii="Arial" w:hAnsi="Arial" w:cs="Arial" w:hint="eastAsia"/>
          <w:kern w:val="0"/>
          <w:szCs w:val="21"/>
        </w:rPr>
        <w:t>、本基金与其他基金合并；</w:t>
      </w:r>
    </w:p>
    <w:p w14:paraId="04F7B504" w14:textId="3AEF019E"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9</w:t>
      </w:r>
      <w:r>
        <w:rPr>
          <w:rFonts w:ascii="Arial" w:hAnsi="Arial" w:cs="Arial" w:hint="eastAsia"/>
          <w:kern w:val="0"/>
          <w:szCs w:val="21"/>
        </w:rPr>
        <w:t>、</w:t>
      </w:r>
      <w:r>
        <w:rPr>
          <w:rFonts w:ascii="Arial" w:hAnsi="Arial" w:cs="Arial"/>
          <w:kern w:val="0"/>
          <w:szCs w:val="21"/>
        </w:rPr>
        <w:t>基金管理人或基金托管人要求召开基金份额持有人大会；</w:t>
      </w:r>
    </w:p>
    <w:p w14:paraId="2DE80264" w14:textId="7E1DCC7B"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10</w:t>
      </w:r>
      <w:r>
        <w:rPr>
          <w:rFonts w:ascii="Arial" w:hAnsi="Arial" w:cs="Arial" w:hint="eastAsia"/>
          <w:kern w:val="0"/>
          <w:szCs w:val="21"/>
        </w:rPr>
        <w:t>、</w:t>
      </w:r>
      <w:r>
        <w:rPr>
          <w:rFonts w:ascii="Arial" w:hAnsi="Arial" w:cs="Arial"/>
          <w:kern w:val="0"/>
          <w:szCs w:val="21"/>
        </w:rPr>
        <w:t>单独或合计持有本基金总份额</w:t>
      </w:r>
      <w:r>
        <w:rPr>
          <w:rFonts w:ascii="Arial" w:hAnsi="Arial" w:cs="Arial"/>
          <w:kern w:val="0"/>
          <w:szCs w:val="21"/>
        </w:rPr>
        <w:t>10%</w:t>
      </w:r>
      <w:r>
        <w:rPr>
          <w:rFonts w:ascii="Arial" w:hAnsi="Arial" w:cs="Arial"/>
          <w:kern w:val="0"/>
          <w:szCs w:val="21"/>
        </w:rPr>
        <w:t>以上（含</w:t>
      </w:r>
      <w:r>
        <w:rPr>
          <w:rFonts w:ascii="Arial" w:hAnsi="Arial" w:cs="Arial"/>
          <w:kern w:val="0"/>
          <w:szCs w:val="21"/>
        </w:rPr>
        <w:t>10%</w:t>
      </w:r>
      <w:r>
        <w:rPr>
          <w:rFonts w:ascii="Arial" w:hAnsi="Arial" w:cs="Arial"/>
          <w:kern w:val="0"/>
          <w:szCs w:val="21"/>
        </w:rPr>
        <w:t>）基金份额的基金份额持有人（以基金管理人收到提议当日的基金份额计算，下同）就同一事项书面要求召开基金份额持有人大会；</w:t>
      </w:r>
    </w:p>
    <w:p w14:paraId="38B0890D" w14:textId="583A92D4"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11</w:t>
      </w:r>
      <w:r>
        <w:rPr>
          <w:rFonts w:ascii="Arial" w:hAnsi="Arial" w:cs="Arial" w:hint="eastAsia"/>
          <w:kern w:val="0"/>
          <w:szCs w:val="21"/>
        </w:rPr>
        <w:t>、对基金合同当事人权利、义务产生重大影响，需召开基金份额持有人大会的变更基金合同等其他事项；</w:t>
      </w:r>
    </w:p>
    <w:p w14:paraId="67867F94" w14:textId="5A1FAA80"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12</w:t>
      </w:r>
      <w:r>
        <w:rPr>
          <w:rFonts w:ascii="Arial" w:hAnsi="Arial" w:cs="Arial" w:hint="eastAsia"/>
          <w:kern w:val="0"/>
          <w:szCs w:val="21"/>
        </w:rPr>
        <w:t>、法律法规或中国证监会规定的其他应当召开基金份额持有人大会的事项。</w:t>
      </w:r>
    </w:p>
    <w:p w14:paraId="2DD9320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（三）有以下情形之一的，不需召开基金份额持有人大会：</w:t>
      </w:r>
    </w:p>
    <w:p w14:paraId="0060E12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、调低基金管理费率、基金托管费率；</w:t>
      </w:r>
    </w:p>
    <w:p w14:paraId="1FAB62C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、在法律法规和基金合同规定的范围内调整本基金的申购费率、调低赎回费率或变更收费方式；</w:t>
      </w:r>
    </w:p>
    <w:p w14:paraId="0CF82CB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w:t>
      </w:r>
      <w:proofErr w:type="gramStart"/>
      <w:r>
        <w:rPr>
          <w:rFonts w:ascii="Arial" w:hAnsi="Arial" w:cs="Arial" w:hint="eastAsia"/>
          <w:kern w:val="0"/>
          <w:szCs w:val="21"/>
        </w:rPr>
        <w:t>因相应</w:t>
      </w:r>
      <w:proofErr w:type="gramEnd"/>
      <w:r>
        <w:rPr>
          <w:rFonts w:ascii="Arial" w:hAnsi="Arial" w:cs="Arial" w:hint="eastAsia"/>
          <w:kern w:val="0"/>
          <w:szCs w:val="21"/>
        </w:rPr>
        <w:t>的法律法规发生变动而应当对基金合同进行修改；</w:t>
      </w:r>
    </w:p>
    <w:p w14:paraId="27D7CC2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、对基金合同的修改不涉及基金合同当事人权利义务关系发生重大变化；</w:t>
      </w:r>
    </w:p>
    <w:p w14:paraId="1CC0016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、对基金合同的修改对基金份额持有人利益无实质性不利影响；</w:t>
      </w:r>
    </w:p>
    <w:p w14:paraId="0D02DBA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、基金管理人、代销机构、注册登记机构在法律法规规定或中国证监会许可的范围内调整有关基金认购、申购、赎回、转换、</w:t>
      </w:r>
      <w:proofErr w:type="gramStart"/>
      <w:r>
        <w:rPr>
          <w:rFonts w:ascii="Arial" w:hAnsi="Arial" w:cs="Arial" w:hint="eastAsia"/>
          <w:kern w:val="0"/>
          <w:szCs w:val="21"/>
        </w:rPr>
        <w:t>非交易</w:t>
      </w:r>
      <w:proofErr w:type="gramEnd"/>
      <w:r>
        <w:rPr>
          <w:rFonts w:ascii="Arial" w:hAnsi="Arial" w:cs="Arial" w:hint="eastAsia"/>
          <w:kern w:val="0"/>
          <w:szCs w:val="21"/>
        </w:rPr>
        <w:t>过户、转托管等业务的规则；</w:t>
      </w:r>
    </w:p>
    <w:p w14:paraId="41B2877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7</w:t>
      </w:r>
      <w:r>
        <w:rPr>
          <w:rFonts w:ascii="Arial" w:hAnsi="Arial" w:cs="Arial" w:hint="eastAsia"/>
          <w:kern w:val="0"/>
          <w:szCs w:val="21"/>
        </w:rPr>
        <w:t>、除法律法规或基金合同规定应当召开基金份额持有人大会以外的其他情形。</w:t>
      </w:r>
    </w:p>
    <w:p w14:paraId="7902BCB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（四）召集方式：</w:t>
      </w:r>
    </w:p>
    <w:p w14:paraId="790F6B7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、除法律法规或基金合同另有约定外，基金份额持有人大会由基金管理人召集。基金管理人未按规定召集或不能召集时，由基金托管人召集。</w:t>
      </w:r>
    </w:p>
    <w:p w14:paraId="5F9A6EB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2</w:t>
      </w:r>
      <w:r>
        <w:rPr>
          <w:rFonts w:ascii="Arial" w:hAnsi="Arial" w:cs="Arial" w:hint="eastAsia"/>
          <w:kern w:val="0"/>
          <w:szCs w:val="21"/>
        </w:rPr>
        <w:t>、基金托管人认为有必要召开基金份额持有人大会的，应当向基金管理人提出书面提议。基金管理人应当自收到书面提议之日起</w:t>
      </w:r>
      <w:r>
        <w:rPr>
          <w:rFonts w:ascii="Arial" w:hAnsi="Arial" w:cs="Arial" w:hint="eastAsia"/>
          <w:kern w:val="0"/>
          <w:szCs w:val="21"/>
        </w:rPr>
        <w:t>10</w:t>
      </w:r>
      <w:r>
        <w:rPr>
          <w:rFonts w:ascii="Arial" w:hAnsi="Arial" w:cs="Arial" w:hint="eastAsia"/>
          <w:kern w:val="0"/>
          <w:szCs w:val="21"/>
        </w:rPr>
        <w:t>日内决定是否召集，并书面告知基金托管人。</w:t>
      </w:r>
      <w:r>
        <w:rPr>
          <w:rFonts w:ascii="Arial" w:hAnsi="Arial" w:cs="Arial" w:hint="eastAsia"/>
          <w:kern w:val="0"/>
          <w:szCs w:val="21"/>
        </w:rPr>
        <w:br/>
      </w:r>
      <w:r>
        <w:rPr>
          <w:rFonts w:ascii="Arial" w:hAnsi="Arial" w:cs="Arial" w:hint="eastAsia"/>
          <w:kern w:val="0"/>
          <w:szCs w:val="21"/>
        </w:rPr>
        <w:t>基金管理人决定召集的，应当自出具书面决定之日起</w:t>
      </w:r>
      <w:r>
        <w:rPr>
          <w:rFonts w:ascii="Arial" w:hAnsi="Arial" w:cs="Arial" w:hint="eastAsia"/>
          <w:kern w:val="0"/>
          <w:szCs w:val="21"/>
        </w:rPr>
        <w:t>60</w:t>
      </w:r>
      <w:r>
        <w:rPr>
          <w:rFonts w:ascii="Arial" w:hAnsi="Arial" w:cs="Arial" w:hint="eastAsia"/>
          <w:kern w:val="0"/>
          <w:szCs w:val="21"/>
        </w:rPr>
        <w:t>日内召开；基金管理人决定不召集，基金托管人仍认为有必要召开的，应当自行召集。</w:t>
      </w:r>
    </w:p>
    <w:p w14:paraId="4297905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、代表基金份额</w:t>
      </w:r>
      <w:r>
        <w:rPr>
          <w:rFonts w:ascii="Arial" w:hAnsi="Arial" w:cs="Arial" w:hint="eastAsia"/>
          <w:kern w:val="0"/>
          <w:szCs w:val="21"/>
        </w:rPr>
        <w:t>10%</w:t>
      </w:r>
      <w:r>
        <w:rPr>
          <w:rFonts w:ascii="Arial" w:hAnsi="Arial" w:cs="Arial" w:hint="eastAsia"/>
          <w:kern w:val="0"/>
          <w:szCs w:val="21"/>
        </w:rPr>
        <w:t>以上的基金份额持有人认为有必要召开基金份额持有人大会的，应当向基金管理人提出书面提议。基金管理人应当自收到书面提议之日起</w:t>
      </w:r>
      <w:r>
        <w:rPr>
          <w:rFonts w:ascii="Arial" w:hAnsi="Arial" w:cs="Arial" w:hint="eastAsia"/>
          <w:kern w:val="0"/>
          <w:szCs w:val="21"/>
        </w:rPr>
        <w:t>10</w:t>
      </w:r>
      <w:r>
        <w:rPr>
          <w:rFonts w:ascii="Arial" w:hAnsi="Arial" w:cs="Arial" w:hint="eastAsia"/>
          <w:kern w:val="0"/>
          <w:szCs w:val="21"/>
        </w:rPr>
        <w:t>日内决定是否召集，并书面告知提出提议的基金份额持有人代表和基金托管人。</w:t>
      </w:r>
      <w:r>
        <w:rPr>
          <w:rFonts w:ascii="Arial" w:hAnsi="Arial" w:cs="Arial" w:hint="eastAsia"/>
          <w:kern w:val="0"/>
          <w:szCs w:val="21"/>
        </w:rPr>
        <w:br/>
        <w:t xml:space="preserve">    </w:t>
      </w:r>
      <w:r>
        <w:rPr>
          <w:rFonts w:ascii="Arial" w:hAnsi="Arial" w:cs="Arial" w:hint="eastAsia"/>
          <w:kern w:val="0"/>
          <w:szCs w:val="21"/>
        </w:rPr>
        <w:t>基金管理人决定召集的，应当自出具书面决定之日起</w:t>
      </w:r>
      <w:r>
        <w:rPr>
          <w:rFonts w:ascii="Arial" w:hAnsi="Arial" w:cs="Arial" w:hint="eastAsia"/>
          <w:kern w:val="0"/>
          <w:szCs w:val="21"/>
        </w:rPr>
        <w:t>60</w:t>
      </w:r>
      <w:r>
        <w:rPr>
          <w:rFonts w:ascii="Arial" w:hAnsi="Arial" w:cs="Arial" w:hint="eastAsia"/>
          <w:kern w:val="0"/>
          <w:szCs w:val="21"/>
        </w:rPr>
        <w:t>日内召开；基金管理人决定不召集，代表基金份额</w:t>
      </w:r>
      <w:r>
        <w:rPr>
          <w:rFonts w:ascii="Arial" w:hAnsi="Arial" w:cs="Arial" w:hint="eastAsia"/>
          <w:kern w:val="0"/>
          <w:szCs w:val="21"/>
        </w:rPr>
        <w:t>10%</w:t>
      </w:r>
      <w:r>
        <w:rPr>
          <w:rFonts w:ascii="Arial" w:hAnsi="Arial" w:cs="Arial" w:hint="eastAsia"/>
          <w:kern w:val="0"/>
          <w:szCs w:val="21"/>
        </w:rPr>
        <w:t>以上的基金份额持有人仍认为有必要召开的，应当向基金托管人提出书面提议。</w:t>
      </w:r>
      <w:r>
        <w:rPr>
          <w:rFonts w:ascii="Arial" w:hAnsi="Arial" w:cs="Arial" w:hint="eastAsia"/>
          <w:kern w:val="0"/>
          <w:szCs w:val="21"/>
        </w:rPr>
        <w:br/>
        <w:t xml:space="preserve">    </w:t>
      </w:r>
      <w:r>
        <w:rPr>
          <w:rFonts w:ascii="Arial" w:hAnsi="Arial" w:cs="Arial" w:hint="eastAsia"/>
          <w:kern w:val="0"/>
          <w:szCs w:val="21"/>
        </w:rPr>
        <w:t>基金托管人应当自收到书面提议之日起</w:t>
      </w:r>
      <w:r>
        <w:rPr>
          <w:rFonts w:ascii="Arial" w:hAnsi="Arial" w:cs="Arial" w:hint="eastAsia"/>
          <w:kern w:val="0"/>
          <w:szCs w:val="21"/>
        </w:rPr>
        <w:t>10</w:t>
      </w:r>
      <w:r>
        <w:rPr>
          <w:rFonts w:ascii="Arial" w:hAnsi="Arial" w:cs="Arial" w:hint="eastAsia"/>
          <w:kern w:val="0"/>
          <w:szCs w:val="21"/>
        </w:rPr>
        <w:t>日内决定是否召集，并书面告知提出提议的基金份额持有人代表和基金管理人；基金托管人决定召集的，应当自出具书面决定之日起</w:t>
      </w:r>
      <w:r>
        <w:rPr>
          <w:rFonts w:ascii="Arial" w:hAnsi="Arial" w:cs="Arial" w:hint="eastAsia"/>
          <w:kern w:val="0"/>
          <w:szCs w:val="21"/>
        </w:rPr>
        <w:t>60</w:t>
      </w:r>
      <w:r>
        <w:rPr>
          <w:rFonts w:ascii="Arial" w:hAnsi="Arial" w:cs="Arial" w:hint="eastAsia"/>
          <w:kern w:val="0"/>
          <w:szCs w:val="21"/>
        </w:rPr>
        <w:t>日内召开。</w:t>
      </w:r>
    </w:p>
    <w:p w14:paraId="4B895C9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、代表基金份额</w:t>
      </w:r>
      <w:r>
        <w:rPr>
          <w:rFonts w:ascii="Arial" w:hAnsi="Arial" w:cs="Arial" w:hint="eastAsia"/>
          <w:kern w:val="0"/>
          <w:szCs w:val="21"/>
        </w:rPr>
        <w:t>10%</w:t>
      </w:r>
      <w:r>
        <w:rPr>
          <w:rFonts w:ascii="Arial" w:hAnsi="Arial" w:cs="Arial" w:hint="eastAsia"/>
          <w:kern w:val="0"/>
          <w:szCs w:val="21"/>
        </w:rPr>
        <w:t>的基金份额持有人就同一事项书面要求召开基金份额持有人大会，而基金管理人、基金托管人都不召集的，代表基金份额</w:t>
      </w:r>
      <w:r>
        <w:rPr>
          <w:rFonts w:ascii="Arial" w:hAnsi="Arial" w:cs="Arial" w:hint="eastAsia"/>
          <w:kern w:val="0"/>
          <w:szCs w:val="21"/>
        </w:rPr>
        <w:t>10%</w:t>
      </w:r>
      <w:r>
        <w:rPr>
          <w:rFonts w:ascii="Arial" w:hAnsi="Arial" w:cs="Arial" w:hint="eastAsia"/>
          <w:kern w:val="0"/>
          <w:szCs w:val="21"/>
        </w:rPr>
        <w:t>以上的基金份额持有人有权自行召集，并至少提前</w:t>
      </w:r>
      <w:r>
        <w:rPr>
          <w:rFonts w:ascii="Arial" w:hAnsi="Arial" w:cs="Arial" w:hint="eastAsia"/>
          <w:kern w:val="0"/>
          <w:szCs w:val="21"/>
        </w:rPr>
        <w:t>30</w:t>
      </w:r>
      <w:r>
        <w:rPr>
          <w:rFonts w:ascii="Arial" w:hAnsi="Arial" w:cs="Arial" w:hint="eastAsia"/>
          <w:kern w:val="0"/>
          <w:szCs w:val="21"/>
        </w:rPr>
        <w:t>日报中国证监会备案。</w:t>
      </w:r>
    </w:p>
    <w:p w14:paraId="6FB1871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、基金份额持有人依法自行召集基金份额持有人大会的，基金管理人、基金托管人应当配合，不得阻碍、干扰。</w:t>
      </w:r>
    </w:p>
    <w:p w14:paraId="0898315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、基金份额持有人大会的召集人负责选择确定开会时间、地点、方式和权益登记日。</w:t>
      </w:r>
    </w:p>
    <w:p w14:paraId="51AA4C4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（五）通知</w:t>
      </w:r>
    </w:p>
    <w:p w14:paraId="0D3DCA17" w14:textId="401DC6EA"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召开基金份额持有人大会，召集人应当于会议召开前</w:t>
      </w:r>
      <w:r>
        <w:rPr>
          <w:rFonts w:ascii="Arial" w:hAnsi="Arial" w:cs="Arial" w:hint="eastAsia"/>
          <w:kern w:val="0"/>
          <w:szCs w:val="21"/>
        </w:rPr>
        <w:t>30</w:t>
      </w:r>
      <w:r>
        <w:rPr>
          <w:rFonts w:ascii="Arial" w:hAnsi="Arial" w:cs="Arial" w:hint="eastAsia"/>
          <w:kern w:val="0"/>
          <w:szCs w:val="21"/>
        </w:rPr>
        <w:t>天在指定媒介上公告。基金份额持有人大会不得就未经公告的事项进行表决。基金份额持有人大会通知将至少载明以下内容：</w:t>
      </w:r>
    </w:p>
    <w:p w14:paraId="167E9CF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、会议召开的时间、地点、方式；</w:t>
      </w:r>
    </w:p>
    <w:p w14:paraId="1258639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、会议</w:t>
      </w:r>
      <w:proofErr w:type="gramStart"/>
      <w:r>
        <w:rPr>
          <w:rFonts w:ascii="Arial" w:hAnsi="Arial" w:cs="Arial" w:hint="eastAsia"/>
          <w:kern w:val="0"/>
          <w:szCs w:val="21"/>
        </w:rPr>
        <w:t>拟审议</w:t>
      </w:r>
      <w:proofErr w:type="gramEnd"/>
      <w:r>
        <w:rPr>
          <w:rFonts w:ascii="Arial" w:hAnsi="Arial" w:cs="Arial" w:hint="eastAsia"/>
          <w:kern w:val="0"/>
          <w:szCs w:val="21"/>
        </w:rPr>
        <w:t>的主要事项、议事程序和表决方式；</w:t>
      </w:r>
    </w:p>
    <w:p w14:paraId="63F1194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、代理投票授权委托书的内容要求、送达时间和地点；</w:t>
      </w:r>
    </w:p>
    <w:p w14:paraId="3363A3F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、会务常设联系人姓名、电话；</w:t>
      </w:r>
    </w:p>
    <w:p w14:paraId="109524A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、权益登记日；</w:t>
      </w:r>
    </w:p>
    <w:p w14:paraId="44ABD4D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如采用通讯表决方式，还应载明具体通讯方式、委托的公证机关及其联系方式和联系人、书面表达意见的寄交和收取方式、投票表决的截止日以及表决票的送达地址等内容。如召集人为基金管理人，还应另行书面通知基金托管人到指定地点对书面表决意见的计票进行监督；如召集人为基金托管人，则应另行书面通知基金管理人到指定地点对书面表决意见的计票进行监督；如召集人为基金份额持有人，则应另行书面通知基金管理人和基金托管人到指定地点对书面表决意见的计票进行监督。基金管理人或基金托管人</w:t>
      </w:r>
      <w:proofErr w:type="gramStart"/>
      <w:r>
        <w:rPr>
          <w:rFonts w:ascii="Arial" w:hAnsi="Arial" w:cs="Arial" w:hint="eastAsia"/>
          <w:kern w:val="0"/>
          <w:szCs w:val="21"/>
        </w:rPr>
        <w:t>拒不派</w:t>
      </w:r>
      <w:proofErr w:type="gramEnd"/>
      <w:r>
        <w:rPr>
          <w:rFonts w:ascii="Arial" w:hAnsi="Arial" w:cs="Arial" w:hint="eastAsia"/>
          <w:kern w:val="0"/>
          <w:szCs w:val="21"/>
        </w:rPr>
        <w:t>代表对书面表</w:t>
      </w:r>
      <w:r>
        <w:rPr>
          <w:rFonts w:ascii="Arial" w:hAnsi="Arial" w:cs="Arial" w:hint="eastAsia"/>
          <w:kern w:val="0"/>
          <w:szCs w:val="21"/>
        </w:rPr>
        <w:lastRenderedPageBreak/>
        <w:t>决意见的计票进行监督的，不影响表决意见的计票效力。</w:t>
      </w:r>
    </w:p>
    <w:p w14:paraId="0F10079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（六）开会方式</w:t>
      </w:r>
    </w:p>
    <w:p w14:paraId="7500893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份额持有人大会的召开方式包括现场开会、通讯方式开会或法律法规、中国证监会允许的其他方式。现场开会由基金份额持有人本人出席或通过授权委派其代理人出席，现场开会时基金管理人和基金托管人的授权代表应当出席；通讯方式</w:t>
      </w:r>
      <w:proofErr w:type="gramStart"/>
      <w:r>
        <w:rPr>
          <w:rFonts w:ascii="Arial" w:hAnsi="Arial" w:cs="Arial" w:hint="eastAsia"/>
          <w:kern w:val="0"/>
          <w:szCs w:val="21"/>
        </w:rPr>
        <w:t>开会指</w:t>
      </w:r>
      <w:proofErr w:type="gramEnd"/>
      <w:r>
        <w:rPr>
          <w:rFonts w:ascii="Arial" w:hAnsi="Arial" w:cs="Arial" w:hint="eastAsia"/>
          <w:kern w:val="0"/>
          <w:szCs w:val="21"/>
        </w:rPr>
        <w:t>按照基金合同的相关规定以通讯的书面方式进行表决。会议的召开方式由召集人确定，但决定基金管理人更换或基金托管人的更换、转换基金运作方式和终止基金合同事宜必须以现场开会方式召开基金份额持有人大会。</w:t>
      </w:r>
    </w:p>
    <w:p w14:paraId="309C0C5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现场开会同时符合以下条件时，可以进行基金份额持有人大会议程：</w:t>
      </w:r>
    </w:p>
    <w:p w14:paraId="6D935DD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、亲自出席会议者持有基金份额的凭证和受托出席会议者出具的委托人持有基金份额的凭证和授权委托书等文件符合法律法规、本基金合同和会议通知的规定；</w:t>
      </w:r>
    </w:p>
    <w:p w14:paraId="49831BC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、经核对，汇总到会者出示的在权益登记日持有基金份额的凭证显示，全部有效凭证所代表的基金份额占权益登记日基金总份额的</w:t>
      </w:r>
      <w:r>
        <w:rPr>
          <w:rFonts w:ascii="Arial" w:hAnsi="Arial" w:cs="Arial" w:hint="eastAsia"/>
          <w:kern w:val="0"/>
          <w:szCs w:val="21"/>
        </w:rPr>
        <w:t>50%</w:t>
      </w:r>
      <w:r>
        <w:rPr>
          <w:rFonts w:ascii="Arial" w:hAnsi="Arial" w:cs="Arial" w:hint="eastAsia"/>
          <w:kern w:val="0"/>
          <w:szCs w:val="21"/>
        </w:rPr>
        <w:t>以上。</w:t>
      </w:r>
    </w:p>
    <w:p w14:paraId="45CE717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在同时符合以下条件时，通讯开会的方式视为有效：</w:t>
      </w:r>
    </w:p>
    <w:p w14:paraId="1BE4EFC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、召集人按基金合同规定公布会议通知后，在两个工作日内连续公布相关提示性公告；</w:t>
      </w:r>
    </w:p>
    <w:p w14:paraId="38D05D1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召集人按基金合同规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14:paraId="2C8F4DF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、本人直接出具书面意见或授权他人代表出具书面意见的基金份额持有人所代表的基金份额占权益登记日基金总份额的</w:t>
      </w:r>
      <w:r>
        <w:rPr>
          <w:rFonts w:ascii="Arial" w:hAnsi="Arial" w:cs="Arial" w:hint="eastAsia"/>
          <w:kern w:val="0"/>
          <w:szCs w:val="21"/>
        </w:rPr>
        <w:t>50%</w:t>
      </w:r>
      <w:r>
        <w:rPr>
          <w:rFonts w:ascii="Arial" w:hAnsi="Arial" w:cs="Arial" w:hint="eastAsia"/>
          <w:kern w:val="0"/>
          <w:szCs w:val="21"/>
        </w:rPr>
        <w:t>以上；</w:t>
      </w:r>
    </w:p>
    <w:p w14:paraId="10AEA8B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直接出具书面意见的基金份额持有人或受托代表他人出具书面意见的其他代表，同时提交的身份证明、持有基金份额的凭证和受托出席会议者出具的委托人持有基金份额的凭证和授权委托书等文件符合法律法规、基金合同和会议通知的规定；</w:t>
      </w:r>
    </w:p>
    <w:p w14:paraId="178B3FD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、会议通知公布前已报中国证监会备案。</w:t>
      </w:r>
    </w:p>
    <w:p w14:paraId="541DAA6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如果开会条件达不到上述的条件，则召集人可另行确定并公告重新表决的时间</w:t>
      </w:r>
      <w:r>
        <w:rPr>
          <w:rFonts w:ascii="Arial" w:hAnsi="Arial" w:cs="Arial" w:hint="eastAsia"/>
          <w:kern w:val="0"/>
          <w:szCs w:val="21"/>
        </w:rPr>
        <w:t>(</w:t>
      </w:r>
      <w:r>
        <w:rPr>
          <w:rFonts w:ascii="Arial" w:hAnsi="Arial" w:cs="Arial" w:hint="eastAsia"/>
          <w:kern w:val="0"/>
          <w:szCs w:val="21"/>
        </w:rPr>
        <w:t>至少应在</w:t>
      </w:r>
      <w:r>
        <w:rPr>
          <w:rFonts w:ascii="Arial" w:hAnsi="Arial" w:cs="Arial" w:hint="eastAsia"/>
          <w:kern w:val="0"/>
          <w:szCs w:val="21"/>
        </w:rPr>
        <w:t xml:space="preserve">25 </w:t>
      </w:r>
      <w:proofErr w:type="gramStart"/>
      <w:r>
        <w:rPr>
          <w:rFonts w:ascii="Arial" w:hAnsi="Arial" w:cs="Arial" w:hint="eastAsia"/>
          <w:kern w:val="0"/>
          <w:szCs w:val="21"/>
        </w:rPr>
        <w:t>个</w:t>
      </w:r>
      <w:proofErr w:type="gramEnd"/>
      <w:r>
        <w:rPr>
          <w:rFonts w:ascii="Arial" w:hAnsi="Arial" w:cs="Arial" w:hint="eastAsia"/>
          <w:kern w:val="0"/>
          <w:szCs w:val="21"/>
        </w:rPr>
        <w:t>工作日后</w:t>
      </w:r>
      <w:r>
        <w:rPr>
          <w:rFonts w:ascii="Arial" w:hAnsi="Arial" w:cs="Arial" w:hint="eastAsia"/>
          <w:kern w:val="0"/>
          <w:szCs w:val="21"/>
        </w:rPr>
        <w:t>)</w:t>
      </w:r>
      <w:r>
        <w:rPr>
          <w:rFonts w:ascii="Arial" w:hAnsi="Arial" w:cs="Arial" w:hint="eastAsia"/>
          <w:kern w:val="0"/>
          <w:szCs w:val="21"/>
        </w:rPr>
        <w:t>，且确定有权出席会议的基金份额持有人资格的权益登记日应保持不变。在法律法规或监管机构允许的情况下，经会议通知载明，基金份额持有人也可以采用网络、电话或其他方式进行表决，或者采用网络、电话或其他方式授权他人代为出席会议并表决。</w:t>
      </w:r>
    </w:p>
    <w:p w14:paraId="111FC05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（七）议事内容与程序</w:t>
      </w:r>
    </w:p>
    <w:p w14:paraId="0A235C1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、议事内容及提案权</w:t>
      </w:r>
    </w:p>
    <w:p w14:paraId="098FDF6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）议事内容限为本条前述第（二）款规定的基金份额持有人大会召开事由范围内的事项。</w:t>
      </w:r>
    </w:p>
    <w:p w14:paraId="6F7B3DF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w:t>
      </w:r>
      <w:r>
        <w:rPr>
          <w:rFonts w:ascii="Arial" w:hAnsi="Arial" w:cs="Arial" w:hint="eastAsia"/>
          <w:kern w:val="0"/>
          <w:szCs w:val="21"/>
        </w:rPr>
        <w:t>2</w:t>
      </w:r>
      <w:r>
        <w:rPr>
          <w:rFonts w:ascii="Arial" w:hAnsi="Arial" w:cs="Arial" w:hint="eastAsia"/>
          <w:kern w:val="0"/>
          <w:szCs w:val="21"/>
        </w:rPr>
        <w:t>）基金管理人、基金托管人、代表基金份额</w:t>
      </w:r>
      <w:r>
        <w:rPr>
          <w:rFonts w:ascii="Arial" w:hAnsi="Arial" w:cs="Arial" w:hint="eastAsia"/>
          <w:kern w:val="0"/>
          <w:szCs w:val="21"/>
        </w:rPr>
        <w:t>10%</w:t>
      </w:r>
      <w:r>
        <w:rPr>
          <w:rFonts w:ascii="Arial" w:hAnsi="Arial" w:cs="Arial" w:hint="eastAsia"/>
          <w:kern w:val="0"/>
          <w:szCs w:val="21"/>
        </w:rPr>
        <w:t>以上的基金份额持有人可以在大会召集人发出会议通知前向大会召集人提交需由基金份额持有人大会审议表决的提案。</w:t>
      </w:r>
    </w:p>
    <w:p w14:paraId="6605707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）对于基金份额持有人提交的提案，大会召集人应当按照以下原则对提案进行审核：</w:t>
      </w:r>
    </w:p>
    <w:p w14:paraId="79B789F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a</w:t>
      </w:r>
      <w:r>
        <w:rPr>
          <w:rFonts w:ascii="Arial" w:hAnsi="Arial" w:cs="Arial" w:hint="eastAsia"/>
          <w:kern w:val="0"/>
          <w:szCs w:val="21"/>
        </w:rPr>
        <w:t>、关联性。大会召集人对于基金份额持有人提案涉及事项与基金有直接关系，并且不超出法律法规和基金合同规定的基金份额持有人大会职权范围的，应提交大会审议；对于不符合上述要求的，不提交基金份额持有人大会审议。如果召集人决定不将基金份额持有人提案提交大会表决，应当在该次基金份额持有人大会上进行解释和说明。</w:t>
      </w:r>
    </w:p>
    <w:p w14:paraId="1134F70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b</w:t>
      </w:r>
      <w:r>
        <w:rPr>
          <w:rFonts w:ascii="Arial" w:hAnsi="Arial" w:cs="Arial" w:hint="eastAsia"/>
          <w:kern w:val="0"/>
          <w:szCs w:val="21"/>
        </w:rPr>
        <w:t>、程序性。大会召集人可以对基金份额持有人的提案涉及的程序性问题做出决定。如将其提案进行分拆或合并表决，需征得原提案人同意；原提案人不同意变更的，大会主持人可以就程序性问题提请基金份额持有人大会做出决定，并按照基金份额持有人大会决定的程序进行审议。</w:t>
      </w:r>
    </w:p>
    <w:p w14:paraId="37F51B1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）单独或合并持有权益登记日基金份额</w:t>
      </w:r>
      <w:r>
        <w:rPr>
          <w:rFonts w:ascii="Arial" w:hAnsi="Arial" w:cs="Arial" w:hint="eastAsia"/>
          <w:kern w:val="0"/>
          <w:szCs w:val="21"/>
        </w:rPr>
        <w:t>10%</w:t>
      </w:r>
      <w:r>
        <w:rPr>
          <w:rFonts w:ascii="Arial" w:hAnsi="Arial" w:cs="Arial" w:hint="eastAsia"/>
          <w:kern w:val="0"/>
          <w:szCs w:val="21"/>
        </w:rPr>
        <w:t>以上的基金份额持有人提交基金份额持有人大会审议表决的提案，或基金管理人或基金托管人提交基金份额持有人大会审议表决的提案，未获得基金份额持有人大会审议通过，就同一提案再次提请基金份额持有人大会审议，其时间间隔不少于</w:t>
      </w:r>
      <w:r>
        <w:rPr>
          <w:rFonts w:ascii="Arial" w:hAnsi="Arial" w:cs="Arial" w:hint="eastAsia"/>
          <w:kern w:val="0"/>
          <w:szCs w:val="21"/>
        </w:rPr>
        <w:t>6</w:t>
      </w:r>
      <w:r>
        <w:rPr>
          <w:rFonts w:ascii="Arial" w:hAnsi="Arial" w:cs="Arial" w:hint="eastAsia"/>
          <w:kern w:val="0"/>
          <w:szCs w:val="21"/>
        </w:rPr>
        <w:t>个月。法律法规另有规定的除外。</w:t>
      </w:r>
    </w:p>
    <w:p w14:paraId="511DE60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）基金份额持有人大会不得对未事先公告的议事内容进行表决。</w:t>
      </w:r>
    </w:p>
    <w:p w14:paraId="030E60C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、议事程序</w:t>
      </w:r>
    </w:p>
    <w:p w14:paraId="59A2872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在现场开会的方式下，首先由召集人宣读提案，经讨论后进行表决，并形成大会决议，报经中国证监会核准或备案后生效。</w:t>
      </w:r>
    </w:p>
    <w:p w14:paraId="4B27E87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若召集人为基金管理人授权出席会议的代表，在基金管理人授权代表未能主持大会的情况下，由基金托管人授权出席会议的代表主持；如果基金管理人授权代表和基金托管人授权代表均未能主持大会，则由出席大会的基金份额持有人和代理人以所持表决权的</w:t>
      </w:r>
      <w:r>
        <w:rPr>
          <w:rFonts w:ascii="Arial" w:hAnsi="Arial" w:cs="Arial" w:hint="eastAsia"/>
          <w:kern w:val="0"/>
          <w:szCs w:val="21"/>
        </w:rPr>
        <w:t>50%</w:t>
      </w:r>
      <w:r>
        <w:rPr>
          <w:rFonts w:ascii="Arial" w:hAnsi="Arial" w:cs="Arial" w:hint="eastAsia"/>
          <w:kern w:val="0"/>
          <w:szCs w:val="21"/>
        </w:rPr>
        <w:t>以上（含</w:t>
      </w:r>
      <w:r>
        <w:rPr>
          <w:rFonts w:ascii="Arial" w:hAnsi="Arial" w:cs="Arial" w:hint="eastAsia"/>
          <w:kern w:val="0"/>
          <w:szCs w:val="21"/>
        </w:rPr>
        <w:t>50%</w:t>
      </w:r>
      <w:r>
        <w:rPr>
          <w:rFonts w:ascii="Arial" w:hAnsi="Arial" w:cs="Arial" w:hint="eastAsia"/>
          <w:kern w:val="0"/>
          <w:szCs w:val="21"/>
        </w:rPr>
        <w:t>）选举产生一名基金份额持有人作为该次基金份额持有人大会的主持人。基金管理人和基金托管人不出席或主持基金份额持有人大会，不影响基金份额持有人大会</w:t>
      </w:r>
      <w:proofErr w:type="gramStart"/>
      <w:r>
        <w:rPr>
          <w:rFonts w:ascii="Arial" w:hAnsi="Arial" w:cs="Arial" w:hint="eastAsia"/>
          <w:kern w:val="0"/>
          <w:szCs w:val="21"/>
        </w:rPr>
        <w:t>作出</w:t>
      </w:r>
      <w:proofErr w:type="gramEnd"/>
      <w:r>
        <w:rPr>
          <w:rFonts w:ascii="Arial" w:hAnsi="Arial" w:cs="Arial" w:hint="eastAsia"/>
          <w:kern w:val="0"/>
          <w:szCs w:val="21"/>
        </w:rPr>
        <w:t>的决议的效力。</w:t>
      </w:r>
    </w:p>
    <w:p w14:paraId="550E136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在通讯表决开会的方式下，首先由召集人在会议通知中公布提案，在所通知的表决截止日期第二个工作日由大会聘请的公证机关的公证员统计全部有效表决并形成决议，报经中国证监会核准或备案后生效。</w:t>
      </w:r>
    </w:p>
    <w:p w14:paraId="180ACE5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（八）表决</w:t>
      </w:r>
    </w:p>
    <w:p w14:paraId="719A2EA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、基金份额持有人所持每份基金份额享有平等的表决权。</w:t>
      </w:r>
    </w:p>
    <w:p w14:paraId="42FD8B9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、基金份额持有人大会决议分为一般决议和特别决议：</w:t>
      </w:r>
    </w:p>
    <w:p w14:paraId="13E1440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）特别决议</w:t>
      </w:r>
    </w:p>
    <w:p w14:paraId="43FB730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对于特别决议应当经参加大会的基金份额持有人所持表决权的三分之二以上（含三分之二）通过。</w:t>
      </w:r>
    </w:p>
    <w:p w14:paraId="2079572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w:t>
      </w:r>
      <w:r>
        <w:rPr>
          <w:rFonts w:ascii="Arial" w:hAnsi="Arial" w:cs="Arial" w:hint="eastAsia"/>
          <w:kern w:val="0"/>
          <w:szCs w:val="21"/>
        </w:rPr>
        <w:t>2</w:t>
      </w:r>
      <w:r>
        <w:rPr>
          <w:rFonts w:ascii="Arial" w:hAnsi="Arial" w:cs="Arial" w:hint="eastAsia"/>
          <w:kern w:val="0"/>
          <w:szCs w:val="21"/>
        </w:rPr>
        <w:t>）一般决议</w:t>
      </w:r>
    </w:p>
    <w:p w14:paraId="6A11F53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对于一般决议应当经参加大会的基金份额持有人所持表决权的</w:t>
      </w:r>
      <w:r>
        <w:rPr>
          <w:rFonts w:ascii="Arial" w:hAnsi="Arial" w:cs="Arial" w:hint="eastAsia"/>
          <w:kern w:val="0"/>
          <w:szCs w:val="21"/>
        </w:rPr>
        <w:t>50%</w:t>
      </w:r>
      <w:r>
        <w:rPr>
          <w:rFonts w:ascii="Arial" w:hAnsi="Arial" w:cs="Arial" w:hint="eastAsia"/>
          <w:kern w:val="0"/>
          <w:szCs w:val="21"/>
        </w:rPr>
        <w:t>以上通过。</w:t>
      </w:r>
    </w:p>
    <w:p w14:paraId="4DF9551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更换基金管理人或者基金托管人、转换基金运作方式或终止基金合同应当以特别决议通过方为有效。</w:t>
      </w:r>
    </w:p>
    <w:p w14:paraId="714119F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基金份额持有人大会采取记名方式进行投票表决。</w:t>
      </w:r>
    </w:p>
    <w:p w14:paraId="698EA3D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采取通讯方式进行表决时，符合法律法规、基金合同和会议通知规定的书面表决意见即视为有效的表决；表决意见模糊不清或相互矛盾的视为弃权表决，但应当计入出具书面意见的基金份额持有人所代表的基金份额总数。</w:t>
      </w:r>
    </w:p>
    <w:p w14:paraId="2030AAC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基金份额持有人大会的各项提案或同一项提案内并列的各项议题应当分开审议、逐项表决。</w:t>
      </w:r>
    </w:p>
    <w:p w14:paraId="061554B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（九）计票</w:t>
      </w:r>
    </w:p>
    <w:p w14:paraId="7B5EB21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、现场开会</w:t>
      </w:r>
    </w:p>
    <w:p w14:paraId="7AE2E12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基金份额持有人大会的主持人为召集人授权出席大会的代表，如大会由基金管理人或基金托管人召集，基金份额持有人大会的主持人应当在会议开始后宣布在出席会议的基金份额持有人中推举两名基金份额持有人代表与大会召集人授权的一名监督员</w:t>
      </w:r>
      <w:r>
        <w:rPr>
          <w:rFonts w:ascii="Arial" w:hAnsi="Arial" w:cs="Arial" w:hint="eastAsia"/>
          <w:kern w:val="0"/>
          <w:szCs w:val="21"/>
        </w:rPr>
        <w:t>(</w:t>
      </w:r>
      <w:r>
        <w:rPr>
          <w:rFonts w:ascii="Arial" w:hAnsi="Arial" w:cs="Arial" w:hint="eastAsia"/>
          <w:kern w:val="0"/>
          <w:szCs w:val="21"/>
        </w:rPr>
        <w:t>如果基金管理人为召集人，则监督员由基金托管人的授权代表担任；如基金托管人为召集人，则监督员由基金托管人在出席会议的基金份额持有人中指定</w:t>
      </w:r>
      <w:r>
        <w:rPr>
          <w:rFonts w:ascii="Arial" w:hAnsi="Arial" w:cs="Arial" w:hint="eastAsia"/>
          <w:kern w:val="0"/>
          <w:szCs w:val="21"/>
        </w:rPr>
        <w:t>)</w:t>
      </w:r>
      <w:r>
        <w:rPr>
          <w:rFonts w:ascii="Arial" w:hAnsi="Arial" w:cs="Arial" w:hint="eastAsia"/>
          <w:kern w:val="0"/>
          <w:szCs w:val="21"/>
        </w:rPr>
        <w:t>共同担任监票人；如大会由基金份额持有人自行召集，基金份额持有人大会的主持人应当在会议开始后宣布在出席会议的基金份额持有人中推举三名基金份额持有人代表担任监票人。</w:t>
      </w:r>
    </w:p>
    <w:p w14:paraId="6CE3F25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）监票人应当在基金份额持有人表决后立即进行清点并由大会主持人当场公布计票结果。</w:t>
      </w:r>
    </w:p>
    <w:p w14:paraId="7FD448A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如果大会主持人对于提交的表决结果有怀疑，可以对所投票数进行重新清点；如果大会主持人未进行重新清点，而出席大会的基金份额持有人或者基金份额持有人代理人对大会主持人宣布的表决结果有异议，其有权在宣布表决结果后立即要求重新清点，大会主持人应当立即重新清点并公布重新清点结果。重新清点仅限一次。</w:t>
      </w:r>
    </w:p>
    <w:p w14:paraId="0DF4C55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）在基金管理人或基金托管人担任召集人的情形下，如果在计票过程中基金管理人或者基金托管人拒不配合的，则参加会议的基金份额持有人有权推举三名基金份额持有人代表共同担任监票人进行计票。</w:t>
      </w:r>
    </w:p>
    <w:p w14:paraId="0242EF1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、通讯方式开会</w:t>
      </w:r>
    </w:p>
    <w:p w14:paraId="5CDA714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在通讯方式开会的情况下，计票方式可采取如下方式：</w:t>
      </w:r>
    </w:p>
    <w:p w14:paraId="4338DF0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由大会召集人授权的两名监票人在监督人（如果基金管理人为召集人，基金托管人为监督人；如果基金托管人为召集人，基金管理人为监督人）派出的授权代表的监督下进行计票，并由公证机关对其计票过程予以公证；如监督人经通知但拒绝到场监督，</w:t>
      </w:r>
      <w:proofErr w:type="gramStart"/>
      <w:r>
        <w:rPr>
          <w:rFonts w:ascii="Arial" w:hAnsi="Arial" w:cs="Arial" w:hint="eastAsia"/>
          <w:kern w:val="0"/>
          <w:szCs w:val="21"/>
        </w:rPr>
        <w:t>则大会</w:t>
      </w:r>
      <w:proofErr w:type="gramEnd"/>
      <w:r>
        <w:rPr>
          <w:rFonts w:ascii="Arial" w:hAnsi="Arial" w:cs="Arial" w:hint="eastAsia"/>
          <w:kern w:val="0"/>
          <w:szCs w:val="21"/>
        </w:rPr>
        <w:t>召集人可自行授权</w:t>
      </w:r>
      <w:r>
        <w:rPr>
          <w:rFonts w:ascii="Arial" w:hAnsi="Arial" w:cs="Arial"/>
          <w:kern w:val="0"/>
          <w:szCs w:val="21"/>
        </w:rPr>
        <w:t>3</w:t>
      </w:r>
      <w:r>
        <w:rPr>
          <w:rFonts w:ascii="Arial" w:hAnsi="Arial" w:cs="Arial" w:hint="eastAsia"/>
          <w:kern w:val="0"/>
          <w:szCs w:val="21"/>
        </w:rPr>
        <w:t>名监票人进行计票，并由公证机关对其计票过程予以公证。。</w:t>
      </w:r>
    </w:p>
    <w:p w14:paraId="77CFFFE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（十）生效与公告</w:t>
      </w:r>
    </w:p>
    <w:p w14:paraId="0199394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、基金份额持有人大会按照《基金法》有关法律法规规定表决通过的事项，召集人应当自通过之日起</w:t>
      </w:r>
      <w:r>
        <w:rPr>
          <w:rFonts w:ascii="Arial" w:hAnsi="Arial" w:cs="Arial" w:hint="eastAsia"/>
          <w:kern w:val="0"/>
          <w:szCs w:val="21"/>
        </w:rPr>
        <w:t>5</w:t>
      </w:r>
      <w:r>
        <w:rPr>
          <w:rFonts w:ascii="Arial" w:hAnsi="Arial" w:cs="Arial" w:hint="eastAsia"/>
          <w:kern w:val="0"/>
          <w:szCs w:val="21"/>
        </w:rPr>
        <w:t>日内报中国证监会核准或者备案。基金份额持有人大会决定的事项自中国证监会依法核准或者出具无异议意见之日起生效。</w:t>
      </w:r>
    </w:p>
    <w:p w14:paraId="6E3641A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、生效的基金份额持有人大会决议对全体基金份额持有人、基金管理人、基金托管人均有法律约束力。基金管理人、基金托管人和基金份额持有人应当执行生效的基金份额持有人大会的决定。</w:t>
      </w:r>
    </w:p>
    <w:p w14:paraId="3281E270" w14:textId="5164E6C8"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、基金份额持有人大会决议应当自中国证监会核准或出具无异议意见后</w:t>
      </w:r>
      <w:r>
        <w:rPr>
          <w:rFonts w:ascii="Arial" w:hAnsi="Arial" w:cs="Arial" w:hint="eastAsia"/>
          <w:kern w:val="0"/>
          <w:szCs w:val="21"/>
        </w:rPr>
        <w:t>2</w:t>
      </w:r>
      <w:r>
        <w:rPr>
          <w:rFonts w:ascii="Arial" w:hAnsi="Arial" w:cs="Arial" w:hint="eastAsia"/>
          <w:kern w:val="0"/>
          <w:szCs w:val="21"/>
        </w:rPr>
        <w:t>日内，由基金份额持有人大会召集人在指定媒介上公告。</w:t>
      </w:r>
    </w:p>
    <w:p w14:paraId="3BD8B33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、如果采用通讯方式进行表决，在公告基金份额持有人大会决议时，必须将公证书全文、公证机关、公证员姓名等一同公告。</w:t>
      </w:r>
    </w:p>
    <w:p w14:paraId="0360E8C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（十一）本基金与博时黄金交易型开放式证券投资基金之间在基金份额持有人大会方面的联系</w:t>
      </w:r>
      <w:r>
        <w:rPr>
          <w:rFonts w:ascii="Arial" w:hAnsi="Arial" w:cs="Arial"/>
          <w:kern w:val="0"/>
          <w:szCs w:val="21"/>
        </w:rPr>
        <w:t xml:space="preserve"> </w:t>
      </w:r>
    </w:p>
    <w:p w14:paraId="37CDF36E" w14:textId="77777777" w:rsidR="00ED45CB" w:rsidRDefault="00703CCA">
      <w:pPr>
        <w:adjustRightInd w:val="0"/>
        <w:snapToGrid w:val="0"/>
        <w:spacing w:line="360" w:lineRule="auto"/>
        <w:ind w:firstLineChars="200" w:firstLine="420"/>
        <w:rPr>
          <w:rFonts w:ascii="Arial" w:hAnsi="Arial" w:cs="Arial"/>
          <w:kern w:val="0"/>
          <w:szCs w:val="21"/>
        </w:rPr>
      </w:pPr>
      <w:proofErr w:type="gramStart"/>
      <w:r>
        <w:rPr>
          <w:rFonts w:ascii="Arial" w:hAnsi="Arial" w:cs="Arial" w:hint="eastAsia"/>
          <w:kern w:val="0"/>
          <w:szCs w:val="21"/>
        </w:rPr>
        <w:t>鉴于本</w:t>
      </w:r>
      <w:proofErr w:type="gramEnd"/>
      <w:r>
        <w:rPr>
          <w:rFonts w:ascii="Arial" w:hAnsi="Arial" w:cs="Arial" w:hint="eastAsia"/>
          <w:kern w:val="0"/>
          <w:szCs w:val="21"/>
        </w:rPr>
        <w:t>基金是博时黄金交易型开放式证券投资基金的联接基金，本基金的基金份额持有人可以凭所持有的本基金份额直接参加或委派代表参加博时黄金交易型开放式证券投资</w:t>
      </w:r>
      <w:proofErr w:type="gramStart"/>
      <w:r>
        <w:rPr>
          <w:rFonts w:ascii="Arial" w:hAnsi="Arial" w:cs="Arial" w:hint="eastAsia"/>
          <w:kern w:val="0"/>
          <w:szCs w:val="21"/>
        </w:rPr>
        <w:t>基金基金</w:t>
      </w:r>
      <w:proofErr w:type="gramEnd"/>
      <w:r>
        <w:rPr>
          <w:rFonts w:ascii="Arial" w:hAnsi="Arial" w:cs="Arial" w:hint="eastAsia"/>
          <w:kern w:val="0"/>
          <w:szCs w:val="21"/>
        </w:rPr>
        <w:t>份额持有人大会并参与表决。在计算参会份额和票数时，本基金的基金份额持有人持有的享有表决权的参会份额数和表决票数为：在博时黄金交易型开放式证券投资</w:t>
      </w:r>
      <w:proofErr w:type="gramStart"/>
      <w:r>
        <w:rPr>
          <w:rFonts w:ascii="Arial" w:hAnsi="Arial" w:cs="Arial" w:hint="eastAsia"/>
          <w:kern w:val="0"/>
          <w:szCs w:val="21"/>
        </w:rPr>
        <w:t>基金基金</w:t>
      </w:r>
      <w:proofErr w:type="gramEnd"/>
      <w:r>
        <w:rPr>
          <w:rFonts w:ascii="Arial" w:hAnsi="Arial" w:cs="Arial" w:hint="eastAsia"/>
          <w:kern w:val="0"/>
          <w:szCs w:val="21"/>
        </w:rPr>
        <w:t>份额持有人大会的权益登记日，本基金持有博时黄金交易型开放式证券投资</w:t>
      </w:r>
      <w:proofErr w:type="gramStart"/>
      <w:r>
        <w:rPr>
          <w:rFonts w:ascii="Arial" w:hAnsi="Arial" w:cs="Arial" w:hint="eastAsia"/>
          <w:kern w:val="0"/>
          <w:szCs w:val="21"/>
        </w:rPr>
        <w:t>基金基金</w:t>
      </w:r>
      <w:proofErr w:type="gramEnd"/>
      <w:r>
        <w:rPr>
          <w:rFonts w:ascii="Arial" w:hAnsi="Arial" w:cs="Arial" w:hint="eastAsia"/>
          <w:kern w:val="0"/>
          <w:szCs w:val="21"/>
        </w:rPr>
        <w:t>份额的总数乘以该持有人所持有的本基金份额占本基金总份额的比例，计算结果按照四舍五入的方法，保留到整数位。</w:t>
      </w:r>
      <w:r>
        <w:rPr>
          <w:rFonts w:ascii="Arial" w:hAnsi="Arial" w:cs="Arial"/>
          <w:kern w:val="0"/>
          <w:szCs w:val="21"/>
        </w:rPr>
        <w:t xml:space="preserve"> </w:t>
      </w:r>
    </w:p>
    <w:p w14:paraId="7300891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本基金的基金管理人不应以本基金的名义代表本基金的全体基金份额持有人以博时黄金交易型开放式证券投资基金的基金份额持有人的身份行使表决权，但可接受本基金的</w:t>
      </w:r>
      <w:proofErr w:type="gramStart"/>
      <w:r>
        <w:rPr>
          <w:rFonts w:ascii="Arial" w:hAnsi="Arial" w:cs="Arial" w:hint="eastAsia"/>
          <w:kern w:val="0"/>
          <w:szCs w:val="21"/>
        </w:rPr>
        <w:t>特定基金</w:t>
      </w:r>
      <w:proofErr w:type="gramEnd"/>
      <w:r>
        <w:rPr>
          <w:rFonts w:ascii="Arial" w:hAnsi="Arial" w:cs="Arial" w:hint="eastAsia"/>
          <w:kern w:val="0"/>
          <w:szCs w:val="21"/>
        </w:rPr>
        <w:t>份额持有人的委托以本基金的基金份额持有人代理人的身份出席博时黄金交易型开放式证券投资基金的基金份额持有人大会并参与表决。</w:t>
      </w:r>
      <w:r>
        <w:rPr>
          <w:rFonts w:ascii="Arial" w:hAnsi="Arial" w:cs="Arial"/>
          <w:kern w:val="0"/>
          <w:szCs w:val="21"/>
        </w:rPr>
        <w:t xml:space="preserve"> </w:t>
      </w:r>
    </w:p>
    <w:p w14:paraId="7698382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本基金的基金管理人代表本基金的基金份额持有人提议召开或召集博时黄金交易型开放式证券投资基金份额持有人大会的，须先遵照本</w:t>
      </w:r>
      <w:proofErr w:type="gramStart"/>
      <w:r>
        <w:rPr>
          <w:rFonts w:ascii="Arial" w:hAnsi="Arial" w:cs="Arial" w:hint="eastAsia"/>
          <w:kern w:val="0"/>
          <w:szCs w:val="21"/>
        </w:rPr>
        <w:t>基金基金</w:t>
      </w:r>
      <w:proofErr w:type="gramEnd"/>
      <w:r>
        <w:rPr>
          <w:rFonts w:ascii="Arial" w:hAnsi="Arial" w:cs="Arial" w:hint="eastAsia"/>
          <w:kern w:val="0"/>
          <w:szCs w:val="21"/>
        </w:rPr>
        <w:t>合同的约定召开本基金的基金份额持有人大会，本基金的基金份额持有人大会决定提议召开或召集博时黄金交易型开放式证券投资</w:t>
      </w:r>
      <w:proofErr w:type="gramStart"/>
      <w:r>
        <w:rPr>
          <w:rFonts w:ascii="Arial" w:hAnsi="Arial" w:cs="Arial" w:hint="eastAsia"/>
          <w:kern w:val="0"/>
          <w:szCs w:val="21"/>
        </w:rPr>
        <w:t>基金基金</w:t>
      </w:r>
      <w:proofErr w:type="gramEnd"/>
      <w:r>
        <w:rPr>
          <w:rFonts w:ascii="Arial" w:hAnsi="Arial" w:cs="Arial" w:hint="eastAsia"/>
          <w:kern w:val="0"/>
          <w:szCs w:val="21"/>
        </w:rPr>
        <w:t>份额持有人大会的，由本</w:t>
      </w:r>
      <w:proofErr w:type="gramStart"/>
      <w:r>
        <w:rPr>
          <w:rFonts w:ascii="Arial" w:hAnsi="Arial" w:cs="Arial" w:hint="eastAsia"/>
          <w:kern w:val="0"/>
          <w:szCs w:val="21"/>
        </w:rPr>
        <w:t>基金基金</w:t>
      </w:r>
      <w:proofErr w:type="gramEnd"/>
      <w:r>
        <w:rPr>
          <w:rFonts w:ascii="Arial" w:hAnsi="Arial" w:cs="Arial" w:hint="eastAsia"/>
          <w:kern w:val="0"/>
          <w:szCs w:val="21"/>
        </w:rPr>
        <w:t>管理人代表本基金的基金份额持有人提议召开或召集博时黄金交易型开放式证券投资</w:t>
      </w:r>
      <w:proofErr w:type="gramStart"/>
      <w:r>
        <w:rPr>
          <w:rFonts w:ascii="Arial" w:hAnsi="Arial" w:cs="Arial" w:hint="eastAsia"/>
          <w:kern w:val="0"/>
          <w:szCs w:val="21"/>
        </w:rPr>
        <w:t>基金基金</w:t>
      </w:r>
      <w:proofErr w:type="gramEnd"/>
      <w:r>
        <w:rPr>
          <w:rFonts w:ascii="Arial" w:hAnsi="Arial" w:cs="Arial" w:hint="eastAsia"/>
          <w:kern w:val="0"/>
          <w:szCs w:val="21"/>
        </w:rPr>
        <w:t>份额持有人大会。</w:t>
      </w:r>
    </w:p>
    <w:p w14:paraId="48AF39A9" w14:textId="77777777" w:rsidR="00ED45CB" w:rsidRDefault="00703CCA">
      <w:pPr>
        <w:adjustRightInd w:val="0"/>
        <w:snapToGrid w:val="0"/>
        <w:spacing w:line="360" w:lineRule="auto"/>
        <w:ind w:firstLineChars="200" w:firstLine="420"/>
        <w:rPr>
          <w:rFonts w:ascii="Arial" w:hAnsi="Arial"/>
          <w:szCs w:val="21"/>
        </w:rPr>
      </w:pPr>
      <w:r>
        <w:rPr>
          <w:rFonts w:ascii="Arial" w:hAnsi="Arial" w:cs="Arial" w:hint="eastAsia"/>
          <w:kern w:val="0"/>
          <w:szCs w:val="21"/>
        </w:rPr>
        <w:t>（十二）法律法规或监管机关对基金份额持有人大会另有规定的，从其规定。</w:t>
      </w:r>
    </w:p>
    <w:p w14:paraId="0543EE3A" w14:textId="77777777" w:rsidR="00ED45CB" w:rsidRDefault="00ED45CB">
      <w:pPr>
        <w:adjustRightInd w:val="0"/>
        <w:snapToGrid w:val="0"/>
        <w:spacing w:line="360" w:lineRule="auto"/>
        <w:ind w:firstLineChars="200" w:firstLine="420"/>
        <w:rPr>
          <w:rFonts w:ascii="Arial" w:hAnsi="Arial" w:cs="Arial"/>
          <w:szCs w:val="21"/>
        </w:rPr>
      </w:pPr>
    </w:p>
    <w:p w14:paraId="1A16D4C7" w14:textId="77777777" w:rsidR="00ED45CB" w:rsidRDefault="00703CCA">
      <w:pPr>
        <w:adjustRightInd w:val="0"/>
        <w:snapToGrid w:val="0"/>
        <w:spacing w:line="360" w:lineRule="auto"/>
        <w:ind w:firstLineChars="200" w:firstLine="420"/>
        <w:rPr>
          <w:rFonts w:ascii="Arial" w:hAnsi="Arial" w:cs="Arial"/>
          <w:b/>
          <w:kern w:val="0"/>
          <w:szCs w:val="21"/>
        </w:rPr>
      </w:pPr>
      <w:bookmarkStart w:id="97" w:name="_Toc253128721"/>
      <w:bookmarkStart w:id="98" w:name="_Toc266369097"/>
      <w:r>
        <w:rPr>
          <w:rFonts w:ascii="Arial" w:hAnsi="Arial" w:cs="Arial"/>
          <w:b/>
          <w:kern w:val="0"/>
          <w:szCs w:val="21"/>
        </w:rPr>
        <w:t>三、基金收益分配原则、执行方式</w:t>
      </w:r>
      <w:bookmarkEnd w:id="97"/>
      <w:bookmarkEnd w:id="98"/>
    </w:p>
    <w:p w14:paraId="78EDA87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（一）收益的构成</w:t>
      </w:r>
    </w:p>
    <w:p w14:paraId="5065A73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基金本期利润是指基金本期已实现收益加上本期公允价值变动收益。基金本期已实现收</w:t>
      </w:r>
      <w:r>
        <w:rPr>
          <w:rFonts w:ascii="Arial" w:hAnsi="Arial" w:cs="Arial" w:hint="eastAsia"/>
          <w:kern w:val="0"/>
          <w:szCs w:val="21"/>
        </w:rPr>
        <w:lastRenderedPageBreak/>
        <w:t>益指基金本期利息收入、投资收益、其他收入（不含公允价值变动收益）扣除相关费用后的余额。</w:t>
      </w:r>
    </w:p>
    <w:p w14:paraId="66CCC0B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期末可供分配利润，采用期末资产负债表中未分配利润与未分配利润中已实现部分的孰低数。</w:t>
      </w:r>
    </w:p>
    <w:p w14:paraId="580A479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（二）收益分配原则</w:t>
      </w:r>
    </w:p>
    <w:p w14:paraId="1D68F8D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Arial" w:cs="Arial"/>
          <w:kern w:val="0"/>
          <w:szCs w:val="21"/>
        </w:rPr>
        <w:t>、基金收益分配采用现金方式或红利再投资方式（指将现金红利按分红权益再</w:t>
      </w:r>
      <w:proofErr w:type="gramStart"/>
      <w:r>
        <w:rPr>
          <w:rFonts w:ascii="Arial" w:hAnsi="Arial" w:cs="Arial"/>
          <w:kern w:val="0"/>
          <w:szCs w:val="21"/>
        </w:rPr>
        <w:t>投资日经过</w:t>
      </w:r>
      <w:proofErr w:type="gramEnd"/>
      <w:r>
        <w:rPr>
          <w:rFonts w:ascii="Arial" w:hAnsi="Arial" w:cs="Arial"/>
          <w:kern w:val="0"/>
          <w:szCs w:val="21"/>
        </w:rPr>
        <w:t>除权后的基金份额净值为计算基准自动转为基金份额进行再投资），基金份额持有人可选择现金方式或红利再投资方式；基金份额持有人事先未做出选择的，默认的分红方式为现金方式；</w:t>
      </w:r>
    </w:p>
    <w:p w14:paraId="5F1E540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Arial" w:cs="Arial"/>
          <w:kern w:val="0"/>
          <w:szCs w:val="21"/>
        </w:rPr>
        <w:t>、</w:t>
      </w:r>
      <w:r>
        <w:rPr>
          <w:rFonts w:ascii="Arial" w:hAnsi="Arial" w:cs="Arial" w:hint="eastAsia"/>
          <w:kern w:val="0"/>
          <w:szCs w:val="21"/>
        </w:rPr>
        <w:t>同一类别的</w:t>
      </w:r>
      <w:r>
        <w:rPr>
          <w:rFonts w:ascii="Arial" w:hAnsi="Arial" w:cs="Arial"/>
          <w:kern w:val="0"/>
          <w:szCs w:val="21"/>
        </w:rPr>
        <w:t>每一基金份额享有同等分配权；</w:t>
      </w:r>
    </w:p>
    <w:p w14:paraId="298A4BD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Arial" w:cs="Arial"/>
          <w:kern w:val="0"/>
          <w:szCs w:val="21"/>
        </w:rPr>
        <w:t>、在符合基金分红条件的前提下，基金收益每年最多分配</w:t>
      </w:r>
      <w:r>
        <w:rPr>
          <w:rFonts w:ascii="Arial" w:hAnsi="Arial" w:cs="Arial"/>
          <w:kern w:val="0"/>
          <w:szCs w:val="21"/>
        </w:rPr>
        <w:t>2</w:t>
      </w:r>
      <w:r>
        <w:rPr>
          <w:rFonts w:ascii="Arial" w:hAnsi="Arial" w:cs="Arial"/>
          <w:kern w:val="0"/>
          <w:szCs w:val="21"/>
        </w:rPr>
        <w:t>次，每次基金收益分配比例不低于可供分配利润的</w:t>
      </w:r>
      <w:r>
        <w:rPr>
          <w:rFonts w:ascii="Arial" w:hAnsi="Arial" w:cs="Arial"/>
          <w:kern w:val="0"/>
          <w:szCs w:val="21"/>
        </w:rPr>
        <w:t>10%</w:t>
      </w:r>
      <w:r>
        <w:rPr>
          <w:rFonts w:ascii="Arial" w:hAnsi="Arial" w:cs="Arial"/>
          <w:kern w:val="0"/>
          <w:szCs w:val="21"/>
        </w:rPr>
        <w:t>，基金的收益分配比例应当以收益分配基准日可供分配利润为基准计算。若自基金合同生效日起不满</w:t>
      </w:r>
      <w:r>
        <w:rPr>
          <w:rFonts w:ascii="Arial" w:hAnsi="Arial" w:cs="Arial"/>
          <w:kern w:val="0"/>
          <w:szCs w:val="21"/>
        </w:rPr>
        <w:t>3</w:t>
      </w:r>
      <w:r>
        <w:rPr>
          <w:rFonts w:ascii="Arial" w:hAnsi="Arial" w:cs="Arial"/>
          <w:kern w:val="0"/>
          <w:szCs w:val="21"/>
        </w:rPr>
        <w:t>个月，可不进行收益分配；</w:t>
      </w:r>
    </w:p>
    <w:p w14:paraId="398B380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Arial" w:cs="Arial"/>
          <w:kern w:val="0"/>
          <w:szCs w:val="21"/>
        </w:rPr>
        <w:t>、基金收益分配基准日的基金份额净值减去每单位基金份额收益分配净额后不能低于面值；</w:t>
      </w:r>
      <w:r>
        <w:rPr>
          <w:rFonts w:ascii="Arial" w:hAnsi="Arial" w:cs="Arial"/>
          <w:kern w:val="0"/>
          <w:szCs w:val="21"/>
        </w:rPr>
        <w:t xml:space="preserve"> </w:t>
      </w:r>
    </w:p>
    <w:p w14:paraId="2CF1AA6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Arial" w:cs="Arial"/>
          <w:kern w:val="0"/>
          <w:szCs w:val="21"/>
        </w:rPr>
        <w:t>、基金红利发放</w:t>
      </w:r>
      <w:proofErr w:type="gramStart"/>
      <w:r>
        <w:rPr>
          <w:rFonts w:ascii="Arial" w:hAnsi="Arial" w:cs="Arial"/>
          <w:kern w:val="0"/>
          <w:szCs w:val="21"/>
        </w:rPr>
        <w:t>日距离</w:t>
      </w:r>
      <w:proofErr w:type="gramEnd"/>
      <w:r>
        <w:rPr>
          <w:rFonts w:ascii="Arial" w:hAnsi="Arial" w:cs="Arial"/>
          <w:kern w:val="0"/>
          <w:szCs w:val="21"/>
        </w:rPr>
        <w:t>收益分配基准日（即期末可供分配利润计算截止日）的时间不得超过</w:t>
      </w:r>
      <w:r>
        <w:rPr>
          <w:rFonts w:ascii="Arial" w:hAnsi="Arial" w:cs="Arial"/>
          <w:kern w:val="0"/>
          <w:szCs w:val="21"/>
        </w:rPr>
        <w:t>15</w:t>
      </w:r>
      <w:r>
        <w:rPr>
          <w:rFonts w:ascii="Arial" w:hAnsi="Arial" w:cs="Arial"/>
          <w:kern w:val="0"/>
          <w:szCs w:val="21"/>
        </w:rPr>
        <w:t>个工作日；</w:t>
      </w:r>
    </w:p>
    <w:p w14:paraId="4E240CC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Arial" w:cs="Arial"/>
          <w:kern w:val="0"/>
          <w:szCs w:val="21"/>
        </w:rPr>
        <w:t>、法律法规或监管机构另有规定的，从其规定。</w:t>
      </w:r>
    </w:p>
    <w:p w14:paraId="580B582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（三）收益分配方案</w:t>
      </w:r>
    </w:p>
    <w:p w14:paraId="4641C7E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基金收益分配方案中应载明基金期末可供分配利润、基金收益分配对象、分配原则、分配时间、分配数额及比例、分配方式及有关手续费等内容。</w:t>
      </w:r>
    </w:p>
    <w:p w14:paraId="649ECCC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（四）收益分配方案的确定与公告</w:t>
      </w:r>
    </w:p>
    <w:p w14:paraId="3B238CD2" w14:textId="26F67673"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基金收益分配方案由基金管理人拟定，并由基金托管人复核后确定，基金管理人按</w:t>
      </w:r>
      <w:r w:rsidR="00917EB9" w:rsidRPr="00917EB9">
        <w:rPr>
          <w:rFonts w:ascii="Arial" w:hAnsi="Arial" w:cs="Arial" w:hint="eastAsia"/>
          <w:kern w:val="0"/>
          <w:szCs w:val="21"/>
        </w:rPr>
        <w:t>《信息披露办法》等有关法律法规的规定在指定媒介公告</w:t>
      </w:r>
      <w:r>
        <w:rPr>
          <w:rFonts w:ascii="Arial" w:hAnsi="Arial" w:cs="Arial" w:hint="eastAsia"/>
          <w:kern w:val="0"/>
          <w:szCs w:val="21"/>
        </w:rPr>
        <w:t>。</w:t>
      </w:r>
    </w:p>
    <w:p w14:paraId="5DDE1E8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（五）收益分配中发生的费用</w:t>
      </w:r>
    </w:p>
    <w:p w14:paraId="2D46949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、收益分配采用红利再投资方式免收再投资的费用。</w:t>
      </w:r>
    </w:p>
    <w:p w14:paraId="07BE1888" w14:textId="77777777" w:rsidR="00ED45CB" w:rsidRDefault="00703CCA">
      <w:pPr>
        <w:adjustRightInd w:val="0"/>
        <w:snapToGrid w:val="0"/>
        <w:spacing w:line="360" w:lineRule="auto"/>
        <w:ind w:firstLineChars="200" w:firstLine="420"/>
        <w:rPr>
          <w:rFonts w:ascii="Arial" w:hAnsi="Arial"/>
          <w:szCs w:val="21"/>
        </w:rPr>
      </w:pPr>
      <w:r>
        <w:rPr>
          <w:rFonts w:ascii="Arial" w:hAnsi="Arial" w:cs="Arial" w:hint="eastAsia"/>
          <w:kern w:val="0"/>
          <w:szCs w:val="21"/>
        </w:rPr>
        <w:t>2</w:t>
      </w:r>
      <w:r>
        <w:rPr>
          <w:rFonts w:ascii="Arial" w:hAnsi="Arial" w:cs="Arial" w:hint="eastAsia"/>
          <w:kern w:val="0"/>
          <w:szCs w:val="21"/>
        </w:rPr>
        <w:t>、收益分配时发生的银行转账等手续费用由基金份额持有人自行承担。如果基金份额持有人所获现金红利不足支付前述银行转账等手续费用，注册登记机构可将该基金份额持有人的现金红利按除权日经除权后的基金份额净值转为基金份额。</w:t>
      </w:r>
    </w:p>
    <w:p w14:paraId="22BFC012" w14:textId="77777777" w:rsidR="00ED45CB" w:rsidRDefault="00ED45CB">
      <w:pPr>
        <w:adjustRightInd w:val="0"/>
        <w:snapToGrid w:val="0"/>
        <w:spacing w:line="360" w:lineRule="auto"/>
        <w:ind w:firstLineChars="200" w:firstLine="420"/>
        <w:rPr>
          <w:rFonts w:ascii="Arial" w:hAnsi="Arial" w:cs="Arial"/>
          <w:kern w:val="0"/>
          <w:szCs w:val="21"/>
        </w:rPr>
      </w:pPr>
    </w:p>
    <w:p w14:paraId="313841E4" w14:textId="77777777" w:rsidR="00ED45CB" w:rsidRDefault="00703CCA">
      <w:pPr>
        <w:adjustRightInd w:val="0"/>
        <w:snapToGrid w:val="0"/>
        <w:spacing w:line="360" w:lineRule="auto"/>
        <w:ind w:firstLineChars="200" w:firstLine="420"/>
        <w:rPr>
          <w:rFonts w:ascii="Arial" w:hAnsi="Arial" w:cs="Arial"/>
          <w:b/>
          <w:kern w:val="0"/>
          <w:szCs w:val="21"/>
        </w:rPr>
      </w:pPr>
      <w:bookmarkStart w:id="99" w:name="_Toc266369098"/>
      <w:bookmarkStart w:id="100" w:name="_Toc253128722"/>
      <w:r>
        <w:rPr>
          <w:rFonts w:ascii="Arial" w:hAnsi="Arial" w:cs="Arial"/>
          <w:b/>
          <w:kern w:val="0"/>
          <w:szCs w:val="21"/>
        </w:rPr>
        <w:t>四、与基金财产管理、运用有关费用的提取、支付方式与比例</w:t>
      </w:r>
      <w:bookmarkEnd w:id="99"/>
      <w:bookmarkEnd w:id="100"/>
    </w:p>
    <w:p w14:paraId="5644890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、基金管理人的管理费</w:t>
      </w:r>
    </w:p>
    <w:p w14:paraId="1E49395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基金管理人的基金管理费按基金资产净值的</w:t>
      </w:r>
      <w:r>
        <w:rPr>
          <w:rFonts w:ascii="Arial" w:hAnsi="Arial" w:cs="Arial" w:hint="eastAsia"/>
          <w:kern w:val="0"/>
          <w:szCs w:val="21"/>
        </w:rPr>
        <w:t>0.50%</w:t>
      </w:r>
      <w:r>
        <w:rPr>
          <w:rFonts w:ascii="Arial" w:hAnsi="Arial" w:cs="Arial" w:hint="eastAsia"/>
          <w:kern w:val="0"/>
          <w:szCs w:val="21"/>
        </w:rPr>
        <w:t>年费率计提。</w:t>
      </w:r>
    </w:p>
    <w:p w14:paraId="7A29A51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在通常情况下，基金管理费按前一日基金资产净值的</w:t>
      </w:r>
      <w:r>
        <w:rPr>
          <w:rFonts w:ascii="Arial" w:hAnsi="Arial" w:cs="Arial" w:hint="eastAsia"/>
          <w:kern w:val="0"/>
          <w:szCs w:val="21"/>
        </w:rPr>
        <w:t>0.50%</w:t>
      </w:r>
      <w:r>
        <w:rPr>
          <w:rFonts w:ascii="Arial" w:hAnsi="Arial" w:cs="Arial" w:hint="eastAsia"/>
          <w:kern w:val="0"/>
          <w:szCs w:val="21"/>
        </w:rPr>
        <w:t>年费率计提。计算方法如</w:t>
      </w:r>
      <w:r>
        <w:rPr>
          <w:rFonts w:ascii="Arial" w:hAnsi="Arial" w:cs="Arial" w:hint="eastAsia"/>
          <w:kern w:val="0"/>
          <w:szCs w:val="21"/>
        </w:rPr>
        <w:lastRenderedPageBreak/>
        <w:t>下：</w:t>
      </w:r>
    </w:p>
    <w:p w14:paraId="2AAFE93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H</w:t>
      </w:r>
      <w:r>
        <w:rPr>
          <w:rFonts w:ascii="Arial" w:hAnsi="Arial" w:cs="Arial" w:hint="eastAsia"/>
          <w:kern w:val="0"/>
          <w:szCs w:val="21"/>
        </w:rPr>
        <w:t>＝</w:t>
      </w:r>
      <w:r>
        <w:rPr>
          <w:rFonts w:ascii="Arial" w:hAnsi="Arial" w:cs="Arial" w:hint="eastAsia"/>
          <w:kern w:val="0"/>
          <w:szCs w:val="21"/>
        </w:rPr>
        <w:t>E</w:t>
      </w:r>
      <w:r>
        <w:rPr>
          <w:rFonts w:ascii="Arial" w:hAnsi="Arial" w:cs="Arial" w:hint="eastAsia"/>
          <w:kern w:val="0"/>
          <w:szCs w:val="21"/>
        </w:rPr>
        <w:t>×</w:t>
      </w:r>
      <w:r>
        <w:rPr>
          <w:rFonts w:ascii="Arial" w:hAnsi="Arial" w:cs="Arial" w:hint="eastAsia"/>
          <w:kern w:val="0"/>
          <w:szCs w:val="21"/>
        </w:rPr>
        <w:t>0.50%</w:t>
      </w:r>
      <w:r>
        <w:rPr>
          <w:rFonts w:ascii="Arial" w:hAnsi="Arial" w:cs="Arial" w:hint="eastAsia"/>
          <w:kern w:val="0"/>
          <w:szCs w:val="21"/>
        </w:rPr>
        <w:t>÷当年天数</w:t>
      </w:r>
    </w:p>
    <w:p w14:paraId="39934FF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 xml:space="preserve">H </w:t>
      </w:r>
      <w:r>
        <w:rPr>
          <w:rFonts w:ascii="Arial" w:hAnsi="Arial" w:cs="Arial" w:hint="eastAsia"/>
          <w:kern w:val="0"/>
          <w:szCs w:val="21"/>
        </w:rPr>
        <w:t>为每日应计提的基金管理费</w:t>
      </w:r>
    </w:p>
    <w:p w14:paraId="637017F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 xml:space="preserve">E </w:t>
      </w:r>
      <w:r>
        <w:rPr>
          <w:rFonts w:ascii="Arial" w:hAnsi="Arial" w:cs="Arial" w:hint="eastAsia"/>
          <w:kern w:val="0"/>
          <w:szCs w:val="21"/>
        </w:rPr>
        <w:t>为前一日基金资产净值</w:t>
      </w:r>
    </w:p>
    <w:p w14:paraId="5E54390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基金管理人对本基金投资组合中投资于目标</w:t>
      </w:r>
      <w:r>
        <w:rPr>
          <w:rFonts w:ascii="Arial" w:hAnsi="Arial" w:cs="Arial" w:hint="eastAsia"/>
          <w:kern w:val="0"/>
          <w:szCs w:val="21"/>
        </w:rPr>
        <w:t>ETF</w:t>
      </w:r>
      <w:r>
        <w:rPr>
          <w:rFonts w:ascii="Arial" w:hAnsi="Arial" w:cs="Arial" w:hint="eastAsia"/>
          <w:kern w:val="0"/>
          <w:szCs w:val="21"/>
        </w:rPr>
        <w:t>部分的基金资产净值不计</w:t>
      </w:r>
      <w:proofErr w:type="gramStart"/>
      <w:r>
        <w:rPr>
          <w:rFonts w:ascii="Arial" w:hAnsi="Arial" w:cs="Arial" w:hint="eastAsia"/>
          <w:kern w:val="0"/>
          <w:szCs w:val="21"/>
        </w:rPr>
        <w:t>提基金</w:t>
      </w:r>
      <w:proofErr w:type="gramEnd"/>
      <w:r>
        <w:rPr>
          <w:rFonts w:ascii="Arial" w:hAnsi="Arial" w:cs="Arial" w:hint="eastAsia"/>
          <w:kern w:val="0"/>
          <w:szCs w:val="21"/>
        </w:rPr>
        <w:t>管理费。</w:t>
      </w:r>
    </w:p>
    <w:p w14:paraId="601C49E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前一日的基金资产净值为已扣除本基金投资于目标</w:t>
      </w:r>
      <w:r>
        <w:rPr>
          <w:rFonts w:ascii="Arial" w:hAnsi="Arial" w:cs="Arial" w:hint="eastAsia"/>
          <w:kern w:val="0"/>
          <w:szCs w:val="21"/>
        </w:rPr>
        <w:t>ETF</w:t>
      </w:r>
      <w:r>
        <w:rPr>
          <w:rFonts w:ascii="Arial" w:hAnsi="Arial" w:cs="Arial" w:hint="eastAsia"/>
          <w:kern w:val="0"/>
          <w:szCs w:val="21"/>
        </w:rPr>
        <w:t>部分基金资产净值后的净额，金额为负时以零计。</w:t>
      </w:r>
    </w:p>
    <w:p w14:paraId="384D3CD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基金管理费每日计提，按月支付。经基金</w:t>
      </w:r>
      <w:r>
        <w:rPr>
          <w:rFonts w:ascii="Arial" w:hAnsi="Arial" w:cs="Arial"/>
          <w:kern w:val="0"/>
          <w:szCs w:val="21"/>
        </w:rPr>
        <w:t>管理人与</w:t>
      </w:r>
      <w:r>
        <w:rPr>
          <w:rFonts w:ascii="Arial" w:hAnsi="Arial" w:cs="Arial" w:hint="eastAsia"/>
          <w:kern w:val="0"/>
          <w:szCs w:val="21"/>
        </w:rPr>
        <w:t>基金</w:t>
      </w:r>
      <w:r>
        <w:rPr>
          <w:rFonts w:ascii="Arial" w:hAnsi="Arial" w:cs="Arial"/>
          <w:kern w:val="0"/>
          <w:szCs w:val="21"/>
        </w:rPr>
        <w:t>托管人</w:t>
      </w:r>
      <w:r>
        <w:rPr>
          <w:rFonts w:ascii="Arial" w:hAnsi="Arial" w:cs="Arial" w:hint="eastAsia"/>
          <w:kern w:val="0"/>
          <w:szCs w:val="21"/>
        </w:rPr>
        <w:t>核对一致后</w:t>
      </w:r>
      <w:r>
        <w:rPr>
          <w:rFonts w:ascii="Arial" w:hAnsi="Arial" w:cs="Arial"/>
          <w:kern w:val="0"/>
          <w:szCs w:val="21"/>
        </w:rPr>
        <w:t>，由</w:t>
      </w:r>
      <w:r>
        <w:rPr>
          <w:rFonts w:ascii="Arial" w:hAnsi="Arial" w:cs="Arial" w:hint="eastAsia"/>
          <w:kern w:val="0"/>
          <w:szCs w:val="21"/>
        </w:rPr>
        <w:t>基金</w:t>
      </w:r>
      <w:r>
        <w:rPr>
          <w:rFonts w:ascii="Arial" w:hAnsi="Arial" w:cs="Arial"/>
          <w:kern w:val="0"/>
          <w:szCs w:val="21"/>
        </w:rPr>
        <w:t>托管人于次月</w:t>
      </w:r>
      <w:r>
        <w:rPr>
          <w:rFonts w:ascii="Arial" w:hAnsi="Arial" w:cs="Arial" w:hint="eastAsia"/>
          <w:kern w:val="0"/>
          <w:szCs w:val="21"/>
        </w:rPr>
        <w:t>首日起</w:t>
      </w:r>
      <w:r>
        <w:rPr>
          <w:rFonts w:ascii="Arial" w:hAnsi="Arial" w:cs="Arial" w:hint="eastAsia"/>
          <w:kern w:val="0"/>
          <w:szCs w:val="21"/>
        </w:rPr>
        <w:t>3</w:t>
      </w:r>
      <w:r>
        <w:rPr>
          <w:rFonts w:ascii="Arial" w:hAnsi="Arial" w:cs="Arial"/>
          <w:kern w:val="0"/>
          <w:szCs w:val="21"/>
        </w:rPr>
        <w:t>个工作日内从</w:t>
      </w:r>
      <w:r>
        <w:rPr>
          <w:rFonts w:ascii="Arial" w:hAnsi="Arial" w:cs="Arial" w:hint="eastAsia"/>
          <w:kern w:val="0"/>
          <w:szCs w:val="21"/>
        </w:rPr>
        <w:t>基金财产中一次性</w:t>
      </w:r>
      <w:r>
        <w:rPr>
          <w:rFonts w:ascii="Arial" w:hAnsi="Arial" w:cs="Arial"/>
          <w:kern w:val="0"/>
          <w:szCs w:val="21"/>
        </w:rPr>
        <w:t>支付给</w:t>
      </w:r>
      <w:r>
        <w:rPr>
          <w:rFonts w:ascii="Arial" w:hAnsi="Arial" w:cs="Arial" w:hint="eastAsia"/>
          <w:kern w:val="0"/>
          <w:szCs w:val="21"/>
        </w:rPr>
        <w:t>基金</w:t>
      </w:r>
      <w:r>
        <w:rPr>
          <w:rFonts w:ascii="Arial" w:hAnsi="Arial" w:cs="Arial"/>
          <w:kern w:val="0"/>
          <w:szCs w:val="21"/>
        </w:rPr>
        <w:t>管</w:t>
      </w:r>
      <w:r>
        <w:rPr>
          <w:rFonts w:ascii="Arial" w:hAnsi="Arial" w:cs="Arial" w:hint="eastAsia"/>
          <w:kern w:val="0"/>
          <w:szCs w:val="21"/>
        </w:rPr>
        <w:t>理</w:t>
      </w:r>
      <w:r>
        <w:rPr>
          <w:rFonts w:ascii="Arial" w:hAnsi="Arial" w:cs="Arial"/>
          <w:kern w:val="0"/>
          <w:szCs w:val="21"/>
        </w:rPr>
        <w:t>人</w:t>
      </w:r>
      <w:r>
        <w:rPr>
          <w:rFonts w:ascii="Arial" w:hAnsi="Arial" w:cs="Arial" w:hint="eastAsia"/>
          <w:kern w:val="0"/>
          <w:szCs w:val="21"/>
        </w:rPr>
        <w:t>。</w:t>
      </w:r>
    </w:p>
    <w:p w14:paraId="062447A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、基金托管人的基金托管费</w:t>
      </w:r>
    </w:p>
    <w:p w14:paraId="38DE481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基金托管人的基金托管费按基金资产净值的</w:t>
      </w:r>
      <w:r>
        <w:rPr>
          <w:rFonts w:ascii="Arial" w:hAnsi="Arial" w:cs="Arial" w:hint="eastAsia"/>
          <w:kern w:val="0"/>
          <w:szCs w:val="21"/>
        </w:rPr>
        <w:t>0.10%</w:t>
      </w:r>
      <w:r>
        <w:rPr>
          <w:rFonts w:ascii="Arial" w:hAnsi="Arial" w:cs="Arial" w:hint="eastAsia"/>
          <w:kern w:val="0"/>
          <w:szCs w:val="21"/>
        </w:rPr>
        <w:t>年费率计提。</w:t>
      </w:r>
    </w:p>
    <w:p w14:paraId="42811D9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在通常情况下，基金托管费按前一日基金资产净值的</w:t>
      </w:r>
      <w:r>
        <w:rPr>
          <w:rFonts w:ascii="Arial" w:hAnsi="Arial" w:cs="Arial" w:hint="eastAsia"/>
          <w:kern w:val="0"/>
          <w:szCs w:val="21"/>
        </w:rPr>
        <w:t>0.10%</w:t>
      </w:r>
      <w:r>
        <w:rPr>
          <w:rFonts w:ascii="Arial" w:hAnsi="Arial" w:cs="Arial" w:hint="eastAsia"/>
          <w:kern w:val="0"/>
          <w:szCs w:val="21"/>
        </w:rPr>
        <w:t>年费率计提。计算方法如下：</w:t>
      </w:r>
    </w:p>
    <w:p w14:paraId="6E59AF6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H=E</w:t>
      </w:r>
      <w:r>
        <w:rPr>
          <w:rFonts w:ascii="Arial" w:hAnsi="Arial" w:cs="Arial" w:hint="eastAsia"/>
          <w:kern w:val="0"/>
          <w:szCs w:val="21"/>
        </w:rPr>
        <w:t>×</w:t>
      </w:r>
      <w:r>
        <w:rPr>
          <w:rFonts w:ascii="Arial" w:hAnsi="Arial" w:cs="Arial" w:hint="eastAsia"/>
          <w:kern w:val="0"/>
          <w:szCs w:val="21"/>
        </w:rPr>
        <w:t>0.10%</w:t>
      </w:r>
      <w:r>
        <w:rPr>
          <w:rFonts w:ascii="Arial" w:hAnsi="Arial" w:cs="Arial" w:hint="eastAsia"/>
          <w:kern w:val="0"/>
          <w:szCs w:val="21"/>
        </w:rPr>
        <w:t>÷当年天数</w:t>
      </w:r>
    </w:p>
    <w:p w14:paraId="01ABECE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 xml:space="preserve">H </w:t>
      </w:r>
      <w:r>
        <w:rPr>
          <w:rFonts w:ascii="Arial" w:hAnsi="Arial" w:cs="Arial" w:hint="eastAsia"/>
          <w:kern w:val="0"/>
          <w:szCs w:val="21"/>
        </w:rPr>
        <w:t>为每日应计提的基金托管费</w:t>
      </w:r>
    </w:p>
    <w:p w14:paraId="3BACEB2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 xml:space="preserve">E </w:t>
      </w:r>
      <w:r>
        <w:rPr>
          <w:rFonts w:ascii="Arial" w:hAnsi="Arial" w:cs="Arial" w:hint="eastAsia"/>
          <w:kern w:val="0"/>
          <w:szCs w:val="21"/>
        </w:rPr>
        <w:t>为前一日的基金资产净值</w:t>
      </w:r>
    </w:p>
    <w:p w14:paraId="73C72E8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基金管理人对本基金投资组合中投资于目标</w:t>
      </w:r>
      <w:r>
        <w:rPr>
          <w:rFonts w:ascii="Arial" w:hAnsi="Arial" w:cs="Arial" w:hint="eastAsia"/>
          <w:kern w:val="0"/>
          <w:szCs w:val="21"/>
        </w:rPr>
        <w:t>ETF</w:t>
      </w:r>
      <w:r>
        <w:rPr>
          <w:rFonts w:ascii="Arial" w:hAnsi="Arial" w:cs="Arial" w:hint="eastAsia"/>
          <w:kern w:val="0"/>
          <w:szCs w:val="21"/>
        </w:rPr>
        <w:t>部分的基金资产净值不计</w:t>
      </w:r>
      <w:proofErr w:type="gramStart"/>
      <w:r>
        <w:rPr>
          <w:rFonts w:ascii="Arial" w:hAnsi="Arial" w:cs="Arial" w:hint="eastAsia"/>
          <w:kern w:val="0"/>
          <w:szCs w:val="21"/>
        </w:rPr>
        <w:t>提基金</w:t>
      </w:r>
      <w:proofErr w:type="gramEnd"/>
      <w:r>
        <w:rPr>
          <w:rFonts w:ascii="Arial" w:hAnsi="Arial" w:cs="Arial" w:hint="eastAsia"/>
          <w:kern w:val="0"/>
          <w:szCs w:val="21"/>
        </w:rPr>
        <w:t>托管费。</w:t>
      </w:r>
    </w:p>
    <w:p w14:paraId="3B52158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前一日的基金资产净值为已扣除本基金投资于目标</w:t>
      </w:r>
      <w:r>
        <w:rPr>
          <w:rFonts w:ascii="Arial" w:hAnsi="Arial" w:cs="Arial" w:hint="eastAsia"/>
          <w:kern w:val="0"/>
          <w:szCs w:val="21"/>
        </w:rPr>
        <w:t>ETF</w:t>
      </w:r>
      <w:r>
        <w:rPr>
          <w:rFonts w:ascii="Arial" w:hAnsi="Arial" w:cs="Arial" w:hint="eastAsia"/>
          <w:kern w:val="0"/>
          <w:szCs w:val="21"/>
        </w:rPr>
        <w:t>部分基金资产净值后的净额，金额为负时以零计。</w:t>
      </w:r>
    </w:p>
    <w:p w14:paraId="5711370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基金托管费每日计提，按月支付。经基金</w:t>
      </w:r>
      <w:r>
        <w:rPr>
          <w:rFonts w:ascii="Arial" w:hAnsi="Arial" w:cs="Arial"/>
          <w:kern w:val="0"/>
          <w:szCs w:val="21"/>
        </w:rPr>
        <w:t>管理人与</w:t>
      </w:r>
      <w:r>
        <w:rPr>
          <w:rFonts w:ascii="Arial" w:hAnsi="Arial" w:cs="Arial" w:hint="eastAsia"/>
          <w:kern w:val="0"/>
          <w:szCs w:val="21"/>
        </w:rPr>
        <w:t>基金</w:t>
      </w:r>
      <w:r>
        <w:rPr>
          <w:rFonts w:ascii="Arial" w:hAnsi="Arial" w:cs="Arial"/>
          <w:kern w:val="0"/>
          <w:szCs w:val="21"/>
        </w:rPr>
        <w:t>托管人</w:t>
      </w:r>
      <w:r>
        <w:rPr>
          <w:rFonts w:ascii="Arial" w:hAnsi="Arial" w:cs="Arial" w:hint="eastAsia"/>
          <w:kern w:val="0"/>
          <w:szCs w:val="21"/>
        </w:rPr>
        <w:t>核对一致后</w:t>
      </w:r>
      <w:r>
        <w:rPr>
          <w:rFonts w:ascii="Arial" w:hAnsi="Arial" w:cs="Arial"/>
          <w:kern w:val="0"/>
          <w:szCs w:val="21"/>
        </w:rPr>
        <w:t>，由</w:t>
      </w:r>
      <w:r>
        <w:rPr>
          <w:rFonts w:ascii="Arial" w:hAnsi="Arial" w:cs="Arial" w:hint="eastAsia"/>
          <w:kern w:val="0"/>
          <w:szCs w:val="21"/>
        </w:rPr>
        <w:t>基金</w:t>
      </w:r>
      <w:r>
        <w:rPr>
          <w:rFonts w:ascii="Arial" w:hAnsi="Arial" w:cs="Arial"/>
          <w:kern w:val="0"/>
          <w:szCs w:val="21"/>
        </w:rPr>
        <w:t>托管人于次月</w:t>
      </w:r>
      <w:r>
        <w:rPr>
          <w:rFonts w:ascii="Arial" w:hAnsi="Arial" w:cs="Arial" w:hint="eastAsia"/>
          <w:kern w:val="0"/>
          <w:szCs w:val="21"/>
        </w:rPr>
        <w:t>首日起</w:t>
      </w:r>
      <w:r>
        <w:rPr>
          <w:rFonts w:ascii="Arial" w:hAnsi="Arial" w:cs="Arial" w:hint="eastAsia"/>
          <w:kern w:val="0"/>
          <w:szCs w:val="21"/>
        </w:rPr>
        <w:t>3</w:t>
      </w:r>
      <w:r>
        <w:rPr>
          <w:rFonts w:ascii="Arial" w:hAnsi="Arial" w:cs="Arial"/>
          <w:kern w:val="0"/>
          <w:szCs w:val="21"/>
        </w:rPr>
        <w:t>个工作日内从</w:t>
      </w:r>
      <w:r>
        <w:rPr>
          <w:rFonts w:ascii="Arial" w:hAnsi="Arial" w:cs="Arial" w:hint="eastAsia"/>
          <w:kern w:val="0"/>
          <w:szCs w:val="21"/>
        </w:rPr>
        <w:t>基金财产中一次性</w:t>
      </w:r>
      <w:r>
        <w:rPr>
          <w:rFonts w:ascii="Arial" w:hAnsi="Arial" w:cs="Arial"/>
          <w:kern w:val="0"/>
          <w:szCs w:val="21"/>
        </w:rPr>
        <w:t>支付给</w:t>
      </w:r>
      <w:r>
        <w:rPr>
          <w:rFonts w:ascii="Arial" w:hAnsi="Arial" w:cs="Arial" w:hint="eastAsia"/>
          <w:kern w:val="0"/>
          <w:szCs w:val="21"/>
        </w:rPr>
        <w:t>基金托管人。</w:t>
      </w:r>
    </w:p>
    <w:p w14:paraId="4A7A11D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w:t>
      </w:r>
      <w:r>
        <w:rPr>
          <w:rFonts w:ascii="Arial" w:hAnsi="Arial" w:cs="Arial"/>
          <w:kern w:val="0"/>
          <w:szCs w:val="21"/>
        </w:rPr>
        <w:t>C</w:t>
      </w:r>
      <w:r>
        <w:rPr>
          <w:rFonts w:ascii="Arial" w:hAnsi="Arial" w:cs="Arial"/>
          <w:kern w:val="0"/>
          <w:szCs w:val="21"/>
        </w:rPr>
        <w:t>类份额的销售服务费</w:t>
      </w:r>
    </w:p>
    <w:p w14:paraId="480A50D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本基金</w:t>
      </w:r>
      <w:r>
        <w:rPr>
          <w:rFonts w:ascii="Arial" w:hAnsi="Arial" w:cs="Arial"/>
          <w:kern w:val="0"/>
          <w:szCs w:val="21"/>
        </w:rPr>
        <w:t>A</w:t>
      </w:r>
      <w:r>
        <w:rPr>
          <w:rFonts w:ascii="Arial" w:hAnsi="Arial" w:cs="Arial"/>
          <w:kern w:val="0"/>
          <w:szCs w:val="21"/>
        </w:rPr>
        <w:t>类基金份额不收取销售服务费，</w:t>
      </w:r>
      <w:r>
        <w:rPr>
          <w:rFonts w:ascii="Arial" w:hAnsi="Arial" w:cs="Arial"/>
          <w:kern w:val="0"/>
          <w:szCs w:val="21"/>
        </w:rPr>
        <w:t>C</w:t>
      </w:r>
      <w:r>
        <w:rPr>
          <w:rFonts w:ascii="Arial" w:hAnsi="Arial" w:cs="Arial"/>
          <w:kern w:val="0"/>
          <w:szCs w:val="21"/>
        </w:rPr>
        <w:t>类基金份额的销售服务费年费率为</w:t>
      </w:r>
      <w:r>
        <w:rPr>
          <w:rFonts w:ascii="Arial" w:hAnsi="Arial" w:cs="Arial"/>
          <w:kern w:val="0"/>
          <w:szCs w:val="21"/>
        </w:rPr>
        <w:t>0.</w:t>
      </w:r>
      <w:r>
        <w:rPr>
          <w:rFonts w:ascii="Arial" w:hAnsi="Arial" w:cs="Arial" w:hint="eastAsia"/>
          <w:kern w:val="0"/>
          <w:szCs w:val="21"/>
        </w:rPr>
        <w:t>35</w:t>
      </w:r>
      <w:r>
        <w:rPr>
          <w:rFonts w:ascii="Arial" w:hAnsi="Arial" w:cs="Arial"/>
          <w:kern w:val="0"/>
          <w:szCs w:val="21"/>
        </w:rPr>
        <w:t>%</w:t>
      </w:r>
      <w:r>
        <w:rPr>
          <w:rFonts w:ascii="Arial" w:hAnsi="Arial" w:cs="Arial"/>
          <w:kern w:val="0"/>
          <w:szCs w:val="21"/>
        </w:rPr>
        <w:t>。</w:t>
      </w:r>
    </w:p>
    <w:p w14:paraId="4ECB769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本基金销售服务费按前一日</w:t>
      </w:r>
      <w:r>
        <w:rPr>
          <w:rFonts w:ascii="Arial" w:hAnsi="Arial" w:cs="Arial"/>
          <w:kern w:val="0"/>
          <w:szCs w:val="21"/>
        </w:rPr>
        <w:t>C</w:t>
      </w:r>
      <w:r>
        <w:rPr>
          <w:rFonts w:ascii="Arial" w:hAnsi="Arial" w:cs="Arial"/>
          <w:kern w:val="0"/>
          <w:szCs w:val="21"/>
        </w:rPr>
        <w:t>类基金资产净值的</w:t>
      </w:r>
      <w:r>
        <w:rPr>
          <w:rFonts w:ascii="Arial" w:hAnsi="Arial" w:cs="Arial"/>
          <w:kern w:val="0"/>
          <w:szCs w:val="21"/>
        </w:rPr>
        <w:t>0.</w:t>
      </w:r>
      <w:r>
        <w:rPr>
          <w:rFonts w:ascii="Arial" w:hAnsi="Arial" w:cs="Arial" w:hint="eastAsia"/>
          <w:kern w:val="0"/>
          <w:szCs w:val="21"/>
        </w:rPr>
        <w:t>35</w:t>
      </w:r>
      <w:r>
        <w:rPr>
          <w:rFonts w:ascii="Arial" w:hAnsi="Arial" w:cs="Arial"/>
          <w:kern w:val="0"/>
          <w:szCs w:val="21"/>
        </w:rPr>
        <w:t>%</w:t>
      </w:r>
      <w:r>
        <w:rPr>
          <w:rFonts w:ascii="Arial" w:hAnsi="Arial" w:cs="Arial"/>
          <w:kern w:val="0"/>
          <w:szCs w:val="21"/>
        </w:rPr>
        <w:t>年费率计提。</w:t>
      </w:r>
    </w:p>
    <w:p w14:paraId="6E911A5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计算方法如下：</w:t>
      </w:r>
      <w:r>
        <w:rPr>
          <w:rFonts w:ascii="Arial" w:hAnsi="Arial" w:cs="Arial"/>
          <w:kern w:val="0"/>
          <w:szCs w:val="21"/>
        </w:rPr>
        <w:t xml:space="preserve"> </w:t>
      </w:r>
    </w:p>
    <w:p w14:paraId="4FACE1E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H</w:t>
      </w:r>
      <w:r>
        <w:rPr>
          <w:rFonts w:ascii="Arial" w:hAnsi="Arial" w:cs="Arial"/>
          <w:kern w:val="0"/>
          <w:szCs w:val="21"/>
        </w:rPr>
        <w:t>＝</w:t>
      </w:r>
      <w:r>
        <w:rPr>
          <w:rFonts w:ascii="Arial" w:hAnsi="Arial" w:cs="Arial"/>
          <w:kern w:val="0"/>
          <w:szCs w:val="21"/>
        </w:rPr>
        <w:t>E×</w:t>
      </w:r>
      <w:r>
        <w:rPr>
          <w:rFonts w:ascii="Arial" w:hAnsi="Arial" w:cs="Arial" w:hint="eastAsia"/>
          <w:kern w:val="0"/>
          <w:szCs w:val="21"/>
        </w:rPr>
        <w:t>0.35%</w:t>
      </w:r>
      <w:r>
        <w:rPr>
          <w:rFonts w:ascii="Arial" w:hAnsi="Arial" w:cs="Arial"/>
          <w:kern w:val="0"/>
          <w:szCs w:val="21"/>
        </w:rPr>
        <w:t>÷</w:t>
      </w:r>
      <w:r>
        <w:rPr>
          <w:rFonts w:ascii="Arial" w:hAnsi="Arial" w:cs="Arial"/>
          <w:kern w:val="0"/>
          <w:szCs w:val="21"/>
        </w:rPr>
        <w:t>当年天数</w:t>
      </w:r>
      <w:r>
        <w:rPr>
          <w:rFonts w:ascii="Arial" w:hAnsi="Arial" w:cs="Arial"/>
          <w:kern w:val="0"/>
          <w:szCs w:val="21"/>
        </w:rPr>
        <w:t xml:space="preserve"> </w:t>
      </w:r>
    </w:p>
    <w:p w14:paraId="366475C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H</w:t>
      </w:r>
      <w:r>
        <w:rPr>
          <w:rFonts w:ascii="Arial" w:hAnsi="Arial" w:cs="Arial"/>
          <w:kern w:val="0"/>
          <w:szCs w:val="21"/>
        </w:rPr>
        <w:t>为</w:t>
      </w:r>
      <w:r>
        <w:rPr>
          <w:rFonts w:ascii="Arial" w:hAnsi="Arial" w:cs="Arial"/>
          <w:kern w:val="0"/>
          <w:szCs w:val="21"/>
        </w:rPr>
        <w:t>C</w:t>
      </w:r>
      <w:r>
        <w:rPr>
          <w:rFonts w:ascii="Arial" w:hAnsi="Arial" w:cs="Arial"/>
          <w:kern w:val="0"/>
          <w:szCs w:val="21"/>
        </w:rPr>
        <w:t>类基金份额每日应计提的销售服务费</w:t>
      </w:r>
    </w:p>
    <w:p w14:paraId="47061E1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E</w:t>
      </w:r>
      <w:r>
        <w:rPr>
          <w:rFonts w:ascii="Arial" w:hAnsi="Arial" w:cs="Arial"/>
          <w:kern w:val="0"/>
          <w:szCs w:val="21"/>
        </w:rPr>
        <w:t>为</w:t>
      </w:r>
      <w:r>
        <w:rPr>
          <w:rFonts w:ascii="Arial" w:hAnsi="Arial" w:cs="Arial"/>
          <w:kern w:val="0"/>
          <w:szCs w:val="21"/>
        </w:rPr>
        <w:t>C</w:t>
      </w:r>
      <w:r>
        <w:rPr>
          <w:rFonts w:ascii="Arial" w:hAnsi="Arial" w:cs="Arial"/>
          <w:kern w:val="0"/>
          <w:szCs w:val="21"/>
        </w:rPr>
        <w:t>类基金份额前一日基金资产净值</w:t>
      </w:r>
      <w:r>
        <w:rPr>
          <w:rFonts w:ascii="Arial" w:hAnsi="Arial" w:cs="Arial"/>
          <w:kern w:val="0"/>
          <w:szCs w:val="21"/>
        </w:rPr>
        <w:t xml:space="preserve"> </w:t>
      </w:r>
    </w:p>
    <w:p w14:paraId="50BE36C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基金销售服务费</w:t>
      </w:r>
      <w:r>
        <w:rPr>
          <w:rFonts w:ascii="Arial" w:hAnsi="Arial" w:cs="Arial" w:hint="eastAsia"/>
          <w:kern w:val="0"/>
          <w:szCs w:val="21"/>
        </w:rPr>
        <w:t>每日计提，按月支付。经基金</w:t>
      </w:r>
      <w:r>
        <w:rPr>
          <w:rFonts w:ascii="Arial" w:hAnsi="Arial" w:cs="Arial"/>
          <w:kern w:val="0"/>
          <w:szCs w:val="21"/>
        </w:rPr>
        <w:t>管理人与</w:t>
      </w:r>
      <w:r>
        <w:rPr>
          <w:rFonts w:ascii="Arial" w:hAnsi="Arial" w:cs="Arial" w:hint="eastAsia"/>
          <w:kern w:val="0"/>
          <w:szCs w:val="21"/>
        </w:rPr>
        <w:t>基金</w:t>
      </w:r>
      <w:r>
        <w:rPr>
          <w:rFonts w:ascii="Arial" w:hAnsi="Arial" w:cs="Arial"/>
          <w:kern w:val="0"/>
          <w:szCs w:val="21"/>
        </w:rPr>
        <w:t>托管人</w:t>
      </w:r>
      <w:r>
        <w:rPr>
          <w:rFonts w:ascii="Arial" w:hAnsi="Arial" w:cs="Arial" w:hint="eastAsia"/>
          <w:kern w:val="0"/>
          <w:szCs w:val="21"/>
        </w:rPr>
        <w:t>核对一致后</w:t>
      </w:r>
      <w:r>
        <w:rPr>
          <w:rFonts w:ascii="Arial" w:hAnsi="Arial" w:cs="Arial"/>
          <w:kern w:val="0"/>
          <w:szCs w:val="21"/>
        </w:rPr>
        <w:t>，由</w:t>
      </w:r>
      <w:r>
        <w:rPr>
          <w:rFonts w:ascii="Arial" w:hAnsi="Arial" w:cs="Arial" w:hint="eastAsia"/>
          <w:kern w:val="0"/>
          <w:szCs w:val="21"/>
        </w:rPr>
        <w:t>基金</w:t>
      </w:r>
      <w:r>
        <w:rPr>
          <w:rFonts w:ascii="Arial" w:hAnsi="Arial" w:cs="Arial"/>
          <w:kern w:val="0"/>
          <w:szCs w:val="21"/>
        </w:rPr>
        <w:t>托管人于次月</w:t>
      </w:r>
      <w:r>
        <w:rPr>
          <w:rFonts w:ascii="Arial" w:hAnsi="Arial" w:cs="Arial" w:hint="eastAsia"/>
          <w:kern w:val="0"/>
          <w:szCs w:val="21"/>
        </w:rPr>
        <w:t>首日起</w:t>
      </w:r>
      <w:r>
        <w:rPr>
          <w:rFonts w:ascii="Arial" w:hAnsi="Arial" w:cs="Arial" w:hint="eastAsia"/>
          <w:kern w:val="0"/>
          <w:szCs w:val="21"/>
        </w:rPr>
        <w:t>3</w:t>
      </w:r>
      <w:r>
        <w:rPr>
          <w:rFonts w:ascii="Arial" w:hAnsi="Arial" w:cs="Arial"/>
          <w:kern w:val="0"/>
          <w:szCs w:val="21"/>
        </w:rPr>
        <w:t>个工作日内从</w:t>
      </w:r>
      <w:r>
        <w:rPr>
          <w:rFonts w:ascii="Arial" w:hAnsi="Arial" w:cs="Arial" w:hint="eastAsia"/>
          <w:kern w:val="0"/>
          <w:szCs w:val="21"/>
        </w:rPr>
        <w:t>基金财产中一次性划出，由注册登记机构代收，注册登记机构收到后按相关合同规定支付给基金销售机构等。</w:t>
      </w:r>
    </w:p>
    <w:p w14:paraId="2C48F80B" w14:textId="77777777" w:rsidR="00ED45CB" w:rsidRDefault="00ED45CB">
      <w:pPr>
        <w:adjustRightInd w:val="0"/>
        <w:snapToGrid w:val="0"/>
        <w:spacing w:line="360" w:lineRule="auto"/>
        <w:ind w:firstLineChars="200" w:firstLine="420"/>
        <w:rPr>
          <w:rFonts w:ascii="Arial" w:hAnsi="Arial" w:cs="Arial"/>
          <w:kern w:val="0"/>
          <w:szCs w:val="21"/>
        </w:rPr>
      </w:pPr>
    </w:p>
    <w:p w14:paraId="06607FDD" w14:textId="77777777" w:rsidR="00ED45CB" w:rsidRDefault="00703CCA">
      <w:pPr>
        <w:adjustRightInd w:val="0"/>
        <w:snapToGrid w:val="0"/>
        <w:spacing w:line="360" w:lineRule="auto"/>
        <w:ind w:firstLineChars="200" w:firstLine="420"/>
        <w:rPr>
          <w:rFonts w:ascii="Arial" w:hAnsi="Arial" w:cs="Arial"/>
          <w:b/>
          <w:kern w:val="0"/>
          <w:szCs w:val="21"/>
        </w:rPr>
      </w:pPr>
      <w:bookmarkStart w:id="101" w:name="_Toc266369099"/>
      <w:bookmarkStart w:id="102" w:name="_Toc253128723"/>
      <w:r>
        <w:rPr>
          <w:rFonts w:ascii="Arial" w:hAnsi="Arial" w:cs="Arial"/>
          <w:b/>
          <w:kern w:val="0"/>
          <w:szCs w:val="21"/>
        </w:rPr>
        <w:lastRenderedPageBreak/>
        <w:t>五、基金财产的投资方向和投资限制</w:t>
      </w:r>
      <w:bookmarkEnd w:id="101"/>
      <w:bookmarkEnd w:id="102"/>
    </w:p>
    <w:p w14:paraId="3F15E7C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（一）投资范围</w:t>
      </w:r>
    </w:p>
    <w:p w14:paraId="466A64E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本基金主要投资于博时黄金交易型开放式证券投资基金、上海黄金交易所上市的黄金合约、上海期货交易所上市的黄金期货、债券以及中国证监会允许基金投资的其他金融工具，如融资融券、黄金租赁等。</w:t>
      </w:r>
    </w:p>
    <w:p w14:paraId="7AAD21E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本基金投资于博时黄金交易型开放式证券投资基金的资产比例不低于基金资产净值的</w:t>
      </w:r>
      <w:r>
        <w:rPr>
          <w:rFonts w:ascii="Arial" w:hAnsi="Arial" w:cs="Arial"/>
          <w:kern w:val="0"/>
          <w:szCs w:val="21"/>
        </w:rPr>
        <w:t>90%</w:t>
      </w:r>
      <w:r>
        <w:rPr>
          <w:rFonts w:ascii="Arial" w:hAnsi="Arial" w:cs="Arial" w:hint="eastAsia"/>
          <w:kern w:val="0"/>
          <w:szCs w:val="21"/>
        </w:rPr>
        <w:t>。黄金合约、黄金期货、债券</w:t>
      </w:r>
      <w:r>
        <w:rPr>
          <w:rFonts w:ascii="Arial" w:hAnsi="Arial" w:cs="Arial"/>
          <w:kern w:val="0"/>
          <w:szCs w:val="21"/>
        </w:rPr>
        <w:t>及其他金融工具的投资比例依照法律法规或监管机构的规定执行</w:t>
      </w:r>
      <w:r>
        <w:rPr>
          <w:rFonts w:ascii="Arial" w:hAnsi="Arial" w:cs="Arial" w:hint="eastAsia"/>
          <w:kern w:val="0"/>
          <w:szCs w:val="21"/>
        </w:rPr>
        <w:t>。对现金或者到期日在一年以内的政府债券的投资比例不低于基金资产净值的</w:t>
      </w:r>
      <w:r>
        <w:rPr>
          <w:rFonts w:ascii="Arial" w:hAnsi="Arial" w:cs="Arial"/>
          <w:kern w:val="0"/>
          <w:szCs w:val="21"/>
        </w:rPr>
        <w:t>5%</w:t>
      </w:r>
      <w:r>
        <w:rPr>
          <w:rFonts w:ascii="Arial" w:hAnsi="Arial" w:cs="Arial" w:hint="eastAsia"/>
          <w:kern w:val="0"/>
          <w:szCs w:val="21"/>
        </w:rPr>
        <w:t>，其中，现金不包括结算备付金、存出保证金、应收申购款等。</w:t>
      </w:r>
    </w:p>
    <w:p w14:paraId="5EFA285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如法律法规或监管机构以后允许基金投资的其他品种，基金管理人在履行适当程序后，可以将其纳入投资范围。</w:t>
      </w:r>
    </w:p>
    <w:p w14:paraId="3DEA0C2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（二）投资禁止行为</w:t>
      </w:r>
    </w:p>
    <w:p w14:paraId="56E06A9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、承销证券；</w:t>
      </w:r>
    </w:p>
    <w:p w14:paraId="7A65EE7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、向他人贷款或者提供担保；</w:t>
      </w:r>
    </w:p>
    <w:p w14:paraId="3379E2E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、从事承担无限责任的投资；</w:t>
      </w:r>
    </w:p>
    <w:p w14:paraId="6602C76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、买卖其他基金份额，但是国务院另有规定的除外；</w:t>
      </w:r>
    </w:p>
    <w:p w14:paraId="13A8B48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、向基金管理人、基金托管人出资或者买卖基金管理人、基金托管人发行的股票或者债券；</w:t>
      </w:r>
    </w:p>
    <w:p w14:paraId="4A2361E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、买卖与基金管理人、基金托管人有控股关系的股东或者与基金管理人、基金托管人有其他重大利害关系的公司发行的证券或者承销期内承销的证券；</w:t>
      </w:r>
    </w:p>
    <w:p w14:paraId="4A6FF59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7</w:t>
      </w:r>
      <w:r>
        <w:rPr>
          <w:rFonts w:ascii="Arial" w:hAnsi="Arial" w:cs="Arial" w:hint="eastAsia"/>
          <w:kern w:val="0"/>
          <w:szCs w:val="21"/>
        </w:rPr>
        <w:t>、从事内幕交易、操纵证券交易价格及其他不正当的证券交易活动；</w:t>
      </w:r>
    </w:p>
    <w:p w14:paraId="442CB84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8</w:t>
      </w:r>
      <w:r>
        <w:rPr>
          <w:rFonts w:ascii="Arial" w:hAnsi="Arial" w:cs="Arial" w:hint="eastAsia"/>
          <w:kern w:val="0"/>
          <w:szCs w:val="21"/>
        </w:rPr>
        <w:t>、依照法律、行政法规有关法律法规规定，由国务院证券监督管理机构规定禁止的其他活动。</w:t>
      </w:r>
    </w:p>
    <w:p w14:paraId="02A67E9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（三）投资限制</w:t>
      </w:r>
    </w:p>
    <w:p w14:paraId="485452C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w:t>
      </w:r>
      <w:r>
        <w:rPr>
          <w:rFonts w:ascii="Arial" w:hAnsi="Arial" w:cs="Arial"/>
          <w:kern w:val="0"/>
          <w:szCs w:val="21"/>
        </w:rPr>
        <w:t>本基金与基金管理人管理的其他基金持有一家公司发行的证券总和，不超过该证券的</w:t>
      </w:r>
      <w:r>
        <w:rPr>
          <w:rFonts w:ascii="Arial" w:hAnsi="Arial" w:cs="Arial"/>
          <w:kern w:val="0"/>
          <w:szCs w:val="21"/>
        </w:rPr>
        <w:t>10%</w:t>
      </w:r>
      <w:r>
        <w:rPr>
          <w:rFonts w:ascii="Arial" w:hAnsi="Arial" w:cs="Arial"/>
          <w:kern w:val="0"/>
          <w:szCs w:val="21"/>
        </w:rPr>
        <w:t>；</w:t>
      </w:r>
    </w:p>
    <w:p w14:paraId="65F8A54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w:t>
      </w:r>
      <w:r>
        <w:rPr>
          <w:rFonts w:ascii="Arial" w:hAnsi="Arial" w:cs="Arial"/>
          <w:kern w:val="0"/>
          <w:szCs w:val="21"/>
        </w:rPr>
        <w:t>本基金不得违反基金合同关于投资范围和投资比例的约定；</w:t>
      </w:r>
    </w:p>
    <w:p w14:paraId="0EE8EDA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w:t>
      </w:r>
      <w:r>
        <w:rPr>
          <w:rFonts w:ascii="Arial" w:hAnsi="Arial" w:cs="Arial"/>
          <w:kern w:val="0"/>
          <w:szCs w:val="21"/>
        </w:rPr>
        <w:t>在全国银行间同业市场中的债券回购最长期限为</w:t>
      </w:r>
      <w:r>
        <w:rPr>
          <w:rFonts w:ascii="Arial" w:hAnsi="Arial" w:cs="Arial"/>
          <w:kern w:val="0"/>
          <w:szCs w:val="21"/>
        </w:rPr>
        <w:t>1</w:t>
      </w:r>
      <w:r>
        <w:rPr>
          <w:rFonts w:ascii="Arial" w:hAnsi="Arial" w:cs="Arial"/>
          <w:kern w:val="0"/>
          <w:szCs w:val="21"/>
        </w:rPr>
        <w:t>年，债券回购到期后</w:t>
      </w:r>
      <w:proofErr w:type="gramStart"/>
      <w:r>
        <w:rPr>
          <w:rFonts w:ascii="Arial" w:hAnsi="Arial" w:cs="Arial"/>
          <w:kern w:val="0"/>
          <w:szCs w:val="21"/>
        </w:rPr>
        <w:t>不</w:t>
      </w:r>
      <w:proofErr w:type="gramEnd"/>
      <w:r>
        <w:rPr>
          <w:rFonts w:ascii="Arial" w:hAnsi="Arial" w:cs="Arial"/>
          <w:kern w:val="0"/>
          <w:szCs w:val="21"/>
        </w:rPr>
        <w:t>展期；</w:t>
      </w:r>
    </w:p>
    <w:p w14:paraId="18F30D1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w:t>
      </w:r>
      <w:r>
        <w:rPr>
          <w:rFonts w:ascii="Arial" w:hAnsi="Arial" w:cs="Arial"/>
          <w:kern w:val="0"/>
          <w:szCs w:val="21"/>
        </w:rPr>
        <w:t>在银行间市场进行债券回购融入的资金余额不超过基金资产净值的</w:t>
      </w:r>
      <w:r>
        <w:rPr>
          <w:rFonts w:ascii="Arial" w:hAnsi="Arial" w:cs="Arial"/>
          <w:kern w:val="0"/>
          <w:szCs w:val="21"/>
        </w:rPr>
        <w:t>40%</w:t>
      </w:r>
      <w:r>
        <w:rPr>
          <w:rFonts w:ascii="Arial" w:hAnsi="Arial" w:cs="Arial"/>
          <w:kern w:val="0"/>
          <w:szCs w:val="21"/>
        </w:rPr>
        <w:t>；</w:t>
      </w:r>
    </w:p>
    <w:p w14:paraId="3F4A263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w:t>
      </w:r>
      <w:r>
        <w:rPr>
          <w:rFonts w:ascii="Arial" w:hAnsi="Arial" w:cs="Arial"/>
          <w:kern w:val="0"/>
          <w:szCs w:val="21"/>
        </w:rPr>
        <w:t>基金的投资组合中保留的现金或者到期日在一年以内的政府债券的比例合计不低于基金资产净值的</w:t>
      </w:r>
      <w:r>
        <w:rPr>
          <w:rFonts w:ascii="Arial" w:hAnsi="Arial" w:cs="Arial"/>
          <w:kern w:val="0"/>
          <w:szCs w:val="21"/>
        </w:rPr>
        <w:t>5%</w:t>
      </w:r>
      <w:r>
        <w:rPr>
          <w:rFonts w:ascii="Arial" w:hAnsi="Arial" w:cs="Arial" w:hint="eastAsia"/>
          <w:kern w:val="0"/>
          <w:szCs w:val="21"/>
        </w:rPr>
        <w:t>，其中，现金不包括结算备付金、存出保证金、应收申购款等；</w:t>
      </w:r>
    </w:p>
    <w:p w14:paraId="1AA9C7C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w:t>
      </w:r>
      <w:r>
        <w:rPr>
          <w:rFonts w:ascii="Arial" w:hAnsi="Arial" w:cs="Arial"/>
          <w:kern w:val="0"/>
          <w:szCs w:val="21"/>
        </w:rPr>
        <w:t>本基金持有的同一（指同一信用级别）资产支持证券的比例，不得超过该资产支持证券规模的</w:t>
      </w:r>
      <w:r>
        <w:rPr>
          <w:rFonts w:ascii="Arial" w:hAnsi="Arial" w:cs="Arial"/>
          <w:kern w:val="0"/>
          <w:szCs w:val="21"/>
        </w:rPr>
        <w:t>10%</w:t>
      </w:r>
      <w:r>
        <w:rPr>
          <w:rFonts w:ascii="Arial" w:hAnsi="Arial" w:cs="Arial"/>
          <w:kern w:val="0"/>
          <w:szCs w:val="21"/>
        </w:rPr>
        <w:t>；本基金投资于同一原始权益人的各类资产支持证券的比例，不得超过基金资产净值的</w:t>
      </w:r>
      <w:r>
        <w:rPr>
          <w:rFonts w:ascii="Arial" w:hAnsi="Arial" w:cs="Arial"/>
          <w:kern w:val="0"/>
          <w:szCs w:val="21"/>
        </w:rPr>
        <w:t>10%</w:t>
      </w:r>
      <w:r>
        <w:rPr>
          <w:rFonts w:ascii="Arial" w:hAnsi="Arial" w:cs="Arial"/>
          <w:kern w:val="0"/>
          <w:szCs w:val="21"/>
        </w:rPr>
        <w:t>；本公司管理的全部证券投资基金投资于同一原始权益人的各类资产</w:t>
      </w:r>
      <w:r>
        <w:rPr>
          <w:rFonts w:ascii="Arial" w:hAnsi="Arial" w:cs="Arial"/>
          <w:kern w:val="0"/>
          <w:szCs w:val="21"/>
        </w:rPr>
        <w:lastRenderedPageBreak/>
        <w:t>支持证券，不得超过其各类资产支持证券合计规模的</w:t>
      </w:r>
      <w:r>
        <w:rPr>
          <w:rFonts w:ascii="Arial" w:hAnsi="Arial" w:cs="Arial"/>
          <w:kern w:val="0"/>
          <w:szCs w:val="21"/>
        </w:rPr>
        <w:t>10%</w:t>
      </w:r>
      <w:r>
        <w:rPr>
          <w:rFonts w:ascii="Arial" w:hAnsi="Arial" w:cs="Arial"/>
          <w:kern w:val="0"/>
          <w:szCs w:val="21"/>
        </w:rPr>
        <w:t>；本基金持有的全部资产支持证券，其市值不得超过基金资产净值的</w:t>
      </w:r>
      <w:r>
        <w:rPr>
          <w:rFonts w:ascii="Arial" w:hAnsi="Arial" w:cs="Arial"/>
          <w:kern w:val="0"/>
          <w:szCs w:val="21"/>
        </w:rPr>
        <w:t>20%</w:t>
      </w:r>
      <w:r>
        <w:rPr>
          <w:rFonts w:ascii="Arial" w:hAnsi="Arial" w:cs="Arial"/>
          <w:kern w:val="0"/>
          <w:szCs w:val="21"/>
        </w:rPr>
        <w:t>，中国证监会规定的特殊品种除外。本基金持有资产支持证券期间，如果其信用等级下降、不再符合投资标准，将在评级报告发布之日起</w:t>
      </w:r>
      <w:r>
        <w:rPr>
          <w:rFonts w:ascii="Arial" w:hAnsi="Arial" w:cs="Arial"/>
          <w:kern w:val="0"/>
          <w:szCs w:val="21"/>
        </w:rPr>
        <w:t>3</w:t>
      </w:r>
      <w:r>
        <w:rPr>
          <w:rFonts w:ascii="Arial" w:hAnsi="Arial" w:cs="Arial"/>
          <w:kern w:val="0"/>
          <w:szCs w:val="21"/>
        </w:rPr>
        <w:t>个月内予以全部卖出</w:t>
      </w:r>
      <w:r>
        <w:rPr>
          <w:rFonts w:ascii="Arial" w:hAnsi="Arial" w:cs="Arial" w:hint="eastAsia"/>
          <w:kern w:val="0"/>
          <w:szCs w:val="21"/>
        </w:rPr>
        <w:t>；</w:t>
      </w:r>
    </w:p>
    <w:p w14:paraId="7E62F4E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）本基金管理人管理的全部开放式基金持有一家上市公司发行的可流通股票，不得超过该上市公司可流通股票的</w:t>
      </w:r>
      <w:r>
        <w:rPr>
          <w:rFonts w:ascii="Arial" w:hAnsi="Arial" w:cs="Arial" w:hint="eastAsia"/>
          <w:kern w:val="0"/>
          <w:szCs w:val="21"/>
        </w:rPr>
        <w:t>15%</w:t>
      </w:r>
      <w:r>
        <w:rPr>
          <w:rFonts w:ascii="Arial" w:hAnsi="Arial" w:cs="Arial" w:hint="eastAsia"/>
          <w:kern w:val="0"/>
          <w:szCs w:val="21"/>
        </w:rPr>
        <w:t>；本基金管理人管理的全部投资组合持有一家上市公司发行的可流通股票，不得超过该上市公司可流通股票的</w:t>
      </w:r>
      <w:r>
        <w:rPr>
          <w:rFonts w:ascii="Arial" w:hAnsi="Arial" w:cs="Arial" w:hint="eastAsia"/>
          <w:kern w:val="0"/>
          <w:szCs w:val="21"/>
        </w:rPr>
        <w:t>30 %</w:t>
      </w:r>
      <w:r>
        <w:rPr>
          <w:rFonts w:ascii="Arial" w:hAnsi="Arial" w:cs="Arial" w:hint="eastAsia"/>
          <w:kern w:val="0"/>
          <w:szCs w:val="21"/>
        </w:rPr>
        <w:t>；</w:t>
      </w:r>
    </w:p>
    <w:p w14:paraId="355A8EF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）本基金主动投资于流动性受限资产的市值合计不得超过本基金资产净值的</w:t>
      </w:r>
      <w:r>
        <w:rPr>
          <w:rFonts w:ascii="Arial" w:hAnsi="Arial" w:cs="Arial" w:hint="eastAsia"/>
          <w:kern w:val="0"/>
          <w:szCs w:val="21"/>
        </w:rPr>
        <w:t>15%</w:t>
      </w:r>
      <w:r>
        <w:rPr>
          <w:rFonts w:ascii="Arial" w:hAnsi="Arial" w:cs="Arial" w:hint="eastAsia"/>
          <w:kern w:val="0"/>
          <w:szCs w:val="21"/>
        </w:rPr>
        <w:t>；</w:t>
      </w:r>
    </w:p>
    <w:p w14:paraId="6E2CAC5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因证券市场波动、上市公司股票停牌、基金规模变动等基金管理人之外的因素致使基金不符合前款所规定比例限制的，基金管理人不得主动新增流动性受限资产的投资；</w:t>
      </w:r>
    </w:p>
    <w:p w14:paraId="42DB9DE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9</w:t>
      </w:r>
      <w:r>
        <w:rPr>
          <w:rFonts w:ascii="Arial" w:hAnsi="Arial" w:cs="Arial" w:hint="eastAsia"/>
          <w:kern w:val="0"/>
          <w:szCs w:val="21"/>
        </w:rPr>
        <w:t>）本基金与私募类</w:t>
      </w:r>
      <w:proofErr w:type="gramStart"/>
      <w:r>
        <w:rPr>
          <w:rFonts w:ascii="Arial" w:hAnsi="Arial" w:cs="Arial" w:hint="eastAsia"/>
          <w:kern w:val="0"/>
          <w:szCs w:val="21"/>
        </w:rPr>
        <w:t>证券资管产品</w:t>
      </w:r>
      <w:proofErr w:type="gramEnd"/>
      <w:r>
        <w:rPr>
          <w:rFonts w:ascii="Arial" w:hAnsi="Arial" w:cs="Arial" w:hint="eastAsia"/>
          <w:kern w:val="0"/>
          <w:szCs w:val="21"/>
        </w:rPr>
        <w:t>及中国证监会认定的其他主体为交易对手开展逆回购交易的，可接受质押品的资质要求应当与基金合同约定的投资范围保持一致；</w:t>
      </w:r>
    </w:p>
    <w:p w14:paraId="7E45982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10</w:t>
      </w:r>
      <w:r>
        <w:rPr>
          <w:rFonts w:ascii="Arial" w:hAnsi="Arial" w:cs="Arial" w:hint="eastAsia"/>
          <w:kern w:val="0"/>
          <w:szCs w:val="21"/>
        </w:rPr>
        <w:t>）</w:t>
      </w:r>
      <w:r>
        <w:rPr>
          <w:rFonts w:ascii="Arial" w:hAnsi="Arial" w:cs="Arial"/>
          <w:kern w:val="0"/>
          <w:szCs w:val="21"/>
        </w:rPr>
        <w:t>法律、法规、基金合同及中国证监会规定的其他比例限制。</w:t>
      </w:r>
    </w:p>
    <w:p w14:paraId="4EEA3BC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如果法律法规对本基金合同约定投资组合比例限制进行变更的，以变更后的规定为准。法律法规或监管部门取消上述限制，如适用于本基金，则本基金投资不再受相关限制。</w:t>
      </w:r>
    </w:p>
    <w:p w14:paraId="0B04ED3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基金管理人应当自基金合同生效之日起</w:t>
      </w:r>
      <w:r>
        <w:rPr>
          <w:rFonts w:ascii="Arial" w:hAnsi="Arial" w:cs="Arial"/>
          <w:kern w:val="0"/>
          <w:szCs w:val="21"/>
        </w:rPr>
        <w:t>3</w:t>
      </w:r>
      <w:r>
        <w:rPr>
          <w:rFonts w:ascii="Arial" w:hAnsi="Arial" w:cs="Arial"/>
          <w:kern w:val="0"/>
          <w:szCs w:val="21"/>
        </w:rPr>
        <w:t>个月内使基金的投资组合比例符合基金合同的约定。</w:t>
      </w:r>
      <w:r>
        <w:rPr>
          <w:rFonts w:ascii="Arial" w:hAnsi="Arial" w:cs="Arial" w:hint="eastAsia"/>
          <w:kern w:val="0"/>
          <w:szCs w:val="21"/>
        </w:rPr>
        <w:t>除上述第（</w:t>
      </w:r>
      <w:r>
        <w:rPr>
          <w:rFonts w:ascii="Arial" w:hAnsi="Arial" w:cs="Arial" w:hint="eastAsia"/>
          <w:kern w:val="0"/>
          <w:szCs w:val="21"/>
        </w:rPr>
        <w:t>8</w:t>
      </w:r>
      <w:r>
        <w:rPr>
          <w:rFonts w:ascii="Arial" w:hAnsi="Arial" w:cs="Arial" w:hint="eastAsia"/>
          <w:kern w:val="0"/>
          <w:szCs w:val="21"/>
        </w:rPr>
        <w:t>）、（</w:t>
      </w:r>
      <w:r>
        <w:rPr>
          <w:rFonts w:ascii="Arial" w:hAnsi="Arial" w:cs="Arial" w:hint="eastAsia"/>
          <w:kern w:val="0"/>
          <w:szCs w:val="21"/>
        </w:rPr>
        <w:t>9</w:t>
      </w:r>
      <w:r>
        <w:rPr>
          <w:rFonts w:ascii="Arial" w:hAnsi="Arial" w:cs="Arial" w:hint="eastAsia"/>
          <w:kern w:val="0"/>
          <w:szCs w:val="21"/>
        </w:rPr>
        <w:t>）项外，</w:t>
      </w:r>
      <w:r>
        <w:rPr>
          <w:rFonts w:ascii="Arial" w:hAnsi="Arial" w:cs="Arial"/>
          <w:kern w:val="0"/>
          <w:szCs w:val="21"/>
        </w:rPr>
        <w:t>由于证券市场波动、基金规模变动、标的指数调整、标的指数</w:t>
      </w:r>
      <w:r>
        <w:rPr>
          <w:rFonts w:ascii="Arial" w:hAnsi="Arial" w:cs="Arial" w:hint="eastAsia"/>
          <w:kern w:val="0"/>
          <w:szCs w:val="21"/>
        </w:rPr>
        <w:t>所对应的黄金现货合约</w:t>
      </w:r>
      <w:r>
        <w:rPr>
          <w:rFonts w:ascii="Arial" w:hAnsi="Arial" w:cs="Arial"/>
          <w:kern w:val="0"/>
          <w:szCs w:val="21"/>
        </w:rPr>
        <w:t>股流动性限制、</w:t>
      </w:r>
      <w:r>
        <w:rPr>
          <w:rFonts w:ascii="Arial" w:hAnsi="Arial" w:cs="Arial"/>
          <w:kern w:val="0"/>
          <w:szCs w:val="21"/>
        </w:rPr>
        <w:t>ETF</w:t>
      </w:r>
      <w:r>
        <w:rPr>
          <w:rFonts w:ascii="Arial" w:hAnsi="Arial" w:cs="Arial"/>
          <w:kern w:val="0"/>
          <w:szCs w:val="21"/>
        </w:rPr>
        <w:t>暂停申购、赎回或二级市场交易停牌等基金管理人之外的因素导致基金投资不符合上述约定比例的，基金管理人应在</w:t>
      </w:r>
      <w:r>
        <w:rPr>
          <w:rFonts w:ascii="Arial" w:hAnsi="Arial" w:cs="Arial"/>
          <w:kern w:val="0"/>
          <w:szCs w:val="21"/>
        </w:rPr>
        <w:t>10</w:t>
      </w:r>
      <w:r>
        <w:rPr>
          <w:rFonts w:ascii="Arial" w:hAnsi="Arial" w:cs="Arial"/>
          <w:kern w:val="0"/>
          <w:szCs w:val="21"/>
        </w:rPr>
        <w:t>个交易日内进行调整，以达到标准，法律法规另有规定的，从其规定。</w:t>
      </w:r>
    </w:p>
    <w:p w14:paraId="570DCE65" w14:textId="77777777" w:rsidR="00ED45CB" w:rsidRDefault="00ED45CB">
      <w:pPr>
        <w:adjustRightInd w:val="0"/>
        <w:snapToGrid w:val="0"/>
        <w:spacing w:line="360" w:lineRule="auto"/>
        <w:ind w:firstLineChars="200" w:firstLine="420"/>
        <w:rPr>
          <w:rFonts w:ascii="Arial" w:hAnsi="Arial" w:cs="Arial"/>
          <w:kern w:val="0"/>
          <w:szCs w:val="21"/>
        </w:rPr>
      </w:pPr>
    </w:p>
    <w:p w14:paraId="47B3C9FD" w14:textId="77777777" w:rsidR="00ED45CB" w:rsidRDefault="00703CCA">
      <w:pPr>
        <w:adjustRightInd w:val="0"/>
        <w:snapToGrid w:val="0"/>
        <w:spacing w:line="360" w:lineRule="auto"/>
        <w:ind w:firstLineChars="200" w:firstLine="420"/>
        <w:rPr>
          <w:rFonts w:ascii="Arial" w:hAnsi="Arial" w:cs="Arial"/>
          <w:b/>
          <w:kern w:val="0"/>
          <w:szCs w:val="21"/>
        </w:rPr>
      </w:pPr>
      <w:bookmarkStart w:id="103" w:name="_Toc266369100"/>
      <w:bookmarkStart w:id="104" w:name="_Toc253128724"/>
      <w:r>
        <w:rPr>
          <w:rFonts w:ascii="Arial" w:hAnsi="Arial" w:cs="Arial"/>
          <w:b/>
          <w:kern w:val="0"/>
          <w:szCs w:val="21"/>
        </w:rPr>
        <w:t>六、基金资产净值的计算方法和公告方式</w:t>
      </w:r>
      <w:bookmarkEnd w:id="103"/>
      <w:bookmarkEnd w:id="104"/>
    </w:p>
    <w:p w14:paraId="5758CBD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（一）估值目的</w:t>
      </w:r>
    </w:p>
    <w:p w14:paraId="04901A2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基金估值的目的是为了准确、真实地反映基金相关金融资产和金融负债的公允价值。开放式基金份额申购、赎回价格应按基金估值后确定的基金份额净值计算。</w:t>
      </w:r>
    </w:p>
    <w:p w14:paraId="2746E12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（二）估值日</w:t>
      </w:r>
    </w:p>
    <w:p w14:paraId="6537FFA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本基金的估值日为相关的证券交易场所的正常营业日以及国家法律法规规定需要对外披露基金净值的非营业日。</w:t>
      </w:r>
    </w:p>
    <w:p w14:paraId="3057F19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（三）估值对象</w:t>
      </w:r>
    </w:p>
    <w:p w14:paraId="38DB85E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基金所持有的金融资产和金融负债</w:t>
      </w:r>
      <w:r>
        <w:rPr>
          <w:rFonts w:ascii="Arial" w:hAnsi="Arial" w:cs="Arial"/>
          <w:kern w:val="0"/>
          <w:szCs w:val="21"/>
        </w:rPr>
        <w:t>。</w:t>
      </w:r>
    </w:p>
    <w:p w14:paraId="58AD695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（四）估值方法</w:t>
      </w:r>
    </w:p>
    <w:p w14:paraId="0FAE970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、股票估值方法</w:t>
      </w:r>
    </w:p>
    <w:p w14:paraId="37E3D2E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）上市流通股票的估值</w:t>
      </w:r>
    </w:p>
    <w:p w14:paraId="3A1E19E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上市流通股票按估值日其所在证券交易所的收盘价估值；估值日无交易的，且最近交易</w:t>
      </w:r>
      <w:r>
        <w:rPr>
          <w:rFonts w:ascii="Arial" w:hAnsi="Arial" w:cs="Arial" w:hint="eastAsia"/>
          <w:kern w:val="0"/>
          <w:szCs w:val="21"/>
        </w:rPr>
        <w:lastRenderedPageBreak/>
        <w:t>日后经济环境未发生重大变化，以最近交易日的收盘价估值；如最近交易日后经济环境发生了重大变化的，可参考类似投资品种的现行市价及重大变化因素，调整最近交易市价，确定公允价格。</w:t>
      </w:r>
    </w:p>
    <w:p w14:paraId="2FD522D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）未上市股票的估值</w:t>
      </w:r>
    </w:p>
    <w:p w14:paraId="1EA65D1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送股、转增股、配股和公开增发新股等发行未上市的股票，按估值日在交易所挂牌的同一股票的收盘价估值；估值日无交易的，且最近交易日后经济环境未发生重大变化，以最近交易日的收盘价估值；如最近交易日后经济环境发生了重大变化的，可参考类似投资品种的现行市价及重大变化因素，调整最近交易市价，确定公允价格。。</w:t>
      </w:r>
    </w:p>
    <w:p w14:paraId="6F4ECE3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首次发行未上市的股票，采用估值技术确定公允价值，在估值技术难以可靠计量的情况下，按成本估值。</w:t>
      </w:r>
    </w:p>
    <w:p w14:paraId="3D49118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）有明确锁定期股票的估值</w:t>
      </w:r>
    </w:p>
    <w:p w14:paraId="37325F4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首次公开发行有明确锁定期的股票，同一股票在交易所上市后，按交易所上市的同一股票的收盘价估值；非公开发行且处于明确锁定期的股票，按监管机构或行业协会的有关规定确定公允价值。</w:t>
      </w:r>
    </w:p>
    <w:p w14:paraId="227D1A1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、固定收益证券的估值办法</w:t>
      </w:r>
    </w:p>
    <w:p w14:paraId="345E467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）证券交易所市场实行净价交易的债券按估值日收盘净价估值，估值日没有交易的，且最近交易日后经济环境未发生重大变化，按最近交易日的收盘净价估值</w:t>
      </w:r>
      <w:r>
        <w:rPr>
          <w:rFonts w:ascii="Arial" w:hAnsi="Arial" w:cs="Arial"/>
          <w:kern w:val="0"/>
          <w:szCs w:val="21"/>
        </w:rPr>
        <w:t>；</w:t>
      </w:r>
      <w:r>
        <w:rPr>
          <w:rFonts w:ascii="Arial" w:hAnsi="Arial" w:cs="Arial" w:hint="eastAsia"/>
          <w:kern w:val="0"/>
          <w:szCs w:val="21"/>
        </w:rPr>
        <w:t>如最近交易日后经济环境发生了重大变化的，可参考类似投资品种的现行市价及重大变化因素，调整最近交易市价，确定公允价格。</w:t>
      </w:r>
    </w:p>
    <w:p w14:paraId="1FC1E48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）证券交易所市场未实行净价交易的债券按估值日收盘价减去债券收盘价中所含的债券应收利息</w:t>
      </w:r>
      <w:r>
        <w:rPr>
          <w:rFonts w:ascii="Arial" w:hAnsi="Arial" w:cs="Arial"/>
          <w:kern w:val="0"/>
          <w:szCs w:val="21"/>
        </w:rPr>
        <w:t>(</w:t>
      </w:r>
      <w:r>
        <w:rPr>
          <w:rFonts w:ascii="Arial" w:hAnsi="Arial" w:cs="Arial"/>
          <w:kern w:val="0"/>
          <w:szCs w:val="21"/>
        </w:rPr>
        <w:t>自债券计息起始日或上一起</w:t>
      </w:r>
      <w:proofErr w:type="gramStart"/>
      <w:r>
        <w:rPr>
          <w:rFonts w:ascii="Arial" w:hAnsi="Arial" w:cs="Arial"/>
          <w:kern w:val="0"/>
          <w:szCs w:val="21"/>
        </w:rPr>
        <w:t>息</w:t>
      </w:r>
      <w:proofErr w:type="gramEnd"/>
      <w:r>
        <w:rPr>
          <w:rFonts w:ascii="Arial" w:hAnsi="Arial" w:cs="Arial"/>
          <w:kern w:val="0"/>
          <w:szCs w:val="21"/>
        </w:rPr>
        <w:t>日至估值当日的利息</w:t>
      </w:r>
      <w:r>
        <w:rPr>
          <w:rFonts w:ascii="Arial" w:hAnsi="Arial" w:cs="Arial"/>
          <w:kern w:val="0"/>
          <w:szCs w:val="21"/>
        </w:rPr>
        <w:t>)</w:t>
      </w:r>
      <w:r>
        <w:rPr>
          <w:rFonts w:ascii="Arial" w:hAnsi="Arial" w:cs="Arial" w:hint="eastAsia"/>
          <w:kern w:val="0"/>
          <w:szCs w:val="21"/>
        </w:rPr>
        <w:t>得到的净价进行估值，估值日没有交易的，且最近交易日后经济环境未发生重大变化，按有交易的最近交易日所采用的净价估值；如最近交易日后经济环境发生了重大变化的，可参考类似投资品种的现行市价及重大变化因素，调整最近交易市价，确定公允价格。</w:t>
      </w:r>
    </w:p>
    <w:p w14:paraId="6C67CED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）未上市债券采用估值技术确定公允价值，在估值技术难以可靠计量的情况下，按成本估值。</w:t>
      </w:r>
    </w:p>
    <w:p w14:paraId="65775E8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）在银行间债券市场交易的债券、资产支持证券等固定收益品种，采用估值技术确定公允价值。</w:t>
      </w:r>
    </w:p>
    <w:p w14:paraId="2F73540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）交易所以大宗交易方式转让的资产支持证券，采用估值技术确定公允价值，在估值技术难以可靠计量公允价值的情况下，按成本进行后续计量。</w:t>
      </w:r>
    </w:p>
    <w:p w14:paraId="766ADC8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）同一债券同时在两个或两个以上市场交易的，按债券所处的市场分别估值。</w:t>
      </w:r>
    </w:p>
    <w:p w14:paraId="7C9B981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、权证估值：</w:t>
      </w:r>
    </w:p>
    <w:p w14:paraId="78266AD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）配股权证的估值：</w:t>
      </w:r>
    </w:p>
    <w:p w14:paraId="74DEAF9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因持有股票而享有的配股权，类同权证处理方式的，采用估值技术进行估值。</w:t>
      </w:r>
    </w:p>
    <w:p w14:paraId="1E04530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w:t>
      </w:r>
      <w:r>
        <w:rPr>
          <w:rFonts w:ascii="Arial" w:hAnsi="Arial" w:cs="Arial" w:hint="eastAsia"/>
          <w:kern w:val="0"/>
          <w:szCs w:val="21"/>
        </w:rPr>
        <w:t>2</w:t>
      </w:r>
      <w:r>
        <w:rPr>
          <w:rFonts w:ascii="Arial" w:hAnsi="Arial" w:cs="Arial" w:hint="eastAsia"/>
          <w:kern w:val="0"/>
          <w:szCs w:val="21"/>
        </w:rPr>
        <w:t>）认沽</w:t>
      </w:r>
      <w:r>
        <w:rPr>
          <w:rFonts w:ascii="Arial" w:hAnsi="Arial" w:cs="Arial" w:hint="eastAsia"/>
          <w:kern w:val="0"/>
          <w:szCs w:val="21"/>
        </w:rPr>
        <w:t>/</w:t>
      </w:r>
      <w:r>
        <w:rPr>
          <w:rFonts w:ascii="Arial" w:hAnsi="Arial" w:cs="Arial" w:hint="eastAsia"/>
          <w:kern w:val="0"/>
          <w:szCs w:val="21"/>
        </w:rPr>
        <w:t>认购权证的估值：</w:t>
      </w:r>
    </w:p>
    <w:p w14:paraId="26F245E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从持有确认日起到卖出日或行权日止，上市交易的认沽</w:t>
      </w:r>
      <w:r>
        <w:rPr>
          <w:rFonts w:ascii="Arial" w:hAnsi="Arial" w:cs="Arial" w:hint="eastAsia"/>
          <w:kern w:val="0"/>
          <w:szCs w:val="21"/>
        </w:rPr>
        <w:t>/</w:t>
      </w:r>
      <w:r>
        <w:rPr>
          <w:rFonts w:ascii="Arial" w:hAnsi="Arial" w:cs="Arial" w:hint="eastAsia"/>
          <w:kern w:val="0"/>
          <w:szCs w:val="21"/>
        </w:rPr>
        <w:t>认购权证按估值日的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未上市交易的认沽</w:t>
      </w:r>
      <w:r>
        <w:rPr>
          <w:rFonts w:ascii="Arial" w:hAnsi="Arial" w:cs="Arial" w:hint="eastAsia"/>
          <w:kern w:val="0"/>
          <w:szCs w:val="21"/>
        </w:rPr>
        <w:t>/</w:t>
      </w:r>
      <w:r>
        <w:rPr>
          <w:rFonts w:ascii="Arial" w:hAnsi="Arial" w:cs="Arial" w:hint="eastAsia"/>
          <w:kern w:val="0"/>
          <w:szCs w:val="21"/>
        </w:rPr>
        <w:t>认购权证采用估值技术确定公允价值，在估值技术难以可靠计量的情况下，按成本估值。</w:t>
      </w:r>
    </w:p>
    <w:p w14:paraId="376F98C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、黄金现货合约、黄金现货延期交收合约及其他经中国人民银行批准的黄金合约，按估值日其所在上海黄金交易所的收盘价估值。</w:t>
      </w:r>
    </w:p>
    <w:p w14:paraId="4F444A6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、本基金持有的目标</w:t>
      </w:r>
      <w:r>
        <w:rPr>
          <w:rFonts w:ascii="Arial" w:hAnsi="Arial" w:cs="Arial" w:hint="eastAsia"/>
          <w:kern w:val="0"/>
          <w:szCs w:val="21"/>
        </w:rPr>
        <w:t>ETF</w:t>
      </w:r>
      <w:r>
        <w:rPr>
          <w:rFonts w:ascii="Arial" w:hAnsi="Arial" w:cs="Arial" w:hint="eastAsia"/>
          <w:kern w:val="0"/>
          <w:szCs w:val="21"/>
        </w:rPr>
        <w:t>份额</w:t>
      </w:r>
      <w:r>
        <w:rPr>
          <w:rFonts w:ascii="Arial" w:hAnsi="Arial" w:cs="Arial"/>
          <w:kern w:val="0"/>
          <w:szCs w:val="21"/>
        </w:rPr>
        <w:t>以其在</w:t>
      </w:r>
      <w:r>
        <w:rPr>
          <w:rFonts w:ascii="Arial" w:hAnsi="Arial" w:cs="Arial" w:hint="eastAsia"/>
          <w:kern w:val="0"/>
          <w:szCs w:val="21"/>
        </w:rPr>
        <w:t>估值日的基金份额</w:t>
      </w:r>
      <w:r>
        <w:rPr>
          <w:rFonts w:ascii="Arial" w:hAnsi="Arial" w:cs="Arial"/>
          <w:kern w:val="0"/>
          <w:szCs w:val="21"/>
        </w:rPr>
        <w:t>净值进行估值</w:t>
      </w:r>
      <w:r>
        <w:rPr>
          <w:rFonts w:ascii="Arial" w:hAnsi="Arial" w:cs="Arial" w:hint="eastAsia"/>
          <w:kern w:val="0"/>
          <w:szCs w:val="21"/>
        </w:rPr>
        <w:t>。</w:t>
      </w:r>
    </w:p>
    <w:p w14:paraId="09E6476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、本基金持有的回购以成本列示，按合同利率在回购期间内逐日计提应收或应付利息。</w:t>
      </w:r>
    </w:p>
    <w:p w14:paraId="624DFDE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7</w:t>
      </w:r>
      <w:r>
        <w:rPr>
          <w:rFonts w:ascii="Arial" w:hAnsi="Arial" w:cs="Arial" w:hint="eastAsia"/>
          <w:kern w:val="0"/>
          <w:szCs w:val="21"/>
        </w:rPr>
        <w:t>、本基金持有的银行存款和备付金余额以本金列示，按相应利率逐日计提利息。</w:t>
      </w:r>
    </w:p>
    <w:p w14:paraId="6513603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8</w:t>
      </w:r>
      <w:r>
        <w:rPr>
          <w:rFonts w:ascii="Arial" w:hAnsi="Arial" w:cs="Arial" w:hint="eastAsia"/>
          <w:kern w:val="0"/>
          <w:szCs w:val="21"/>
        </w:rPr>
        <w:t>、在任何情况下，基金管理人采用上述</w:t>
      </w:r>
      <w:r>
        <w:rPr>
          <w:rFonts w:ascii="Arial" w:hAnsi="Arial" w:cs="Arial"/>
          <w:kern w:val="0"/>
          <w:szCs w:val="21"/>
        </w:rPr>
        <w:t>1-7</w:t>
      </w:r>
      <w:r>
        <w:rPr>
          <w:rFonts w:ascii="Arial" w:hAnsi="Arial" w:cs="Arial" w:hint="eastAsia"/>
          <w:kern w:val="0"/>
          <w:szCs w:val="21"/>
        </w:rPr>
        <w:t>项规定的方法对基金财产进行估值，均应被认为采用了适当的估值方法。但是，如果基金管理人有充足的理由认为按上述方法对基金财产进行估值不能客观反映其公允价值的，基金管理人可在综合考虑市场成交价、市场报价、流动性、收益率曲线等多种因素的基础上与基金托管人商定后，按最能反映公允价值的价格估值。</w:t>
      </w:r>
    </w:p>
    <w:p w14:paraId="335DEB4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9</w:t>
      </w:r>
      <w:r>
        <w:rPr>
          <w:rFonts w:ascii="Arial" w:hAnsi="Arial" w:cs="Arial" w:hint="eastAsia"/>
          <w:kern w:val="0"/>
          <w:szCs w:val="21"/>
        </w:rPr>
        <w:t>、国家有最新规定的，按国家最新规定进行估值。</w:t>
      </w:r>
    </w:p>
    <w:p w14:paraId="3517D47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（五）估值程序</w:t>
      </w:r>
    </w:p>
    <w:p w14:paraId="6E3EB29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日常估值由基金管理人同基金托管人一同进行。基金份额净值由基金管理人完成估值后，将估值结果报给基金托管人，基金托管人按《基金合同》规定的估值方法、时间、程序进行复核，基金托管人复核无误后返回给基金管理人，由基金管理人对外公布。月末、年中和年末估值复核与基金会计账目的核对同时进行。</w:t>
      </w:r>
    </w:p>
    <w:p w14:paraId="76574BF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（六）暂停估值的情形</w:t>
      </w:r>
    </w:p>
    <w:p w14:paraId="0E0AF4A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、基金投资所涉及的证券交易所遇法定节假日或因其他原因暂停营业时；</w:t>
      </w:r>
    </w:p>
    <w:p w14:paraId="5558E9C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、因不可抗力或其他情形致使基金管理人、基金托管人无法准确评估基金财产价值时；</w:t>
      </w:r>
    </w:p>
    <w:p w14:paraId="4F0E920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Arial" w:cs="Arial" w:hint="eastAsia"/>
          <w:kern w:val="0"/>
          <w:szCs w:val="21"/>
        </w:rPr>
        <w:t>、占基金相当比例的投资品种的估值出现重大转变，基金管理人为保障基金份额持有人的利益，决定延迟估值；</w:t>
      </w:r>
    </w:p>
    <w:p w14:paraId="7D05CD1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、本基金所投资的</w:t>
      </w:r>
      <w:r>
        <w:rPr>
          <w:rFonts w:ascii="Arial" w:hAnsi="Arial" w:cs="Arial"/>
          <w:kern w:val="0"/>
          <w:szCs w:val="21"/>
        </w:rPr>
        <w:t>ETF</w:t>
      </w:r>
      <w:r>
        <w:rPr>
          <w:rFonts w:ascii="Arial" w:hAnsi="Arial" w:cs="Arial" w:hint="eastAsia"/>
          <w:kern w:val="0"/>
          <w:szCs w:val="21"/>
        </w:rPr>
        <w:t>发生暂停估值的情形；</w:t>
      </w:r>
    </w:p>
    <w:p w14:paraId="629AF44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、当前一估值日基金资产净值</w:t>
      </w:r>
      <w:r>
        <w:rPr>
          <w:rFonts w:ascii="Arial" w:hAnsi="Arial" w:cs="Arial" w:hint="eastAsia"/>
          <w:kern w:val="0"/>
          <w:szCs w:val="21"/>
        </w:rPr>
        <w:t>50%</w:t>
      </w:r>
      <w:r>
        <w:rPr>
          <w:rFonts w:ascii="Arial" w:hAnsi="Arial" w:cs="Arial" w:hint="eastAsia"/>
          <w:kern w:val="0"/>
          <w:szCs w:val="21"/>
        </w:rPr>
        <w:t>以上的资产出现无可参考的活跃市场价格且采用估值技术</w:t>
      </w:r>
      <w:proofErr w:type="gramStart"/>
      <w:r>
        <w:rPr>
          <w:rFonts w:ascii="Arial" w:hAnsi="Arial" w:cs="Arial" w:hint="eastAsia"/>
          <w:kern w:val="0"/>
          <w:szCs w:val="21"/>
        </w:rPr>
        <w:t>仍导致</w:t>
      </w:r>
      <w:proofErr w:type="gramEnd"/>
      <w:r>
        <w:rPr>
          <w:rFonts w:ascii="Arial" w:hAnsi="Arial" w:cs="Arial" w:hint="eastAsia"/>
          <w:kern w:val="0"/>
          <w:szCs w:val="21"/>
        </w:rPr>
        <w:t>公允价值存在重大不确定性时，经与基金托管人协商一致，应当暂停估值；</w:t>
      </w:r>
    </w:p>
    <w:p w14:paraId="6D9A35B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、法律法规规定、中国证监会认定的其他情形。</w:t>
      </w:r>
    </w:p>
    <w:p w14:paraId="500B72DD"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（七）基金份额净值的确认</w:t>
      </w:r>
    </w:p>
    <w:p w14:paraId="624269EA" w14:textId="582AF3EA"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基金份额净值由基金管理人负责计算，基金托管人进行复核。基金管理人应于每个工作日交易结束后计算当日的基金份额净值并发送给基金托管人。基金托管人对净值计算结果复</w:t>
      </w:r>
      <w:r>
        <w:rPr>
          <w:rFonts w:ascii="Arial" w:hAnsi="Arial" w:cs="Arial" w:hint="eastAsia"/>
          <w:kern w:val="0"/>
          <w:szCs w:val="21"/>
        </w:rPr>
        <w:lastRenderedPageBreak/>
        <w:t>核确认后发送给基金管理人，由基金管理人按规定对基金份额净值予以公布。</w:t>
      </w:r>
    </w:p>
    <w:p w14:paraId="28E629D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基金份额净值的计算精确到</w:t>
      </w:r>
      <w:r>
        <w:rPr>
          <w:rFonts w:ascii="Arial" w:hAnsi="Arial" w:cs="Arial" w:hint="eastAsia"/>
          <w:kern w:val="0"/>
          <w:szCs w:val="21"/>
        </w:rPr>
        <w:t>0.0001</w:t>
      </w:r>
      <w:r>
        <w:rPr>
          <w:rFonts w:ascii="Arial" w:hAnsi="Arial" w:cs="Arial" w:hint="eastAsia"/>
          <w:kern w:val="0"/>
          <w:szCs w:val="21"/>
        </w:rPr>
        <w:t>元，小数点后第</w:t>
      </w:r>
      <w:r>
        <w:rPr>
          <w:rFonts w:ascii="Arial" w:hAnsi="Arial" w:cs="Arial" w:hint="eastAsia"/>
          <w:kern w:val="0"/>
          <w:szCs w:val="21"/>
        </w:rPr>
        <w:t>5</w:t>
      </w:r>
      <w:r>
        <w:rPr>
          <w:rFonts w:ascii="Arial" w:hAnsi="Arial" w:cs="Arial" w:hint="eastAsia"/>
          <w:kern w:val="0"/>
          <w:szCs w:val="21"/>
        </w:rPr>
        <w:t>位四舍五入。国家另有规定的，从其规定。</w:t>
      </w:r>
    </w:p>
    <w:p w14:paraId="20E03CA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（八）估值错误的处理</w:t>
      </w:r>
    </w:p>
    <w:p w14:paraId="5582BB5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、当基金财产的估值导致基金份额净值小数点后</w:t>
      </w:r>
      <w:r>
        <w:rPr>
          <w:rFonts w:ascii="Arial" w:hAnsi="Arial" w:cs="Arial" w:hint="eastAsia"/>
          <w:kern w:val="0"/>
          <w:szCs w:val="21"/>
        </w:rPr>
        <w:t>4</w:t>
      </w:r>
      <w:r>
        <w:rPr>
          <w:rFonts w:ascii="Arial" w:hAnsi="Arial" w:cs="Arial" w:hint="eastAsia"/>
          <w:kern w:val="0"/>
          <w:szCs w:val="21"/>
        </w:rPr>
        <w:t>位（含第</w:t>
      </w:r>
      <w:r>
        <w:rPr>
          <w:rFonts w:ascii="Arial" w:hAnsi="Arial" w:cs="Arial" w:hint="eastAsia"/>
          <w:kern w:val="0"/>
          <w:szCs w:val="21"/>
        </w:rPr>
        <w:t>4</w:t>
      </w:r>
      <w:r>
        <w:rPr>
          <w:rFonts w:ascii="Arial" w:hAnsi="Arial" w:cs="Arial" w:hint="eastAsia"/>
          <w:kern w:val="0"/>
          <w:szCs w:val="21"/>
        </w:rPr>
        <w:t>位）内发生差错时，视为基金份额净值估值错误。</w:t>
      </w:r>
    </w:p>
    <w:p w14:paraId="1358C93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管理人和基金托管人将采取必要、适当合理的措施确保基金财产估值的准确性、及时性。当基金份额净值出现错误时，基金管理人应当立即予以纠正，并采取合理的措施防止损失进一步扩大；当计价错误达到或超过基金份额净值的</w:t>
      </w:r>
      <w:r>
        <w:rPr>
          <w:rFonts w:ascii="Arial" w:hAnsi="Arial" w:cs="Arial" w:hint="eastAsia"/>
          <w:kern w:val="0"/>
          <w:szCs w:val="21"/>
        </w:rPr>
        <w:t>0.25%</w:t>
      </w:r>
      <w:r>
        <w:rPr>
          <w:rFonts w:ascii="Arial" w:hAnsi="Arial" w:cs="Arial" w:hint="eastAsia"/>
          <w:kern w:val="0"/>
          <w:szCs w:val="21"/>
        </w:rPr>
        <w:t>时，基金管理人应当报中国证监会备案；当计价错误达到或超过基金份额净值的</w:t>
      </w:r>
      <w:r>
        <w:rPr>
          <w:rFonts w:ascii="Arial" w:hAnsi="Arial" w:cs="Arial" w:hint="eastAsia"/>
          <w:kern w:val="0"/>
          <w:szCs w:val="21"/>
        </w:rPr>
        <w:t>0.5%</w:t>
      </w:r>
      <w:r>
        <w:rPr>
          <w:rFonts w:ascii="Arial" w:hAnsi="Arial" w:cs="Arial" w:hint="eastAsia"/>
          <w:kern w:val="0"/>
          <w:szCs w:val="21"/>
        </w:rPr>
        <w:t>时，基金管理人应当公告，并同时报中国证监会备案。</w:t>
      </w:r>
    </w:p>
    <w:p w14:paraId="502B7AE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、前述内容如法律法规或监管机构另有规定的，按其规定处理。</w:t>
      </w:r>
    </w:p>
    <w:p w14:paraId="2F16AD6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（九）特殊情形的处理</w:t>
      </w:r>
    </w:p>
    <w:p w14:paraId="14085A0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、基金管理人按本节估值方法第</w:t>
      </w:r>
      <w:r>
        <w:rPr>
          <w:rFonts w:ascii="Arial" w:hAnsi="Arial" w:cs="Arial" w:hint="eastAsia"/>
          <w:kern w:val="0"/>
          <w:szCs w:val="21"/>
        </w:rPr>
        <w:t>8</w:t>
      </w:r>
      <w:r>
        <w:rPr>
          <w:rFonts w:ascii="Arial" w:hAnsi="Arial" w:cs="Arial" w:hint="eastAsia"/>
          <w:kern w:val="0"/>
          <w:szCs w:val="21"/>
        </w:rPr>
        <w:t>项有关估值方法进行估值时，所造成的误差不作为基金份额净值错误处理。</w:t>
      </w:r>
    </w:p>
    <w:p w14:paraId="1F72D587" w14:textId="77777777" w:rsidR="00ED45CB" w:rsidRDefault="00703CCA">
      <w:pPr>
        <w:adjustRightInd w:val="0"/>
        <w:snapToGrid w:val="0"/>
        <w:spacing w:line="360" w:lineRule="auto"/>
        <w:ind w:firstLineChars="200" w:firstLine="420"/>
        <w:rPr>
          <w:rFonts w:ascii="Arial" w:hAnsi="Arial"/>
          <w:szCs w:val="21"/>
        </w:rPr>
      </w:pPr>
      <w:r>
        <w:rPr>
          <w:rFonts w:ascii="Arial" w:hAnsi="Arial" w:cs="Arial" w:hint="eastAsia"/>
          <w:kern w:val="0"/>
          <w:szCs w:val="21"/>
        </w:rPr>
        <w:t>2</w:t>
      </w:r>
      <w:r>
        <w:rPr>
          <w:rFonts w:ascii="Arial" w:hAnsi="Arial" w:cs="Arial" w:hint="eastAsia"/>
          <w:kern w:val="0"/>
          <w:szCs w:val="21"/>
        </w:rPr>
        <w:t>、由于不可抗力原因，或由于证券交易所及登记结算公司发送的数据错误，基金管理人和基金托管人虽然已经采取必要、适当、合理的措施进行检查，但未能发现错误的，由此造成的基金资产估值错误，基金管理人和基金托管人可以免除赔偿责任。但基金管理人应当积极采取必要的措施消除或减轻由此造成的影响。</w:t>
      </w:r>
    </w:p>
    <w:p w14:paraId="13764FBF" w14:textId="77777777" w:rsidR="00ED45CB" w:rsidRDefault="00ED45CB">
      <w:pPr>
        <w:adjustRightInd w:val="0"/>
        <w:snapToGrid w:val="0"/>
        <w:spacing w:line="360" w:lineRule="auto"/>
        <w:ind w:firstLineChars="200" w:firstLine="420"/>
        <w:rPr>
          <w:rFonts w:ascii="Arial" w:hAnsi="Arial" w:cs="Arial"/>
        </w:rPr>
      </w:pPr>
    </w:p>
    <w:p w14:paraId="3CDE129A" w14:textId="77777777" w:rsidR="00ED45CB" w:rsidRDefault="00703CCA">
      <w:pPr>
        <w:adjustRightInd w:val="0"/>
        <w:snapToGrid w:val="0"/>
        <w:spacing w:line="360" w:lineRule="auto"/>
        <w:ind w:firstLineChars="200" w:firstLine="420"/>
        <w:rPr>
          <w:rFonts w:ascii="Arial" w:hAnsi="Arial" w:cs="Arial"/>
          <w:b/>
          <w:kern w:val="0"/>
          <w:szCs w:val="21"/>
        </w:rPr>
      </w:pPr>
      <w:bookmarkStart w:id="105" w:name="_Toc266369101"/>
      <w:bookmarkStart w:id="106" w:name="_Toc253128725"/>
      <w:r>
        <w:rPr>
          <w:rFonts w:ascii="Arial" w:hAnsi="Arial" w:cs="Arial"/>
          <w:b/>
          <w:kern w:val="0"/>
          <w:szCs w:val="21"/>
        </w:rPr>
        <w:t>七、基金合同解除和终止的事由、程序以及基金财产清算方式</w:t>
      </w:r>
      <w:bookmarkEnd w:id="105"/>
      <w:bookmarkEnd w:id="106"/>
    </w:p>
    <w:p w14:paraId="2E7C6AF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（一）基金合同的变更</w:t>
      </w:r>
    </w:p>
    <w:p w14:paraId="7620A1C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、变更基金合同涉及法律法规规定或本合同约定应经基金份额持有人大会决议通过的事项的，应召</w:t>
      </w:r>
      <w:proofErr w:type="gramStart"/>
      <w:r>
        <w:rPr>
          <w:rFonts w:ascii="Arial" w:hAnsi="Arial" w:cs="Arial" w:hint="eastAsia"/>
          <w:kern w:val="0"/>
          <w:szCs w:val="21"/>
        </w:rPr>
        <w:t>开基金</w:t>
      </w:r>
      <w:proofErr w:type="gramEnd"/>
      <w:r>
        <w:rPr>
          <w:rFonts w:ascii="Arial" w:hAnsi="Arial" w:cs="Arial" w:hint="eastAsia"/>
          <w:kern w:val="0"/>
          <w:szCs w:val="21"/>
        </w:rPr>
        <w:t>份额持有人大会决议通过。</w:t>
      </w:r>
    </w:p>
    <w:p w14:paraId="5CEC436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、变更基金合同的基金份额持有人大会决议应报中国证监会核准或备案，并自中国证监会核准或出具无异议意见之日起生效。</w:t>
      </w:r>
    </w:p>
    <w:p w14:paraId="6EE2080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、但如</w:t>
      </w:r>
      <w:proofErr w:type="gramStart"/>
      <w:r>
        <w:rPr>
          <w:rFonts w:ascii="Arial" w:hAnsi="Arial" w:cs="Arial" w:hint="eastAsia"/>
          <w:kern w:val="0"/>
          <w:szCs w:val="21"/>
        </w:rPr>
        <w:t>因相应</w:t>
      </w:r>
      <w:proofErr w:type="gramEnd"/>
      <w:r>
        <w:rPr>
          <w:rFonts w:ascii="Arial" w:hAnsi="Arial" w:cs="Arial" w:hint="eastAsia"/>
          <w:kern w:val="0"/>
          <w:szCs w:val="21"/>
        </w:rPr>
        <w:t>的法律法规发生变动并属于本基金合同必须遵照进行修改的情形，或者基金合同的修改不涉及本基金合同当事人权利义务关系发生变化或对基金份额持有人利益无实质性不利影响的，可不经基金份额持有人大会决议，而经基金管理人和基金托管人同意修改后公布，并报中国证监会备案。</w:t>
      </w:r>
    </w:p>
    <w:p w14:paraId="7059DC7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（二）基金合同的终止</w:t>
      </w:r>
    </w:p>
    <w:p w14:paraId="426A990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有下列情形之一的，本基金合同应当终止：</w:t>
      </w:r>
    </w:p>
    <w:p w14:paraId="0E7D10B0"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、基金份额持有人大会决定终止；</w:t>
      </w:r>
    </w:p>
    <w:p w14:paraId="6EF5E86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、因重大违法、违规行为，被中国证监会责令终止的；</w:t>
      </w:r>
    </w:p>
    <w:p w14:paraId="6AE2C28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3</w:t>
      </w:r>
      <w:r>
        <w:rPr>
          <w:rFonts w:ascii="Arial" w:hAnsi="Arial" w:cs="Arial" w:hint="eastAsia"/>
          <w:kern w:val="0"/>
          <w:szCs w:val="21"/>
        </w:rPr>
        <w:t>、基金管理人、基金托管人职责终止，在六个月内没有新基金管理人、基金托管人承接的；</w:t>
      </w:r>
    </w:p>
    <w:p w14:paraId="184D13D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、法律法规和基金合同规定的其他情形。</w:t>
      </w:r>
    </w:p>
    <w:p w14:paraId="5FFF5A3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基金合同终止后，基金管理人和基金托管人有权依照《基金法》、《运作办法》、《销售办法》、基金合同及其他有关法律法规的规定，行使请求给付报酬、从基金财产中获得补偿的权利。</w:t>
      </w:r>
    </w:p>
    <w:p w14:paraId="623445B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（三）基金财产的清算</w:t>
      </w:r>
    </w:p>
    <w:p w14:paraId="0A6392F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、基金合同终止，基金管理人应当按法律法规和本基金合同的有关规定组织清算组对基金财产进行清算。</w:t>
      </w:r>
    </w:p>
    <w:p w14:paraId="2909CF8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、基金财产清算组</w:t>
      </w:r>
    </w:p>
    <w:p w14:paraId="786AE73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）自基金合同终止事由之日起</w:t>
      </w:r>
      <w:r>
        <w:rPr>
          <w:rFonts w:ascii="Arial" w:hAnsi="Arial" w:cs="Arial" w:hint="eastAsia"/>
          <w:kern w:val="0"/>
          <w:szCs w:val="21"/>
        </w:rPr>
        <w:t>30</w:t>
      </w:r>
      <w:r>
        <w:rPr>
          <w:rFonts w:ascii="Arial" w:hAnsi="Arial" w:cs="Arial" w:hint="eastAsia"/>
          <w:kern w:val="0"/>
          <w:szCs w:val="21"/>
        </w:rPr>
        <w:t>个工作日内由基金管理人组织成立基金财产清算组，在基金财产清算组接管基金财产之前，基金管理人和基金托管人应按照基金合同和托管协议的规定继续履行保护基金财产安全的职责。</w:t>
      </w:r>
    </w:p>
    <w:p w14:paraId="3835619B" w14:textId="011AEF81"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）基金财产清算组成员由基金管理人、基金托管人、具有从事证券</w:t>
      </w:r>
      <w:r w:rsidR="00917EB9">
        <w:rPr>
          <w:rFonts w:ascii="Arial" w:hAnsi="Arial" w:cs="Arial" w:hint="eastAsia"/>
          <w:kern w:val="0"/>
          <w:szCs w:val="21"/>
        </w:rPr>
        <w:t>、</w:t>
      </w:r>
      <w:r w:rsidR="00917EB9">
        <w:rPr>
          <w:rFonts w:ascii="Arial" w:hAnsi="Arial" w:cs="Arial"/>
          <w:kern w:val="0"/>
          <w:szCs w:val="21"/>
        </w:rPr>
        <w:t>期货</w:t>
      </w:r>
      <w:r>
        <w:rPr>
          <w:rFonts w:ascii="Arial" w:hAnsi="Arial" w:cs="Arial" w:hint="eastAsia"/>
          <w:kern w:val="0"/>
          <w:szCs w:val="21"/>
        </w:rPr>
        <w:t>相关业务资格的注册会计师、律师以及中国证监会指定的人员组成。基金财产清算组可以聘用必要的工作人员。</w:t>
      </w:r>
    </w:p>
    <w:p w14:paraId="72EE405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）基金财产清算组负责基金财产的保管、清理、估价、变现和分配。基金财产清算组可以依法进行必要的民事活动。</w:t>
      </w:r>
    </w:p>
    <w:p w14:paraId="39280D72"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Arial" w:cs="Arial" w:hint="eastAsia"/>
          <w:kern w:val="0"/>
          <w:szCs w:val="21"/>
        </w:rPr>
        <w:t>、清算程序</w:t>
      </w:r>
    </w:p>
    <w:p w14:paraId="5098AA5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）基金合同终止情形发生后，由基金财产清算组统一接管基金财产；</w:t>
      </w:r>
    </w:p>
    <w:p w14:paraId="0BCC13A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）基金财产清算组根据基金财产的情况确定清算期限；</w:t>
      </w:r>
    </w:p>
    <w:p w14:paraId="2F1B39D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）基金财产清算组对基金财产进行清理和确认；</w:t>
      </w:r>
    </w:p>
    <w:p w14:paraId="4287128C"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）对基金财产进行评估和变现；</w:t>
      </w:r>
    </w:p>
    <w:p w14:paraId="52DF611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5</w:t>
      </w:r>
      <w:r>
        <w:rPr>
          <w:rFonts w:ascii="Arial" w:hAnsi="Arial" w:cs="Arial" w:hint="eastAsia"/>
          <w:kern w:val="0"/>
          <w:szCs w:val="21"/>
        </w:rPr>
        <w:t>）制作清算报告；</w:t>
      </w:r>
    </w:p>
    <w:p w14:paraId="5E9CC68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）聘请会计师事务所对清算报告进行外部审计，聘请律师事务所对清算报告出具法律意见书；</w:t>
      </w:r>
    </w:p>
    <w:p w14:paraId="3F7A4AEB"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）将清算报告报中国证监会备案并公告；</w:t>
      </w:r>
    </w:p>
    <w:p w14:paraId="5198F39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8</w:t>
      </w:r>
      <w:r>
        <w:rPr>
          <w:rFonts w:ascii="Arial" w:hAnsi="Arial" w:cs="Arial" w:hint="eastAsia"/>
          <w:kern w:val="0"/>
          <w:szCs w:val="21"/>
        </w:rPr>
        <w:t>）对基金财产进行分配。</w:t>
      </w:r>
    </w:p>
    <w:p w14:paraId="73C58FA4"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Arial" w:cs="Arial" w:hint="eastAsia"/>
          <w:kern w:val="0"/>
          <w:szCs w:val="21"/>
        </w:rPr>
        <w:t>、清算费用</w:t>
      </w:r>
    </w:p>
    <w:p w14:paraId="7D2471B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清算费用是指基金财产清算组在进行基金清算过程中发生的所有合理费用，清算费用由基金财产清算组优先从基金财产中支付。</w:t>
      </w:r>
    </w:p>
    <w:p w14:paraId="7A2BBCD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、基金剩余财产的分配</w:t>
      </w:r>
    </w:p>
    <w:p w14:paraId="7AF78C71"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基金财产按下列顺序清偿：</w:t>
      </w:r>
    </w:p>
    <w:p w14:paraId="05D3C843"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1</w:t>
      </w:r>
      <w:r>
        <w:rPr>
          <w:rFonts w:ascii="Arial" w:hAnsi="Arial" w:cs="Arial" w:hint="eastAsia"/>
          <w:kern w:val="0"/>
          <w:szCs w:val="21"/>
        </w:rPr>
        <w:t>）支付清算费用；</w:t>
      </w:r>
    </w:p>
    <w:p w14:paraId="28B6538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w:t>
      </w:r>
      <w:r>
        <w:rPr>
          <w:rFonts w:ascii="Arial" w:hAnsi="Arial" w:cs="Arial" w:hint="eastAsia"/>
          <w:kern w:val="0"/>
          <w:szCs w:val="21"/>
        </w:rPr>
        <w:t>2</w:t>
      </w:r>
      <w:r>
        <w:rPr>
          <w:rFonts w:ascii="Arial" w:hAnsi="Arial" w:cs="Arial" w:hint="eastAsia"/>
          <w:kern w:val="0"/>
          <w:szCs w:val="21"/>
        </w:rPr>
        <w:t>）交纳所欠税款；</w:t>
      </w:r>
    </w:p>
    <w:p w14:paraId="75AF742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）清偿基金债务；</w:t>
      </w:r>
    </w:p>
    <w:p w14:paraId="6707DDA6"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4</w:t>
      </w:r>
      <w:r>
        <w:rPr>
          <w:rFonts w:ascii="Arial" w:hAnsi="Arial" w:cs="Arial" w:hint="eastAsia"/>
          <w:kern w:val="0"/>
          <w:szCs w:val="21"/>
        </w:rPr>
        <w:t>）按基金份额持有人持有的基金份额比例进行分配。</w:t>
      </w:r>
    </w:p>
    <w:p w14:paraId="33CF0F48"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基金财产未按前款（</w:t>
      </w:r>
      <w:r>
        <w:rPr>
          <w:rFonts w:ascii="Arial" w:hAnsi="Arial" w:cs="Arial" w:hint="eastAsia"/>
          <w:kern w:val="0"/>
          <w:szCs w:val="21"/>
        </w:rPr>
        <w:t>1</w:t>
      </w:r>
      <w:r>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）项规定清偿前，不分配给基金份额持有人。</w:t>
      </w:r>
    </w:p>
    <w:p w14:paraId="298A1F2A"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对于基金缴存于中国证券登记结算有限责任公司的最低结算备付金和交易席位保证金等，在中国证券登记结算有限责任公司对其进行调整后方可收回。</w:t>
      </w:r>
    </w:p>
    <w:p w14:paraId="32DA5837"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Arial" w:cs="Arial" w:hint="eastAsia"/>
          <w:kern w:val="0"/>
          <w:szCs w:val="21"/>
        </w:rPr>
        <w:t>、基金财产清算的公告</w:t>
      </w:r>
    </w:p>
    <w:p w14:paraId="7D76F42B" w14:textId="264EFB20"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基金财产清算</w:t>
      </w:r>
      <w:proofErr w:type="gramStart"/>
      <w:r>
        <w:rPr>
          <w:rFonts w:ascii="Arial" w:hAnsi="Arial" w:cs="Arial" w:hint="eastAsia"/>
          <w:kern w:val="0"/>
          <w:szCs w:val="21"/>
        </w:rPr>
        <w:t>组做出</w:t>
      </w:r>
      <w:proofErr w:type="gramEnd"/>
      <w:r>
        <w:rPr>
          <w:rFonts w:ascii="Arial" w:hAnsi="Arial" w:cs="Arial" w:hint="eastAsia"/>
          <w:kern w:val="0"/>
          <w:szCs w:val="21"/>
        </w:rPr>
        <w:t>的清算报告经具有证券、期货相关业务资格的会计师事务所审计，律师事务所出具法律意见书后，报中国证监会备案并公告</w:t>
      </w:r>
      <w:r w:rsidR="00917EB9" w:rsidRPr="00917EB9">
        <w:rPr>
          <w:rFonts w:ascii="Arial" w:hAnsi="Arial" w:cs="Arial" w:hint="eastAsia"/>
          <w:kern w:val="0"/>
          <w:szCs w:val="21"/>
        </w:rPr>
        <w:t>，基金财产清算小组应当将清算报告登载在指定网站上，并将清算报告提示性公告登载在指定报刊上</w:t>
      </w:r>
      <w:r>
        <w:rPr>
          <w:rFonts w:ascii="Arial" w:hAnsi="Arial" w:cs="Arial" w:hint="eastAsia"/>
          <w:kern w:val="0"/>
          <w:szCs w:val="21"/>
        </w:rPr>
        <w:t>。</w:t>
      </w:r>
    </w:p>
    <w:p w14:paraId="57820CAE"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7</w:t>
      </w:r>
      <w:r>
        <w:rPr>
          <w:rFonts w:ascii="Arial" w:hAnsi="Arial" w:cs="Arial" w:hint="eastAsia"/>
          <w:kern w:val="0"/>
          <w:szCs w:val="21"/>
        </w:rPr>
        <w:t>、基金财产清算账册及文件由基金托管人保存</w:t>
      </w:r>
      <w:r>
        <w:rPr>
          <w:rFonts w:ascii="Arial" w:hAnsi="Arial" w:cs="Arial" w:hint="eastAsia"/>
          <w:kern w:val="0"/>
          <w:szCs w:val="21"/>
        </w:rPr>
        <w:t>15</w:t>
      </w:r>
      <w:r>
        <w:rPr>
          <w:rFonts w:ascii="Arial" w:hAnsi="Arial" w:cs="Arial" w:hint="eastAsia"/>
          <w:kern w:val="0"/>
          <w:szCs w:val="21"/>
        </w:rPr>
        <w:t>年以上。</w:t>
      </w:r>
    </w:p>
    <w:p w14:paraId="332D612E" w14:textId="77777777" w:rsidR="00ED45CB" w:rsidRDefault="00ED45CB">
      <w:pPr>
        <w:adjustRightInd w:val="0"/>
        <w:snapToGrid w:val="0"/>
        <w:spacing w:line="312" w:lineRule="auto"/>
        <w:ind w:firstLineChars="200" w:firstLine="420"/>
        <w:rPr>
          <w:rFonts w:ascii="Arial" w:hAnsi="Arial" w:cs="Arial"/>
        </w:rPr>
      </w:pPr>
    </w:p>
    <w:p w14:paraId="6EF5DFC0" w14:textId="77777777" w:rsidR="00ED45CB" w:rsidRDefault="00703CCA">
      <w:pPr>
        <w:adjustRightInd w:val="0"/>
        <w:snapToGrid w:val="0"/>
        <w:spacing w:line="312" w:lineRule="auto"/>
        <w:ind w:firstLineChars="200" w:firstLine="420"/>
        <w:rPr>
          <w:rFonts w:ascii="Arial" w:hAnsi="Arial" w:cs="Arial"/>
          <w:b/>
          <w:kern w:val="0"/>
          <w:szCs w:val="21"/>
        </w:rPr>
      </w:pPr>
      <w:bookmarkStart w:id="107" w:name="_Toc253128726"/>
      <w:bookmarkStart w:id="108" w:name="_Toc266369102"/>
      <w:r>
        <w:rPr>
          <w:rFonts w:ascii="Arial" w:hAnsi="Arial" w:cs="Arial"/>
          <w:b/>
          <w:kern w:val="0"/>
          <w:szCs w:val="21"/>
        </w:rPr>
        <w:t>八、争议解决方式</w:t>
      </w:r>
      <w:bookmarkEnd w:id="107"/>
      <w:bookmarkEnd w:id="108"/>
    </w:p>
    <w:p w14:paraId="6995B1D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（一）本基金合同适用中华人民共和国法律并从其解释。</w:t>
      </w:r>
    </w:p>
    <w:p w14:paraId="2ED5B239"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（二）本基金合同的当事人之间因本基金合同产生的或与本基金合同有关的争议可通过友好协商解决，但若自一方书面提出协商解决争议之日起</w:t>
      </w:r>
      <w:r>
        <w:rPr>
          <w:rFonts w:ascii="Arial" w:hAnsi="Arial" w:cs="Arial" w:hint="eastAsia"/>
          <w:kern w:val="0"/>
          <w:szCs w:val="21"/>
        </w:rPr>
        <w:t>60</w:t>
      </w:r>
      <w:r>
        <w:rPr>
          <w:rFonts w:ascii="Arial" w:hAnsi="Arial" w:cs="Arial" w:hint="eastAsia"/>
          <w:kern w:val="0"/>
          <w:szCs w:val="21"/>
        </w:rPr>
        <w:t>日内争议未能以协商方式解决的，则任何一方有权将争议提交位于北京的中国国际经济贸易仲裁委员会，按照其时有效的仲裁规则进行仲裁。仲裁裁决是终局的，对仲裁各方当事人均具有约束力。</w:t>
      </w:r>
    </w:p>
    <w:p w14:paraId="5722F1FF"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（三）除争议所涉内容之外，本基金合同的其他部分应当由本基金合同当事人继续履行。</w:t>
      </w:r>
    </w:p>
    <w:p w14:paraId="72AAB3CD" w14:textId="77777777" w:rsidR="00ED45CB" w:rsidRDefault="00ED45CB">
      <w:pPr>
        <w:adjustRightInd w:val="0"/>
        <w:snapToGrid w:val="0"/>
        <w:spacing w:line="312" w:lineRule="auto"/>
        <w:ind w:firstLineChars="200" w:firstLine="420"/>
        <w:rPr>
          <w:rFonts w:ascii="Arial" w:hAnsi="Arial" w:cs="Arial"/>
        </w:rPr>
      </w:pPr>
    </w:p>
    <w:p w14:paraId="19C0BC75" w14:textId="77777777" w:rsidR="00ED45CB" w:rsidRDefault="00703CCA">
      <w:pPr>
        <w:adjustRightInd w:val="0"/>
        <w:snapToGrid w:val="0"/>
        <w:spacing w:line="312" w:lineRule="auto"/>
        <w:ind w:firstLineChars="200" w:firstLine="420"/>
        <w:rPr>
          <w:rFonts w:ascii="Arial" w:hAnsi="Arial" w:cs="Arial"/>
          <w:b/>
          <w:kern w:val="0"/>
          <w:szCs w:val="21"/>
        </w:rPr>
      </w:pPr>
      <w:bookmarkStart w:id="109" w:name="_Toc253128727"/>
      <w:bookmarkStart w:id="110" w:name="_Toc266369103"/>
      <w:r>
        <w:rPr>
          <w:rFonts w:ascii="Arial" w:hAnsi="Arial" w:cs="Arial"/>
          <w:b/>
          <w:kern w:val="0"/>
          <w:szCs w:val="21"/>
        </w:rPr>
        <w:t>九、基金合同存放地和投资者取得基金合同的方式</w:t>
      </w:r>
      <w:bookmarkEnd w:id="109"/>
      <w:bookmarkEnd w:id="110"/>
    </w:p>
    <w:p w14:paraId="120A8715" w14:textId="77777777" w:rsidR="00ED45CB" w:rsidRDefault="00703CCA">
      <w:pPr>
        <w:adjustRightInd w:val="0"/>
        <w:snapToGrid w:val="0"/>
        <w:spacing w:line="360" w:lineRule="auto"/>
        <w:ind w:firstLineChars="200" w:firstLine="420"/>
        <w:rPr>
          <w:rFonts w:ascii="Arial" w:hAnsi="Arial" w:cs="Arial"/>
          <w:kern w:val="0"/>
          <w:szCs w:val="21"/>
        </w:rPr>
      </w:pPr>
      <w:r>
        <w:rPr>
          <w:rFonts w:ascii="Arial" w:hAnsi="Arial" w:cs="Arial" w:hint="eastAsia"/>
          <w:kern w:val="0"/>
          <w:szCs w:val="21"/>
        </w:rPr>
        <w:t>基金合同存放在基金管理人和基金托管人住所，投资者在支付工本费后，可在合理时间内取得上述文件复印件，基金合同条款及内容应以基金合同正本为准。</w:t>
      </w:r>
    </w:p>
    <w:p w14:paraId="38ECFB68" w14:textId="77777777" w:rsidR="00ED45CB" w:rsidRDefault="00ED45CB">
      <w:pPr>
        <w:adjustRightInd w:val="0"/>
        <w:snapToGrid w:val="0"/>
        <w:spacing w:line="360" w:lineRule="auto"/>
        <w:ind w:firstLineChars="200" w:firstLine="420"/>
        <w:rPr>
          <w:rFonts w:ascii="Arial" w:hAnsi="Arial" w:cs="Arial"/>
          <w:kern w:val="0"/>
          <w:szCs w:val="21"/>
        </w:rPr>
      </w:pPr>
    </w:p>
    <w:p w14:paraId="2C03C0DC" w14:textId="7A3D0D97" w:rsidR="00ED45CB" w:rsidRDefault="00703CCA" w:rsidP="00735672">
      <w:pPr>
        <w:spacing w:before="60" w:after="60" w:line="400" w:lineRule="exact"/>
        <w:ind w:firstLine="538"/>
        <w:rPr>
          <w:rFonts w:ascii="宋体" w:hAnsi="宋体"/>
          <w:sz w:val="24"/>
        </w:rPr>
      </w:pPr>
      <w:r>
        <w:rPr>
          <w:rFonts w:ascii="宋体" w:hAnsi="宋体"/>
          <w:sz w:val="24"/>
        </w:rPr>
        <w:br w:type="page"/>
      </w:r>
    </w:p>
    <w:p w14:paraId="270A80FB" w14:textId="77777777" w:rsidR="00ED45CB" w:rsidRDefault="00703CCA">
      <w:pPr>
        <w:spacing w:before="60" w:after="60" w:line="400" w:lineRule="exact"/>
        <w:ind w:firstLine="461"/>
        <w:rPr>
          <w:rFonts w:ascii="宋体" w:hAnsi="宋体"/>
          <w:sz w:val="24"/>
        </w:rPr>
      </w:pPr>
      <w:r>
        <w:rPr>
          <w:rFonts w:ascii="宋体" w:hAnsi="宋体" w:hint="eastAsia"/>
          <w:sz w:val="24"/>
        </w:rPr>
        <w:t xml:space="preserve">　</w:t>
      </w:r>
    </w:p>
    <w:p w14:paraId="5902D47B" w14:textId="77777777" w:rsidR="00ED45CB" w:rsidRDefault="00ED45CB">
      <w:pPr>
        <w:spacing w:before="60" w:after="60" w:line="400" w:lineRule="exact"/>
        <w:rPr>
          <w:rFonts w:ascii="宋体" w:hAnsi="宋体"/>
          <w:sz w:val="24"/>
        </w:rPr>
      </w:pPr>
    </w:p>
    <w:sectPr w:rsidR="00ED45CB">
      <w:footerReference w:type="default" r:id="rId12"/>
      <w:pgSz w:w="11906" w:h="16838"/>
      <w:pgMar w:top="1440" w:right="1800" w:bottom="1440" w:left="1800" w:header="851" w:footer="992" w:gutter="0"/>
      <w:pgNumType w:start="1"/>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353EFD" w15:done="0"/>
  <w15:commentEx w15:paraId="6D48A50C" w15:done="0"/>
  <w15:commentEx w15:paraId="55BE513E" w15:done="0"/>
  <w15:commentEx w15:paraId="013F8F7E" w15:done="0"/>
  <w15:commentEx w15:paraId="7E7091B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A6B5EF" w14:textId="77777777" w:rsidR="0052042B" w:rsidRDefault="0052042B">
      <w:r>
        <w:separator/>
      </w:r>
    </w:p>
  </w:endnote>
  <w:endnote w:type="continuationSeparator" w:id="0">
    <w:p w14:paraId="059B4132" w14:textId="77777777" w:rsidR="0052042B" w:rsidRDefault="00520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FE484" w14:textId="77777777" w:rsidR="00703CCA" w:rsidRDefault="00703CCA">
    <w:pPr>
      <w:pStyle w:val="ab"/>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BDB72" w14:textId="77777777" w:rsidR="00703CCA" w:rsidRDefault="00703CCA">
    <w:pPr>
      <w:pStyle w:val="ab"/>
      <w:jc w:val="center"/>
      <w:rPr>
        <w:rFonts w:ascii="Arial" w:hAnsi="Arial"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8553B" w14:textId="77777777" w:rsidR="00703CCA" w:rsidRDefault="00703CCA">
    <w:pPr>
      <w:pStyle w:val="ab"/>
      <w:jc w:val="center"/>
      <w:rPr>
        <w:rFonts w:ascii="Arial" w:hAnsi="Arial" w:cs="Arial"/>
      </w:rPr>
    </w:pPr>
    <w:r>
      <w:rPr>
        <w:rStyle w:val="ae"/>
        <w:rFonts w:ascii="Arial" w:hAnsi="Arial" w:cs="Arial"/>
      </w:rPr>
      <w:t>3-</w:t>
    </w:r>
    <w:r>
      <w:rPr>
        <w:rStyle w:val="ae"/>
        <w:rFonts w:ascii="Arial" w:hAnsi="Arial" w:cs="Arial"/>
      </w:rPr>
      <w:fldChar w:fldCharType="begin"/>
    </w:r>
    <w:r>
      <w:rPr>
        <w:rStyle w:val="ae"/>
        <w:rFonts w:ascii="Arial" w:hAnsi="Arial" w:cs="Arial"/>
      </w:rPr>
      <w:instrText xml:space="preserve"> PAGE </w:instrText>
    </w:r>
    <w:r>
      <w:rPr>
        <w:rStyle w:val="ae"/>
        <w:rFonts w:ascii="Arial" w:hAnsi="Arial" w:cs="Arial"/>
      </w:rPr>
      <w:fldChar w:fldCharType="separate"/>
    </w:r>
    <w:r w:rsidR="00735672">
      <w:rPr>
        <w:rStyle w:val="ae"/>
        <w:rFonts w:ascii="Arial" w:hAnsi="Arial" w:cs="Arial"/>
        <w:noProof/>
      </w:rPr>
      <w:t>60</w:t>
    </w:r>
    <w:r>
      <w:rPr>
        <w:rStyle w:val="ae"/>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A84D6A" w14:textId="77777777" w:rsidR="0052042B" w:rsidRDefault="0052042B">
      <w:r>
        <w:separator/>
      </w:r>
    </w:p>
  </w:footnote>
  <w:footnote w:type="continuationSeparator" w:id="0">
    <w:p w14:paraId="308AA164" w14:textId="77777777" w:rsidR="0052042B" w:rsidRDefault="005204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47F8BA" w14:textId="77777777" w:rsidR="00703CCA" w:rsidRDefault="00703CCA">
    <w:pPr>
      <w:pStyle w:val="ac"/>
      <w:ind w:firstLine="1800"/>
      <w:jc w:val="right"/>
    </w:pPr>
    <w:r>
      <w:rPr>
        <w:rFonts w:hint="eastAsia"/>
      </w:rPr>
      <w:t>基金合同</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Tai1224">
    <w15:presenceInfo w15:providerId="None" w15:userId="YuanTai1224"/>
  </w15:person>
  <w15:person w15:author="yuantai-qiu">
    <w15:presenceInfo w15:providerId="None" w15:userId="yuantai-qiu"/>
  </w15:person>
  <w15:person w15:author="yuantai-1224">
    <w15:presenceInfo w15:providerId="None" w15:userId="yuantai-1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grammar="clean"/>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627424"/>
    <w:rsid w:val="0000579F"/>
    <w:rsid w:val="000115CA"/>
    <w:rsid w:val="000117F0"/>
    <w:rsid w:val="00012561"/>
    <w:rsid w:val="00015380"/>
    <w:rsid w:val="00041B17"/>
    <w:rsid w:val="00042E5A"/>
    <w:rsid w:val="00045805"/>
    <w:rsid w:val="00045BAF"/>
    <w:rsid w:val="00051438"/>
    <w:rsid w:val="00053FBF"/>
    <w:rsid w:val="000548AE"/>
    <w:rsid w:val="00061123"/>
    <w:rsid w:val="000731F3"/>
    <w:rsid w:val="000835D4"/>
    <w:rsid w:val="000841C6"/>
    <w:rsid w:val="000842DB"/>
    <w:rsid w:val="000875F4"/>
    <w:rsid w:val="00090B85"/>
    <w:rsid w:val="000A0EFF"/>
    <w:rsid w:val="000B0B3B"/>
    <w:rsid w:val="000B2DDD"/>
    <w:rsid w:val="000B4201"/>
    <w:rsid w:val="000B4B77"/>
    <w:rsid w:val="000B68C3"/>
    <w:rsid w:val="000D4F52"/>
    <w:rsid w:val="000E0F38"/>
    <w:rsid w:val="000E3B7A"/>
    <w:rsid w:val="000E5920"/>
    <w:rsid w:val="000F632F"/>
    <w:rsid w:val="00100CDF"/>
    <w:rsid w:val="00101286"/>
    <w:rsid w:val="001032A4"/>
    <w:rsid w:val="00112281"/>
    <w:rsid w:val="00112DC8"/>
    <w:rsid w:val="0011386C"/>
    <w:rsid w:val="0012645D"/>
    <w:rsid w:val="00133CC7"/>
    <w:rsid w:val="00137051"/>
    <w:rsid w:val="00142BA0"/>
    <w:rsid w:val="0014536B"/>
    <w:rsid w:val="00153355"/>
    <w:rsid w:val="00154B8F"/>
    <w:rsid w:val="00154C23"/>
    <w:rsid w:val="00175BB1"/>
    <w:rsid w:val="001862A2"/>
    <w:rsid w:val="00193845"/>
    <w:rsid w:val="001962DA"/>
    <w:rsid w:val="001A03D5"/>
    <w:rsid w:val="001A0A17"/>
    <w:rsid w:val="001A2748"/>
    <w:rsid w:val="001A6E86"/>
    <w:rsid w:val="001B03B8"/>
    <w:rsid w:val="001B1F9D"/>
    <w:rsid w:val="001B330B"/>
    <w:rsid w:val="001B3A04"/>
    <w:rsid w:val="001B5784"/>
    <w:rsid w:val="001B5DDC"/>
    <w:rsid w:val="001C2A07"/>
    <w:rsid w:val="001C4AC8"/>
    <w:rsid w:val="001D3A71"/>
    <w:rsid w:val="001D3F40"/>
    <w:rsid w:val="001D4273"/>
    <w:rsid w:val="001D49B6"/>
    <w:rsid w:val="001D6416"/>
    <w:rsid w:val="001E2A89"/>
    <w:rsid w:val="001F4BF5"/>
    <w:rsid w:val="00205306"/>
    <w:rsid w:val="002113F2"/>
    <w:rsid w:val="00214990"/>
    <w:rsid w:val="00227049"/>
    <w:rsid w:val="002309EA"/>
    <w:rsid w:val="0023154C"/>
    <w:rsid w:val="00234B88"/>
    <w:rsid w:val="00235C1C"/>
    <w:rsid w:val="002362D0"/>
    <w:rsid w:val="002364CC"/>
    <w:rsid w:val="002428EE"/>
    <w:rsid w:val="002436FA"/>
    <w:rsid w:val="00252881"/>
    <w:rsid w:val="00254790"/>
    <w:rsid w:val="00254D46"/>
    <w:rsid w:val="00256448"/>
    <w:rsid w:val="00257A5B"/>
    <w:rsid w:val="00261AEE"/>
    <w:rsid w:val="002627A4"/>
    <w:rsid w:val="0026730D"/>
    <w:rsid w:val="00271819"/>
    <w:rsid w:val="00283338"/>
    <w:rsid w:val="00283995"/>
    <w:rsid w:val="00283AF3"/>
    <w:rsid w:val="0029188D"/>
    <w:rsid w:val="002A095B"/>
    <w:rsid w:val="002A53FB"/>
    <w:rsid w:val="002B3164"/>
    <w:rsid w:val="002B48F4"/>
    <w:rsid w:val="002B5F34"/>
    <w:rsid w:val="002B63BD"/>
    <w:rsid w:val="002C1770"/>
    <w:rsid w:val="002C7A07"/>
    <w:rsid w:val="002D6172"/>
    <w:rsid w:val="002E0ABC"/>
    <w:rsid w:val="002E3E88"/>
    <w:rsid w:val="002F3000"/>
    <w:rsid w:val="00314909"/>
    <w:rsid w:val="00315171"/>
    <w:rsid w:val="0032299A"/>
    <w:rsid w:val="003239B1"/>
    <w:rsid w:val="003247DC"/>
    <w:rsid w:val="00334B75"/>
    <w:rsid w:val="00345AA7"/>
    <w:rsid w:val="00345C19"/>
    <w:rsid w:val="0035108E"/>
    <w:rsid w:val="00354EB4"/>
    <w:rsid w:val="0036010C"/>
    <w:rsid w:val="003644CF"/>
    <w:rsid w:val="00365B64"/>
    <w:rsid w:val="0038058D"/>
    <w:rsid w:val="003812A4"/>
    <w:rsid w:val="00383C24"/>
    <w:rsid w:val="00387647"/>
    <w:rsid w:val="0039147D"/>
    <w:rsid w:val="00397B4A"/>
    <w:rsid w:val="003B516C"/>
    <w:rsid w:val="003C6340"/>
    <w:rsid w:val="003C7A2F"/>
    <w:rsid w:val="003D1F51"/>
    <w:rsid w:val="003E3FE5"/>
    <w:rsid w:val="003E4182"/>
    <w:rsid w:val="003E5961"/>
    <w:rsid w:val="003F7AF2"/>
    <w:rsid w:val="0040441B"/>
    <w:rsid w:val="00407816"/>
    <w:rsid w:val="00411668"/>
    <w:rsid w:val="004149C5"/>
    <w:rsid w:val="00415C32"/>
    <w:rsid w:val="00417CCB"/>
    <w:rsid w:val="00420772"/>
    <w:rsid w:val="0042082D"/>
    <w:rsid w:val="004244DC"/>
    <w:rsid w:val="0043505C"/>
    <w:rsid w:val="004351AE"/>
    <w:rsid w:val="004357D9"/>
    <w:rsid w:val="004370D6"/>
    <w:rsid w:val="00440BEE"/>
    <w:rsid w:val="00440D20"/>
    <w:rsid w:val="004462C0"/>
    <w:rsid w:val="00446DD5"/>
    <w:rsid w:val="00452109"/>
    <w:rsid w:val="004541F0"/>
    <w:rsid w:val="00461D9C"/>
    <w:rsid w:val="00461F61"/>
    <w:rsid w:val="00465CDB"/>
    <w:rsid w:val="00483AE2"/>
    <w:rsid w:val="00492ED8"/>
    <w:rsid w:val="004A6B8D"/>
    <w:rsid w:val="004A72A4"/>
    <w:rsid w:val="004A7E0E"/>
    <w:rsid w:val="004C2614"/>
    <w:rsid w:val="004D113F"/>
    <w:rsid w:val="004D2274"/>
    <w:rsid w:val="004D74AA"/>
    <w:rsid w:val="004E15A5"/>
    <w:rsid w:val="004E1ECB"/>
    <w:rsid w:val="004E2AB4"/>
    <w:rsid w:val="004E728E"/>
    <w:rsid w:val="004F4489"/>
    <w:rsid w:val="005005DA"/>
    <w:rsid w:val="00500D94"/>
    <w:rsid w:val="00504CCE"/>
    <w:rsid w:val="00507C66"/>
    <w:rsid w:val="00510E2C"/>
    <w:rsid w:val="00511FA7"/>
    <w:rsid w:val="00514DC5"/>
    <w:rsid w:val="00514FF3"/>
    <w:rsid w:val="00515206"/>
    <w:rsid w:val="0052042B"/>
    <w:rsid w:val="005214D3"/>
    <w:rsid w:val="0052220B"/>
    <w:rsid w:val="00522AC0"/>
    <w:rsid w:val="00524F22"/>
    <w:rsid w:val="00526DC1"/>
    <w:rsid w:val="00531AB0"/>
    <w:rsid w:val="0053641F"/>
    <w:rsid w:val="00541E99"/>
    <w:rsid w:val="00544FF8"/>
    <w:rsid w:val="005521F1"/>
    <w:rsid w:val="00557E68"/>
    <w:rsid w:val="00570FF5"/>
    <w:rsid w:val="005723CF"/>
    <w:rsid w:val="00572565"/>
    <w:rsid w:val="00573597"/>
    <w:rsid w:val="00575EE3"/>
    <w:rsid w:val="00582805"/>
    <w:rsid w:val="00594876"/>
    <w:rsid w:val="00594CDE"/>
    <w:rsid w:val="005962F4"/>
    <w:rsid w:val="005A2F8E"/>
    <w:rsid w:val="005A35D6"/>
    <w:rsid w:val="005A41EC"/>
    <w:rsid w:val="005B03AC"/>
    <w:rsid w:val="005B25C7"/>
    <w:rsid w:val="005C0618"/>
    <w:rsid w:val="005C3DD1"/>
    <w:rsid w:val="005D2AE4"/>
    <w:rsid w:val="005D2FA6"/>
    <w:rsid w:val="005D3220"/>
    <w:rsid w:val="005D794F"/>
    <w:rsid w:val="005E5619"/>
    <w:rsid w:val="005E5746"/>
    <w:rsid w:val="005E67E4"/>
    <w:rsid w:val="005E6953"/>
    <w:rsid w:val="005F66A9"/>
    <w:rsid w:val="005F7359"/>
    <w:rsid w:val="0060173C"/>
    <w:rsid w:val="006055CC"/>
    <w:rsid w:val="00611232"/>
    <w:rsid w:val="00616FEF"/>
    <w:rsid w:val="00621387"/>
    <w:rsid w:val="00621710"/>
    <w:rsid w:val="00625C22"/>
    <w:rsid w:val="00627424"/>
    <w:rsid w:val="0063064E"/>
    <w:rsid w:val="00637113"/>
    <w:rsid w:val="00645EF6"/>
    <w:rsid w:val="00652495"/>
    <w:rsid w:val="006564A8"/>
    <w:rsid w:val="00656F16"/>
    <w:rsid w:val="0066344D"/>
    <w:rsid w:val="00670405"/>
    <w:rsid w:val="00672872"/>
    <w:rsid w:val="00673492"/>
    <w:rsid w:val="00674201"/>
    <w:rsid w:val="00676757"/>
    <w:rsid w:val="00687004"/>
    <w:rsid w:val="00694610"/>
    <w:rsid w:val="006979DD"/>
    <w:rsid w:val="006D37FB"/>
    <w:rsid w:val="006D627A"/>
    <w:rsid w:val="006E063E"/>
    <w:rsid w:val="006E15DA"/>
    <w:rsid w:val="006E3796"/>
    <w:rsid w:val="00703042"/>
    <w:rsid w:val="007033E7"/>
    <w:rsid w:val="00703CCA"/>
    <w:rsid w:val="00704895"/>
    <w:rsid w:val="00705A23"/>
    <w:rsid w:val="007133CE"/>
    <w:rsid w:val="00717AC5"/>
    <w:rsid w:val="00735672"/>
    <w:rsid w:val="007359A6"/>
    <w:rsid w:val="007403DC"/>
    <w:rsid w:val="007403FE"/>
    <w:rsid w:val="0074117B"/>
    <w:rsid w:val="00742DF0"/>
    <w:rsid w:val="00743A6B"/>
    <w:rsid w:val="00743DC7"/>
    <w:rsid w:val="0074459F"/>
    <w:rsid w:val="00746D0D"/>
    <w:rsid w:val="00751110"/>
    <w:rsid w:val="00751F55"/>
    <w:rsid w:val="00753AD5"/>
    <w:rsid w:val="007565F5"/>
    <w:rsid w:val="00762FAE"/>
    <w:rsid w:val="007635C1"/>
    <w:rsid w:val="00766110"/>
    <w:rsid w:val="00772CCA"/>
    <w:rsid w:val="007733B3"/>
    <w:rsid w:val="00785284"/>
    <w:rsid w:val="007866AE"/>
    <w:rsid w:val="00786B70"/>
    <w:rsid w:val="0078764A"/>
    <w:rsid w:val="007A4E18"/>
    <w:rsid w:val="007A70C5"/>
    <w:rsid w:val="007B2C8B"/>
    <w:rsid w:val="007B3984"/>
    <w:rsid w:val="007B55FA"/>
    <w:rsid w:val="007B5E25"/>
    <w:rsid w:val="007B65A3"/>
    <w:rsid w:val="007C1033"/>
    <w:rsid w:val="007E4EAE"/>
    <w:rsid w:val="007E7274"/>
    <w:rsid w:val="007F27C0"/>
    <w:rsid w:val="007F2A11"/>
    <w:rsid w:val="007F461F"/>
    <w:rsid w:val="008021E7"/>
    <w:rsid w:val="008106FA"/>
    <w:rsid w:val="00813684"/>
    <w:rsid w:val="0082321C"/>
    <w:rsid w:val="00830C92"/>
    <w:rsid w:val="008422F1"/>
    <w:rsid w:val="00844519"/>
    <w:rsid w:val="0084595F"/>
    <w:rsid w:val="00846D77"/>
    <w:rsid w:val="00847623"/>
    <w:rsid w:val="00850B39"/>
    <w:rsid w:val="0085655D"/>
    <w:rsid w:val="00865138"/>
    <w:rsid w:val="00873173"/>
    <w:rsid w:val="00876CC1"/>
    <w:rsid w:val="00882381"/>
    <w:rsid w:val="0088528E"/>
    <w:rsid w:val="0089262B"/>
    <w:rsid w:val="00895F94"/>
    <w:rsid w:val="00897030"/>
    <w:rsid w:val="0089769D"/>
    <w:rsid w:val="008A3AF3"/>
    <w:rsid w:val="008A4F9C"/>
    <w:rsid w:val="008A6C48"/>
    <w:rsid w:val="008B4785"/>
    <w:rsid w:val="008D3D77"/>
    <w:rsid w:val="008D4054"/>
    <w:rsid w:val="008D6EA8"/>
    <w:rsid w:val="008D7B13"/>
    <w:rsid w:val="008E65DC"/>
    <w:rsid w:val="0090191C"/>
    <w:rsid w:val="00905813"/>
    <w:rsid w:val="0090637E"/>
    <w:rsid w:val="00917EB9"/>
    <w:rsid w:val="00927410"/>
    <w:rsid w:val="00932FD2"/>
    <w:rsid w:val="0093416C"/>
    <w:rsid w:val="00934CB5"/>
    <w:rsid w:val="009424EB"/>
    <w:rsid w:val="00954796"/>
    <w:rsid w:val="0095647C"/>
    <w:rsid w:val="009578FD"/>
    <w:rsid w:val="00961C1E"/>
    <w:rsid w:val="00966633"/>
    <w:rsid w:val="009803A2"/>
    <w:rsid w:val="009858CE"/>
    <w:rsid w:val="0099537C"/>
    <w:rsid w:val="009966F2"/>
    <w:rsid w:val="009A6BC1"/>
    <w:rsid w:val="009B7CC3"/>
    <w:rsid w:val="009C0E45"/>
    <w:rsid w:val="009C25D3"/>
    <w:rsid w:val="009D1A74"/>
    <w:rsid w:val="009D7EE0"/>
    <w:rsid w:val="009F6265"/>
    <w:rsid w:val="00A00CAC"/>
    <w:rsid w:val="00A1353F"/>
    <w:rsid w:val="00A14894"/>
    <w:rsid w:val="00A20F75"/>
    <w:rsid w:val="00A21231"/>
    <w:rsid w:val="00A26E1F"/>
    <w:rsid w:val="00A3497E"/>
    <w:rsid w:val="00A3746E"/>
    <w:rsid w:val="00A50FF5"/>
    <w:rsid w:val="00A53B33"/>
    <w:rsid w:val="00A63E57"/>
    <w:rsid w:val="00A64C0C"/>
    <w:rsid w:val="00A676A1"/>
    <w:rsid w:val="00A714D4"/>
    <w:rsid w:val="00A7733F"/>
    <w:rsid w:val="00A912A2"/>
    <w:rsid w:val="00A92694"/>
    <w:rsid w:val="00A92D53"/>
    <w:rsid w:val="00A95401"/>
    <w:rsid w:val="00AA68E1"/>
    <w:rsid w:val="00AB33D3"/>
    <w:rsid w:val="00AB7605"/>
    <w:rsid w:val="00AD5AA9"/>
    <w:rsid w:val="00AE4493"/>
    <w:rsid w:val="00AF14E9"/>
    <w:rsid w:val="00B13614"/>
    <w:rsid w:val="00B206C3"/>
    <w:rsid w:val="00B25B38"/>
    <w:rsid w:val="00B3093A"/>
    <w:rsid w:val="00B31913"/>
    <w:rsid w:val="00B319F0"/>
    <w:rsid w:val="00B3735E"/>
    <w:rsid w:val="00B401C9"/>
    <w:rsid w:val="00B42856"/>
    <w:rsid w:val="00B4327E"/>
    <w:rsid w:val="00B520AF"/>
    <w:rsid w:val="00B52FF9"/>
    <w:rsid w:val="00B5697E"/>
    <w:rsid w:val="00B5792B"/>
    <w:rsid w:val="00B625B0"/>
    <w:rsid w:val="00B65AC6"/>
    <w:rsid w:val="00B65D5C"/>
    <w:rsid w:val="00B67223"/>
    <w:rsid w:val="00B67B9B"/>
    <w:rsid w:val="00B70766"/>
    <w:rsid w:val="00B74653"/>
    <w:rsid w:val="00B74B9D"/>
    <w:rsid w:val="00B767EE"/>
    <w:rsid w:val="00B77D00"/>
    <w:rsid w:val="00B802CD"/>
    <w:rsid w:val="00B9214B"/>
    <w:rsid w:val="00B93D9F"/>
    <w:rsid w:val="00B93F1D"/>
    <w:rsid w:val="00B94523"/>
    <w:rsid w:val="00BA5D37"/>
    <w:rsid w:val="00BB07A9"/>
    <w:rsid w:val="00BB2A0B"/>
    <w:rsid w:val="00BC2010"/>
    <w:rsid w:val="00BC3C2B"/>
    <w:rsid w:val="00BD00A3"/>
    <w:rsid w:val="00BD3AF5"/>
    <w:rsid w:val="00BD61CB"/>
    <w:rsid w:val="00BD683E"/>
    <w:rsid w:val="00BD7931"/>
    <w:rsid w:val="00BE1336"/>
    <w:rsid w:val="00BE5015"/>
    <w:rsid w:val="00BF008C"/>
    <w:rsid w:val="00BF4281"/>
    <w:rsid w:val="00BF4C76"/>
    <w:rsid w:val="00BF5EC2"/>
    <w:rsid w:val="00C0085E"/>
    <w:rsid w:val="00C04A31"/>
    <w:rsid w:val="00C10C24"/>
    <w:rsid w:val="00C139BF"/>
    <w:rsid w:val="00C1625D"/>
    <w:rsid w:val="00C17731"/>
    <w:rsid w:val="00C244EF"/>
    <w:rsid w:val="00C26755"/>
    <w:rsid w:val="00C30E72"/>
    <w:rsid w:val="00C37E0E"/>
    <w:rsid w:val="00C4537E"/>
    <w:rsid w:val="00C46FC1"/>
    <w:rsid w:val="00C60280"/>
    <w:rsid w:val="00C616F6"/>
    <w:rsid w:val="00C6483F"/>
    <w:rsid w:val="00C679F7"/>
    <w:rsid w:val="00C713FE"/>
    <w:rsid w:val="00C71B8E"/>
    <w:rsid w:val="00C739A7"/>
    <w:rsid w:val="00C830C9"/>
    <w:rsid w:val="00C91020"/>
    <w:rsid w:val="00C926BC"/>
    <w:rsid w:val="00CA274A"/>
    <w:rsid w:val="00CA5AA6"/>
    <w:rsid w:val="00CC0097"/>
    <w:rsid w:val="00CC62FA"/>
    <w:rsid w:val="00CD066A"/>
    <w:rsid w:val="00CD34DE"/>
    <w:rsid w:val="00CD401E"/>
    <w:rsid w:val="00CE6820"/>
    <w:rsid w:val="00CE6E75"/>
    <w:rsid w:val="00CF0602"/>
    <w:rsid w:val="00CF207A"/>
    <w:rsid w:val="00CF2B84"/>
    <w:rsid w:val="00CF5381"/>
    <w:rsid w:val="00D07C25"/>
    <w:rsid w:val="00D13278"/>
    <w:rsid w:val="00D1379C"/>
    <w:rsid w:val="00D15E16"/>
    <w:rsid w:val="00D228D6"/>
    <w:rsid w:val="00D23FF8"/>
    <w:rsid w:val="00D253A5"/>
    <w:rsid w:val="00D25698"/>
    <w:rsid w:val="00D30910"/>
    <w:rsid w:val="00D35C1D"/>
    <w:rsid w:val="00D426DD"/>
    <w:rsid w:val="00D47876"/>
    <w:rsid w:val="00D52D66"/>
    <w:rsid w:val="00D56263"/>
    <w:rsid w:val="00D73B13"/>
    <w:rsid w:val="00D86858"/>
    <w:rsid w:val="00D879F7"/>
    <w:rsid w:val="00D90144"/>
    <w:rsid w:val="00D93C47"/>
    <w:rsid w:val="00DB0D4D"/>
    <w:rsid w:val="00DB146B"/>
    <w:rsid w:val="00DB29B7"/>
    <w:rsid w:val="00DC26F4"/>
    <w:rsid w:val="00DC67FE"/>
    <w:rsid w:val="00DD1150"/>
    <w:rsid w:val="00DD1C54"/>
    <w:rsid w:val="00DE0A77"/>
    <w:rsid w:val="00DE1530"/>
    <w:rsid w:val="00DF0659"/>
    <w:rsid w:val="00DF0D44"/>
    <w:rsid w:val="00E032AF"/>
    <w:rsid w:val="00E0396C"/>
    <w:rsid w:val="00E03FE1"/>
    <w:rsid w:val="00E10112"/>
    <w:rsid w:val="00E1179F"/>
    <w:rsid w:val="00E11E8E"/>
    <w:rsid w:val="00E2160C"/>
    <w:rsid w:val="00E32D10"/>
    <w:rsid w:val="00E34931"/>
    <w:rsid w:val="00E35073"/>
    <w:rsid w:val="00E4095F"/>
    <w:rsid w:val="00E475DD"/>
    <w:rsid w:val="00E515E0"/>
    <w:rsid w:val="00E52486"/>
    <w:rsid w:val="00E577F2"/>
    <w:rsid w:val="00E66059"/>
    <w:rsid w:val="00E670B4"/>
    <w:rsid w:val="00E67839"/>
    <w:rsid w:val="00E81E92"/>
    <w:rsid w:val="00E838F9"/>
    <w:rsid w:val="00E84CE7"/>
    <w:rsid w:val="00E90EFA"/>
    <w:rsid w:val="00E9390F"/>
    <w:rsid w:val="00EA07C6"/>
    <w:rsid w:val="00EB1915"/>
    <w:rsid w:val="00EB2A89"/>
    <w:rsid w:val="00EB3AAC"/>
    <w:rsid w:val="00EB3ACB"/>
    <w:rsid w:val="00EB4BB7"/>
    <w:rsid w:val="00EB7451"/>
    <w:rsid w:val="00ED08AA"/>
    <w:rsid w:val="00ED45CB"/>
    <w:rsid w:val="00ED57AF"/>
    <w:rsid w:val="00EF4D42"/>
    <w:rsid w:val="00F05F2B"/>
    <w:rsid w:val="00F0644E"/>
    <w:rsid w:val="00F111E5"/>
    <w:rsid w:val="00F112F1"/>
    <w:rsid w:val="00F2722A"/>
    <w:rsid w:val="00F300B7"/>
    <w:rsid w:val="00F428C7"/>
    <w:rsid w:val="00F54A4F"/>
    <w:rsid w:val="00F551DD"/>
    <w:rsid w:val="00F5611C"/>
    <w:rsid w:val="00F5660B"/>
    <w:rsid w:val="00F613A1"/>
    <w:rsid w:val="00F758C2"/>
    <w:rsid w:val="00F97CC1"/>
    <w:rsid w:val="00FA3233"/>
    <w:rsid w:val="00FB53F6"/>
    <w:rsid w:val="00FC209B"/>
    <w:rsid w:val="00FC64B6"/>
    <w:rsid w:val="00FC70F8"/>
    <w:rsid w:val="00FD1472"/>
    <w:rsid w:val="00FD1758"/>
    <w:rsid w:val="00FD1A59"/>
    <w:rsid w:val="00FD47E3"/>
    <w:rsid w:val="00FD6430"/>
    <w:rsid w:val="00FE20F0"/>
    <w:rsid w:val="00FE4D39"/>
    <w:rsid w:val="00FE5F24"/>
    <w:rsid w:val="00FF04E8"/>
    <w:rsid w:val="00FF367E"/>
    <w:rsid w:val="00FF50BB"/>
    <w:rsid w:val="243917BA"/>
    <w:rsid w:val="33264894"/>
    <w:rsid w:val="55130B9C"/>
    <w:rsid w:val="76DA6F2D"/>
    <w:rsid w:val="7FC21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E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qFormat="1"/>
    <w:lsdException w:name="toc 4" w:qFormat="1"/>
    <w:lsdException w:name="toc 5" w:qFormat="1"/>
    <w:lsdException w:name="Normal Indent" w:semiHidden="0" w:qFormat="1"/>
    <w:lsdException w:name="footnote text" w:qFormat="1"/>
    <w:lsdException w:name="header" w:semiHidden="0"/>
    <w:lsdException w:name="footer" w:semiHidden="0"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annotation reference"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semiHidden="0"/>
    <w:lsdException w:name="List 2" w:unhideWhenUsed="1"/>
    <w:lsdException w:name="List 3" w:unhideWhenUsed="1"/>
    <w:lsdException w:name="List 4" w:semiHidden="0"/>
    <w:lsdException w:name="List 5" w:semiHidden="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semiHidden="0"/>
    <w:lsdException w:name="Body Text Indent" w:semiHidden="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semiHidden="0"/>
    <w:lsdException w:name="Date" w:semiHidden="0"/>
    <w:lsdException w:name="Body Text First Indent" w:semiHidden="0"/>
    <w:lsdException w:name="Body Text First Indent 2" w:unhideWhenUsed="1"/>
    <w:lsdException w:name="Note Heading" w:unhideWhenUsed="1"/>
    <w:lsdException w:name="Body Text 2" w:unhideWhenUsed="1"/>
    <w:lsdException w:name="Body Text 3" w:unhideWhenUsed="1"/>
    <w:lsdException w:name="Body Text Indent 2" w:semiHidden="0" w:qFormat="1"/>
    <w:lsdException w:name="Body Text Indent 3" w:semiHidden="0" w:qFormat="1"/>
    <w:lsdException w:name="Block Text" w:unhideWhenUsed="1"/>
    <w:lsdException w:name="Hyperlink" w:semiHidden="0" w:uiPriority="99" w:qFormat="1"/>
    <w:lsdException w:name="FollowedHyperlink" w:unhideWhenUsed="1"/>
    <w:lsdException w:name="Strong" w:semiHidden="0" w:qFormat="1"/>
    <w:lsdException w:name="Emphasis" w:semiHidden="0" w:qFormat="1"/>
    <w:lsdException w:name="Plain Text" w:unhideWhenUsed="1"/>
    <w:lsdException w:name="E-mail Signature" w:unhideWhenUsed="1"/>
    <w:lsdException w:name="HTML Top of Form" w:uiPriority="99" w:unhideWhenUsed="1"/>
    <w:lsdException w:name="HTML Bottom of Form" w:uiPriority="99"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lsdException w:name="Table Theme" w:unhideWhenUsed="1"/>
    <w:lsdException w:name="Placeholder Text" w:uiPriority="99"/>
    <w:lsdException w:name="No Spacing" w:semiHidden="0" w:uiPriority="99"/>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99"/>
    <w:lsdException w:name="Quote" w:semiHidden="0" w:uiPriority="99"/>
    <w:lsdException w:name="Intense Quote" w:semiHidden="0" w:uiPriority="99"/>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rPr>
      <w:b/>
      <w:bCs/>
    </w:rPr>
  </w:style>
  <w:style w:type="paragraph" w:styleId="a4">
    <w:name w:val="annotation text"/>
    <w:basedOn w:val="a"/>
    <w:semiHidden/>
    <w:pPr>
      <w:jc w:val="left"/>
    </w:pPr>
  </w:style>
  <w:style w:type="paragraph" w:styleId="7">
    <w:name w:val="toc 7"/>
    <w:basedOn w:val="a"/>
    <w:next w:val="a"/>
    <w:semiHidden/>
    <w:pPr>
      <w:ind w:left="1260"/>
      <w:jc w:val="left"/>
    </w:pPr>
    <w:rPr>
      <w:sz w:val="18"/>
      <w:szCs w:val="18"/>
    </w:rPr>
  </w:style>
  <w:style w:type="paragraph" w:styleId="a5">
    <w:name w:val="Body Text First Indent"/>
    <w:basedOn w:val="a6"/>
    <w:pPr>
      <w:ind w:firstLineChars="100" w:firstLine="420"/>
    </w:pPr>
  </w:style>
  <w:style w:type="paragraph" w:styleId="a6">
    <w:name w:val="Body Text"/>
    <w:basedOn w:val="a"/>
    <w:pPr>
      <w:spacing w:after="120"/>
    </w:pPr>
  </w:style>
  <w:style w:type="paragraph" w:styleId="a7">
    <w:name w:val="Normal Indent"/>
    <w:basedOn w:val="a"/>
    <w:qFormat/>
    <w:pPr>
      <w:ind w:firstLine="420"/>
    </w:pPr>
    <w:rPr>
      <w:szCs w:val="20"/>
    </w:rPr>
  </w:style>
  <w:style w:type="paragraph" w:styleId="a8">
    <w:name w:val="Document Map"/>
    <w:basedOn w:val="a"/>
    <w:semiHidden/>
    <w:pPr>
      <w:shd w:val="clear" w:color="auto" w:fill="000080"/>
    </w:pPr>
  </w:style>
  <w:style w:type="paragraph" w:styleId="a9">
    <w:name w:val="Body Text Indent"/>
    <w:basedOn w:val="a"/>
    <w:pPr>
      <w:spacing w:after="120"/>
      <w:ind w:leftChars="200" w:left="420"/>
    </w:pPr>
  </w:style>
  <w:style w:type="paragraph" w:styleId="5">
    <w:name w:val="toc 5"/>
    <w:basedOn w:val="a"/>
    <w:next w:val="a"/>
    <w:semiHidden/>
    <w:qFormat/>
    <w:pPr>
      <w:ind w:left="840"/>
      <w:jc w:val="left"/>
    </w:pPr>
    <w:rPr>
      <w:sz w:val="18"/>
      <w:szCs w:val="18"/>
    </w:rPr>
  </w:style>
  <w:style w:type="paragraph" w:styleId="30">
    <w:name w:val="toc 3"/>
    <w:basedOn w:val="a"/>
    <w:next w:val="a"/>
    <w:semiHidden/>
    <w:qFormat/>
    <w:pPr>
      <w:ind w:left="420"/>
      <w:jc w:val="left"/>
    </w:pPr>
    <w:rPr>
      <w:i/>
      <w:iCs/>
      <w:sz w:val="20"/>
      <w:szCs w:val="20"/>
    </w:rPr>
  </w:style>
  <w:style w:type="paragraph" w:styleId="8">
    <w:name w:val="toc 8"/>
    <w:basedOn w:val="a"/>
    <w:next w:val="a"/>
    <w:semiHidden/>
    <w:pPr>
      <w:ind w:left="1470"/>
      <w:jc w:val="left"/>
    </w:pPr>
    <w:rPr>
      <w:sz w:val="18"/>
      <w:szCs w:val="18"/>
    </w:rPr>
  </w:style>
  <w:style w:type="paragraph" w:styleId="20">
    <w:name w:val="Body Text Indent 2"/>
    <w:basedOn w:val="a"/>
    <w:qFormat/>
    <w:pPr>
      <w:spacing w:after="120" w:line="480" w:lineRule="auto"/>
      <w:ind w:leftChars="200" w:left="420"/>
    </w:p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jc w:val="left"/>
    </w:pPr>
    <w:rPr>
      <w:b/>
      <w:bCs/>
      <w:caps/>
      <w:sz w:val="20"/>
      <w:szCs w:val="20"/>
    </w:rPr>
  </w:style>
  <w:style w:type="paragraph" w:styleId="4">
    <w:name w:val="toc 4"/>
    <w:basedOn w:val="a"/>
    <w:next w:val="a"/>
    <w:semiHidden/>
    <w:qFormat/>
    <w:pPr>
      <w:ind w:left="630"/>
      <w:jc w:val="left"/>
    </w:pPr>
    <w:rPr>
      <w:sz w:val="18"/>
      <w:szCs w:val="18"/>
    </w:rPr>
  </w:style>
  <w:style w:type="paragraph" w:styleId="ad">
    <w:name w:val="footnote text"/>
    <w:basedOn w:val="a"/>
    <w:semiHidden/>
    <w:qFormat/>
    <w:pPr>
      <w:snapToGrid w:val="0"/>
      <w:jc w:val="left"/>
    </w:pPr>
    <w:rPr>
      <w:sz w:val="18"/>
      <w:szCs w:val="18"/>
    </w:rPr>
  </w:style>
  <w:style w:type="paragraph" w:styleId="6">
    <w:name w:val="toc 6"/>
    <w:basedOn w:val="a"/>
    <w:next w:val="a"/>
    <w:semiHidden/>
    <w:pPr>
      <w:ind w:left="1050"/>
      <w:jc w:val="left"/>
    </w:pPr>
    <w:rPr>
      <w:sz w:val="18"/>
      <w:szCs w:val="18"/>
    </w:rPr>
  </w:style>
  <w:style w:type="paragraph" w:styleId="31">
    <w:name w:val="Body Text Indent 3"/>
    <w:basedOn w:val="a"/>
    <w:qFormat/>
    <w:pPr>
      <w:ind w:firstLine="210"/>
    </w:pPr>
    <w:rPr>
      <w:bCs/>
    </w:rPr>
  </w:style>
  <w:style w:type="paragraph" w:styleId="21">
    <w:name w:val="toc 2"/>
    <w:basedOn w:val="a"/>
    <w:next w:val="a"/>
    <w:uiPriority w:val="39"/>
    <w:qFormat/>
    <w:pPr>
      <w:ind w:left="210"/>
      <w:jc w:val="left"/>
    </w:pPr>
    <w:rPr>
      <w:smallCaps/>
      <w:sz w:val="20"/>
      <w:szCs w:val="20"/>
    </w:rPr>
  </w:style>
  <w:style w:type="paragraph" w:styleId="9">
    <w:name w:val="toc 9"/>
    <w:basedOn w:val="a"/>
    <w:next w:val="a"/>
    <w:semiHidden/>
    <w:pPr>
      <w:ind w:left="1680"/>
      <w:jc w:val="left"/>
    </w:pPr>
    <w:rPr>
      <w:sz w:val="18"/>
      <w:szCs w:val="18"/>
    </w:rPr>
  </w:style>
  <w:style w:type="character" w:styleId="ae">
    <w:name w:val="page number"/>
    <w:basedOn w:val="a0"/>
    <w:qFormat/>
  </w:style>
  <w:style w:type="character" w:styleId="af">
    <w:name w:val="Hyperlink"/>
    <w:uiPriority w:val="99"/>
    <w:qFormat/>
    <w:rPr>
      <w:color w:val="0000FF"/>
      <w:u w:val="single"/>
    </w:rPr>
  </w:style>
  <w:style w:type="character" w:styleId="af0">
    <w:name w:val="annotation reference"/>
    <w:semiHidden/>
    <w:qFormat/>
    <w:rPr>
      <w:sz w:val="21"/>
      <w:szCs w:val="21"/>
    </w:rPr>
  </w:style>
  <w:style w:type="character" w:styleId="af1">
    <w:name w:val="footnote reference"/>
    <w:semiHidden/>
    <w:rPr>
      <w:vertAlign w:val="superscript"/>
    </w:rPr>
  </w:style>
  <w:style w:type="character" w:customStyle="1" w:styleId="read">
    <w:name w:val="read"/>
    <w:basedOn w:val="a0"/>
    <w:qFormat/>
  </w:style>
  <w:style w:type="paragraph" w:customStyle="1" w:styleId="af2">
    <w:name w:val="正文所"/>
    <w:basedOn w:val="a"/>
    <w:qFormat/>
    <w:pPr>
      <w:spacing w:line="360" w:lineRule="auto"/>
      <w:ind w:firstLineChars="200" w:firstLine="420"/>
    </w:pPr>
  </w:style>
  <w:style w:type="paragraph" w:customStyle="1" w:styleId="Char">
    <w:name w:val="Char"/>
    <w:basedOn w:val="a"/>
  </w:style>
  <w:style w:type="paragraph" w:customStyle="1" w:styleId="Char1">
    <w:name w:val="Char1"/>
    <w:basedOn w:val="a"/>
  </w:style>
  <w:style w:type="paragraph" w:customStyle="1" w:styleId="11">
    <w:name w:val="修订1"/>
    <w:hidden/>
    <w:uiPriority w:val="99"/>
    <w:semiHidden/>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qFormat="1"/>
    <w:lsdException w:name="toc 4" w:qFormat="1"/>
    <w:lsdException w:name="toc 5" w:qFormat="1"/>
    <w:lsdException w:name="Normal Indent" w:semiHidden="0" w:qFormat="1"/>
    <w:lsdException w:name="footnote text" w:qFormat="1"/>
    <w:lsdException w:name="header" w:semiHidden="0"/>
    <w:lsdException w:name="footer" w:semiHidden="0"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annotation reference"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semiHidden="0"/>
    <w:lsdException w:name="List 2" w:unhideWhenUsed="1"/>
    <w:lsdException w:name="List 3" w:unhideWhenUsed="1"/>
    <w:lsdException w:name="List 4" w:semiHidden="0"/>
    <w:lsdException w:name="List 5" w:semiHidden="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semiHidden="0"/>
    <w:lsdException w:name="Body Text Indent" w:semiHidden="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semiHidden="0"/>
    <w:lsdException w:name="Date" w:semiHidden="0"/>
    <w:lsdException w:name="Body Text First Indent" w:semiHidden="0"/>
    <w:lsdException w:name="Body Text First Indent 2" w:unhideWhenUsed="1"/>
    <w:lsdException w:name="Note Heading" w:unhideWhenUsed="1"/>
    <w:lsdException w:name="Body Text 2" w:unhideWhenUsed="1"/>
    <w:lsdException w:name="Body Text 3" w:unhideWhenUsed="1"/>
    <w:lsdException w:name="Body Text Indent 2" w:semiHidden="0" w:qFormat="1"/>
    <w:lsdException w:name="Body Text Indent 3" w:semiHidden="0" w:qFormat="1"/>
    <w:lsdException w:name="Block Text" w:unhideWhenUsed="1"/>
    <w:lsdException w:name="Hyperlink" w:semiHidden="0" w:uiPriority="99" w:qFormat="1"/>
    <w:lsdException w:name="FollowedHyperlink" w:unhideWhenUsed="1"/>
    <w:lsdException w:name="Strong" w:semiHidden="0" w:qFormat="1"/>
    <w:lsdException w:name="Emphasis" w:semiHidden="0" w:qFormat="1"/>
    <w:lsdException w:name="Plain Text" w:unhideWhenUsed="1"/>
    <w:lsdException w:name="E-mail Signature" w:unhideWhenUsed="1"/>
    <w:lsdException w:name="HTML Top of Form" w:uiPriority="99" w:unhideWhenUsed="1"/>
    <w:lsdException w:name="HTML Bottom of Form" w:uiPriority="99"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lsdException w:name="Table Theme" w:unhideWhenUsed="1"/>
    <w:lsdException w:name="Placeholder Text" w:uiPriority="99"/>
    <w:lsdException w:name="No Spacing" w:semiHidden="0" w:uiPriority="99"/>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99"/>
    <w:lsdException w:name="Quote" w:semiHidden="0" w:uiPriority="99"/>
    <w:lsdException w:name="Intense Quote" w:semiHidden="0" w:uiPriority="99"/>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rPr>
      <w:b/>
      <w:bCs/>
    </w:rPr>
  </w:style>
  <w:style w:type="paragraph" w:styleId="a4">
    <w:name w:val="annotation text"/>
    <w:basedOn w:val="a"/>
    <w:semiHidden/>
    <w:pPr>
      <w:jc w:val="left"/>
    </w:pPr>
  </w:style>
  <w:style w:type="paragraph" w:styleId="7">
    <w:name w:val="toc 7"/>
    <w:basedOn w:val="a"/>
    <w:next w:val="a"/>
    <w:semiHidden/>
    <w:pPr>
      <w:ind w:left="1260"/>
      <w:jc w:val="left"/>
    </w:pPr>
    <w:rPr>
      <w:sz w:val="18"/>
      <w:szCs w:val="18"/>
    </w:rPr>
  </w:style>
  <w:style w:type="paragraph" w:styleId="a5">
    <w:name w:val="Body Text First Indent"/>
    <w:basedOn w:val="a6"/>
    <w:pPr>
      <w:ind w:firstLineChars="100" w:firstLine="420"/>
    </w:pPr>
  </w:style>
  <w:style w:type="paragraph" w:styleId="a6">
    <w:name w:val="Body Text"/>
    <w:basedOn w:val="a"/>
    <w:pPr>
      <w:spacing w:after="120"/>
    </w:pPr>
  </w:style>
  <w:style w:type="paragraph" w:styleId="a7">
    <w:name w:val="Normal Indent"/>
    <w:basedOn w:val="a"/>
    <w:qFormat/>
    <w:pPr>
      <w:ind w:firstLine="420"/>
    </w:pPr>
    <w:rPr>
      <w:szCs w:val="20"/>
    </w:rPr>
  </w:style>
  <w:style w:type="paragraph" w:styleId="a8">
    <w:name w:val="Document Map"/>
    <w:basedOn w:val="a"/>
    <w:semiHidden/>
    <w:pPr>
      <w:shd w:val="clear" w:color="auto" w:fill="000080"/>
    </w:pPr>
  </w:style>
  <w:style w:type="paragraph" w:styleId="a9">
    <w:name w:val="Body Text Indent"/>
    <w:basedOn w:val="a"/>
    <w:pPr>
      <w:spacing w:after="120"/>
      <w:ind w:leftChars="200" w:left="420"/>
    </w:pPr>
  </w:style>
  <w:style w:type="paragraph" w:styleId="5">
    <w:name w:val="toc 5"/>
    <w:basedOn w:val="a"/>
    <w:next w:val="a"/>
    <w:semiHidden/>
    <w:qFormat/>
    <w:pPr>
      <w:ind w:left="840"/>
      <w:jc w:val="left"/>
    </w:pPr>
    <w:rPr>
      <w:sz w:val="18"/>
      <w:szCs w:val="18"/>
    </w:rPr>
  </w:style>
  <w:style w:type="paragraph" w:styleId="30">
    <w:name w:val="toc 3"/>
    <w:basedOn w:val="a"/>
    <w:next w:val="a"/>
    <w:semiHidden/>
    <w:qFormat/>
    <w:pPr>
      <w:ind w:left="420"/>
      <w:jc w:val="left"/>
    </w:pPr>
    <w:rPr>
      <w:i/>
      <w:iCs/>
      <w:sz w:val="20"/>
      <w:szCs w:val="20"/>
    </w:rPr>
  </w:style>
  <w:style w:type="paragraph" w:styleId="8">
    <w:name w:val="toc 8"/>
    <w:basedOn w:val="a"/>
    <w:next w:val="a"/>
    <w:semiHidden/>
    <w:pPr>
      <w:ind w:left="1470"/>
      <w:jc w:val="left"/>
    </w:pPr>
    <w:rPr>
      <w:sz w:val="18"/>
      <w:szCs w:val="18"/>
    </w:rPr>
  </w:style>
  <w:style w:type="paragraph" w:styleId="20">
    <w:name w:val="Body Text Indent 2"/>
    <w:basedOn w:val="a"/>
    <w:qFormat/>
    <w:pPr>
      <w:spacing w:after="120" w:line="480" w:lineRule="auto"/>
      <w:ind w:leftChars="200" w:left="420"/>
    </w:p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jc w:val="left"/>
    </w:pPr>
    <w:rPr>
      <w:b/>
      <w:bCs/>
      <w:caps/>
      <w:sz w:val="20"/>
      <w:szCs w:val="20"/>
    </w:rPr>
  </w:style>
  <w:style w:type="paragraph" w:styleId="4">
    <w:name w:val="toc 4"/>
    <w:basedOn w:val="a"/>
    <w:next w:val="a"/>
    <w:semiHidden/>
    <w:qFormat/>
    <w:pPr>
      <w:ind w:left="630"/>
      <w:jc w:val="left"/>
    </w:pPr>
    <w:rPr>
      <w:sz w:val="18"/>
      <w:szCs w:val="18"/>
    </w:rPr>
  </w:style>
  <w:style w:type="paragraph" w:styleId="ad">
    <w:name w:val="footnote text"/>
    <w:basedOn w:val="a"/>
    <w:semiHidden/>
    <w:qFormat/>
    <w:pPr>
      <w:snapToGrid w:val="0"/>
      <w:jc w:val="left"/>
    </w:pPr>
    <w:rPr>
      <w:sz w:val="18"/>
      <w:szCs w:val="18"/>
    </w:rPr>
  </w:style>
  <w:style w:type="paragraph" w:styleId="6">
    <w:name w:val="toc 6"/>
    <w:basedOn w:val="a"/>
    <w:next w:val="a"/>
    <w:semiHidden/>
    <w:pPr>
      <w:ind w:left="1050"/>
      <w:jc w:val="left"/>
    </w:pPr>
    <w:rPr>
      <w:sz w:val="18"/>
      <w:szCs w:val="18"/>
    </w:rPr>
  </w:style>
  <w:style w:type="paragraph" w:styleId="31">
    <w:name w:val="Body Text Indent 3"/>
    <w:basedOn w:val="a"/>
    <w:qFormat/>
    <w:pPr>
      <w:ind w:firstLine="210"/>
    </w:pPr>
    <w:rPr>
      <w:bCs/>
    </w:rPr>
  </w:style>
  <w:style w:type="paragraph" w:styleId="21">
    <w:name w:val="toc 2"/>
    <w:basedOn w:val="a"/>
    <w:next w:val="a"/>
    <w:uiPriority w:val="39"/>
    <w:qFormat/>
    <w:pPr>
      <w:ind w:left="210"/>
      <w:jc w:val="left"/>
    </w:pPr>
    <w:rPr>
      <w:smallCaps/>
      <w:sz w:val="20"/>
      <w:szCs w:val="20"/>
    </w:rPr>
  </w:style>
  <w:style w:type="paragraph" w:styleId="9">
    <w:name w:val="toc 9"/>
    <w:basedOn w:val="a"/>
    <w:next w:val="a"/>
    <w:semiHidden/>
    <w:pPr>
      <w:ind w:left="1680"/>
      <w:jc w:val="left"/>
    </w:pPr>
    <w:rPr>
      <w:sz w:val="18"/>
      <w:szCs w:val="18"/>
    </w:rPr>
  </w:style>
  <w:style w:type="character" w:styleId="ae">
    <w:name w:val="page number"/>
    <w:basedOn w:val="a0"/>
    <w:qFormat/>
  </w:style>
  <w:style w:type="character" w:styleId="af">
    <w:name w:val="Hyperlink"/>
    <w:uiPriority w:val="99"/>
    <w:qFormat/>
    <w:rPr>
      <w:color w:val="0000FF"/>
      <w:u w:val="single"/>
    </w:rPr>
  </w:style>
  <w:style w:type="character" w:styleId="af0">
    <w:name w:val="annotation reference"/>
    <w:semiHidden/>
    <w:qFormat/>
    <w:rPr>
      <w:sz w:val="21"/>
      <w:szCs w:val="21"/>
    </w:rPr>
  </w:style>
  <w:style w:type="character" w:styleId="af1">
    <w:name w:val="footnote reference"/>
    <w:semiHidden/>
    <w:rPr>
      <w:vertAlign w:val="superscript"/>
    </w:rPr>
  </w:style>
  <w:style w:type="character" w:customStyle="1" w:styleId="read">
    <w:name w:val="read"/>
    <w:basedOn w:val="a0"/>
    <w:qFormat/>
  </w:style>
  <w:style w:type="paragraph" w:customStyle="1" w:styleId="af2">
    <w:name w:val="正文所"/>
    <w:basedOn w:val="a"/>
    <w:qFormat/>
    <w:pPr>
      <w:spacing w:line="360" w:lineRule="auto"/>
      <w:ind w:firstLineChars="200" w:firstLine="420"/>
    </w:pPr>
  </w:style>
  <w:style w:type="paragraph" w:customStyle="1" w:styleId="Char">
    <w:name w:val="Char"/>
    <w:basedOn w:val="a"/>
  </w:style>
  <w:style w:type="paragraph" w:customStyle="1" w:styleId="Char1">
    <w:name w:val="Char1"/>
    <w:basedOn w:val="a"/>
  </w:style>
  <w:style w:type="paragraph" w:customStyle="1" w:styleId="11">
    <w:name w:val="修订1"/>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42EF8E-D61A-492C-A253-131A40249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81</Pages>
  <Words>9353</Words>
  <Characters>53316</Characters>
  <Application>Microsoft Office Word</Application>
  <DocSecurity>0</DocSecurity>
  <Lines>444</Lines>
  <Paragraphs>125</Paragraphs>
  <ScaleCrop>false</ScaleCrop>
  <Company/>
  <LinksUpToDate>false</LinksUpToDate>
  <CharactersWithSpaces>62544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友邦华泰盛世中国股票型证券投资基金基金合同</dc:title>
  <dc:creator>产品部</dc:creator>
  <cp:lastModifiedBy>符筱</cp:lastModifiedBy>
  <cp:revision>41</cp:revision>
  <cp:lastPrinted>2011-08-02T03:06:00Z</cp:lastPrinted>
  <dcterms:created xsi:type="dcterms:W3CDTF">2013-06-09T11:42:00Z</dcterms:created>
  <dcterms:modified xsi:type="dcterms:W3CDTF">2019-12-27T14:05:00Z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