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8E3" w:rsidRDefault="000A08E3">
      <w:pPr>
        <w:widowControl/>
        <w:jc w:val="left"/>
        <w:rPr>
          <w:rFonts w:ascii="宋体" w:eastAsia="宋体" w:hAnsi="宋体"/>
          <w:sz w:val="30"/>
        </w:rPr>
      </w:pPr>
    </w:p>
    <w:p w:rsidR="000A08E3" w:rsidRDefault="000A08E3">
      <w:pPr>
        <w:widowControl/>
        <w:jc w:val="left"/>
        <w:rPr>
          <w:rFonts w:ascii="宋体" w:eastAsia="宋体" w:hAnsi="宋体"/>
          <w:sz w:val="30"/>
        </w:rPr>
      </w:pPr>
    </w:p>
    <w:p w:rsidR="000A08E3" w:rsidRDefault="000A08E3">
      <w:pPr>
        <w:widowControl/>
        <w:jc w:val="left"/>
        <w:rPr>
          <w:rFonts w:ascii="宋体" w:eastAsia="宋体" w:hAnsi="宋体"/>
          <w:sz w:val="30"/>
        </w:rPr>
      </w:pPr>
    </w:p>
    <w:p w:rsidR="000A08E3" w:rsidRDefault="000A08E3">
      <w:pPr>
        <w:widowControl/>
        <w:jc w:val="left"/>
        <w:rPr>
          <w:rFonts w:ascii="宋体" w:eastAsia="宋体" w:hAnsi="宋体"/>
          <w:sz w:val="30"/>
        </w:rPr>
      </w:pPr>
    </w:p>
    <w:p w:rsidR="000A08E3" w:rsidRDefault="000A08E3" w:rsidP="000A08E3">
      <w:pPr>
        <w:widowControl/>
        <w:spacing w:line="800" w:lineRule="exact"/>
        <w:jc w:val="center"/>
        <w:rPr>
          <w:rFonts w:ascii="宋体" w:eastAsia="宋体" w:hAnsi="宋体"/>
          <w:b/>
          <w:sz w:val="52"/>
        </w:rPr>
      </w:pPr>
      <w:r w:rsidRPr="000A08E3">
        <w:rPr>
          <w:rFonts w:ascii="宋体" w:eastAsia="宋体" w:hAnsi="宋体" w:hint="eastAsia"/>
          <w:b/>
          <w:sz w:val="52"/>
        </w:rPr>
        <w:t>博时上证</w:t>
      </w:r>
      <w:r w:rsidRPr="000A08E3">
        <w:rPr>
          <w:rFonts w:ascii="宋体" w:eastAsia="宋体" w:hAnsi="宋体"/>
          <w:b/>
          <w:sz w:val="52"/>
        </w:rPr>
        <w:t>50交易型开放式指数证券投资基金联接基金</w:t>
      </w:r>
    </w:p>
    <w:p w:rsidR="000A08E3" w:rsidRDefault="000A08E3" w:rsidP="000A08E3">
      <w:pPr>
        <w:widowControl/>
        <w:spacing w:line="800" w:lineRule="exact"/>
        <w:jc w:val="center"/>
        <w:rPr>
          <w:rFonts w:ascii="宋体" w:eastAsia="宋体" w:hAnsi="宋体"/>
          <w:b/>
          <w:sz w:val="52"/>
        </w:rPr>
      </w:pPr>
      <w:r w:rsidRPr="000A08E3">
        <w:rPr>
          <w:rFonts w:ascii="宋体" w:eastAsia="宋体" w:hAnsi="宋体" w:hint="eastAsia"/>
          <w:b/>
          <w:sz w:val="52"/>
        </w:rPr>
        <w:t>更新招募说明书</w:t>
      </w: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52"/>
        </w:rPr>
      </w:pPr>
    </w:p>
    <w:p w:rsidR="000A08E3" w:rsidRDefault="000A08E3" w:rsidP="000A08E3">
      <w:pPr>
        <w:widowControl/>
        <w:spacing w:line="800" w:lineRule="exact"/>
        <w:jc w:val="center"/>
        <w:rPr>
          <w:rFonts w:ascii="宋体" w:eastAsia="宋体" w:hAnsi="宋体"/>
          <w:b/>
          <w:sz w:val="30"/>
        </w:rPr>
      </w:pPr>
      <w:r w:rsidRPr="000A08E3">
        <w:rPr>
          <w:rFonts w:ascii="宋体" w:eastAsia="宋体" w:hAnsi="宋体" w:hint="eastAsia"/>
          <w:b/>
          <w:sz w:val="30"/>
        </w:rPr>
        <w:t>基金管理人</w:t>
      </w:r>
      <w:r w:rsidRPr="000A08E3">
        <w:rPr>
          <w:rFonts w:ascii="宋体" w:eastAsia="宋体" w:hAnsi="宋体"/>
          <w:b/>
          <w:sz w:val="30"/>
        </w:rPr>
        <w:t>: 博时基金管理有限公司</w:t>
      </w:r>
    </w:p>
    <w:p w:rsidR="000A08E3" w:rsidRPr="000A08E3" w:rsidRDefault="000A08E3" w:rsidP="000A08E3">
      <w:pPr>
        <w:widowControl/>
        <w:spacing w:line="800" w:lineRule="exact"/>
        <w:jc w:val="center"/>
        <w:rPr>
          <w:rFonts w:ascii="宋体" w:eastAsia="宋体" w:hAnsi="宋体" w:cstheme="majorBidi"/>
          <w:b/>
          <w:bCs/>
          <w:sz w:val="30"/>
          <w:szCs w:val="32"/>
        </w:rPr>
      </w:pPr>
      <w:r w:rsidRPr="000A08E3">
        <w:rPr>
          <w:rFonts w:ascii="宋体" w:eastAsia="宋体" w:hAnsi="宋体" w:hint="eastAsia"/>
          <w:b/>
          <w:sz w:val="30"/>
        </w:rPr>
        <w:t>基金托管人</w:t>
      </w:r>
      <w:r w:rsidRPr="000A08E3">
        <w:rPr>
          <w:rFonts w:ascii="宋体" w:eastAsia="宋体" w:hAnsi="宋体"/>
          <w:b/>
          <w:sz w:val="30"/>
        </w:rPr>
        <w:t>: 招商银行股份有限公司</w:t>
      </w:r>
      <w:r w:rsidRPr="000A08E3">
        <w:rPr>
          <w:rFonts w:ascii="宋体" w:eastAsia="宋体" w:hAnsi="宋体"/>
          <w:b/>
          <w:sz w:val="30"/>
        </w:rPr>
        <w:br w:type="page"/>
      </w:r>
    </w:p>
    <w:p w:rsidR="000A08E3" w:rsidRDefault="000A08E3" w:rsidP="000A08E3">
      <w:pPr>
        <w:pStyle w:val="2"/>
        <w:jc w:val="center"/>
        <w:rPr>
          <w:rFonts w:ascii="宋体" w:eastAsia="宋体" w:hAnsi="宋体"/>
          <w:sz w:val="30"/>
        </w:rPr>
      </w:pPr>
      <w:bookmarkStart w:id="0" w:name="_Toc26382904"/>
      <w:r w:rsidRPr="000A08E3">
        <w:rPr>
          <w:rFonts w:ascii="宋体" w:eastAsia="宋体" w:hAnsi="宋体" w:hint="eastAsia"/>
          <w:sz w:val="30"/>
        </w:rPr>
        <w:lastRenderedPageBreak/>
        <w:t>【重要提示】</w:t>
      </w:r>
      <w:bookmarkEnd w:id="0"/>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本基金经中国证监会</w:t>
      </w:r>
      <w:bookmarkStart w:id="1" w:name="field_2343_approveddate_1"/>
      <w:r w:rsidR="00284027">
        <w:rPr>
          <w:sz w:val="21"/>
          <w:szCs w:val="21"/>
        </w:rPr>
        <w:t>2015年03月31日</w:t>
      </w:r>
      <w:bookmarkEnd w:id="1"/>
      <w:r>
        <w:rPr>
          <w:rFonts w:hint="eastAsia"/>
          <w:sz w:val="21"/>
          <w:szCs w:val="21"/>
        </w:rPr>
        <w:t>证监许可</w:t>
      </w:r>
      <w:bookmarkStart w:id="2" w:name="field_2343_lotnumber_1"/>
      <w:r w:rsidR="00284027">
        <w:rPr>
          <w:sz w:val="21"/>
          <w:szCs w:val="21"/>
        </w:rPr>
        <w:t>[2015]509</w:t>
      </w:r>
      <w:bookmarkEnd w:id="2"/>
      <w:r>
        <w:rPr>
          <w:rFonts w:hint="eastAsia"/>
          <w:sz w:val="21"/>
          <w:szCs w:val="21"/>
        </w:rPr>
        <w:t>号文准予注册，进行募集。</w:t>
      </w:r>
      <w:r w:rsidR="00284027">
        <w:rPr>
          <w:sz w:val="21"/>
          <w:szCs w:val="21"/>
        </w:rPr>
        <w:t xml:space="preserve"> </w:t>
      </w:r>
      <w:r>
        <w:rPr>
          <w:rFonts w:hint="eastAsia"/>
          <w:sz w:val="21"/>
          <w:szCs w:val="21"/>
        </w:rPr>
        <w:t xml:space="preserve">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 xml:space="preserve">本基金管理人保证招募说明书的内容真实、准确、完整。本招募说明书经中国证监会注册，但中国证监会对本基金募集的注册，并不表明其对本基金的价值和收益作出实质性判断或保证，也不表明投资于本基金没有风险。中国证监会不对基金的投资价值及市场前景等作出实质性判断或者保证。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 xml:space="preserve">本基金投资于证券市场，基金资产净值会因为证券市场波动等因素产生波动，投资人根据所持有的基金份额享受基金收益，同时承担相应的投资风险。本基金投资中的风险包括但不限于：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本基金及目标ETF基金的特定风险等。本基金为ETF联接基金，通过投资于目标ETF跟踪标的指数表现，具有与标的指数以及标的指数所代表的证券市场相似的风险收益特征。同时，本基金为被动式投资的股票型指数基金，跟踪上证50指数，其预期风险与预期收益高于债券型基金、混合型基金、货币市场基金，其风险收益特征与标的指数所表征的市场组合的风险收益特征相似。本基金对博时上证50交易型开放式指数证券投资基金的投资比例不低于本基金资产净值的90%，投资标的单一且过分集中有可能会给本基金带来风险。投资人在投资本基金之前，请仔细阅读本基金的招募说明书和基金合同等信息披露文件，全面认识本基金的风险收益特征和产品特性，并充分考虑自身的风险承受能力，理性判断市场，谨慎做出投资决策。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 xml:space="preserve">本基金投资对象是具有良好流动性的金融工具，包括目标ETF、国内依法发行上市的股票、权证、股指期货、债券、货币市场工具、资产支持证券等，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投资有风险，投资人认购（或申购）基金时应认真阅读本招募说明书</w:t>
      </w:r>
      <w:r w:rsidR="002C6DD1">
        <w:rPr>
          <w:rFonts w:hint="eastAsia"/>
          <w:sz w:val="21"/>
          <w:szCs w:val="21"/>
        </w:rPr>
        <w:t>、基金产品资料概要</w:t>
      </w:r>
      <w:r>
        <w:rPr>
          <w:rFonts w:hint="eastAsia"/>
          <w:sz w:val="21"/>
          <w:szCs w:val="21"/>
        </w:rPr>
        <w:t xml:space="preserve">。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t xml:space="preserve">基金的过往业绩并不预示其未来表现。基金管理人管理的其他基金的业绩并不构成新基金业绩表现的保证。 </w:t>
      </w:r>
    </w:p>
    <w:p w:rsidR="000A08E3" w:rsidRDefault="000A08E3">
      <w:pPr>
        <w:pStyle w:val="a3"/>
        <w:spacing w:before="0" w:beforeAutospacing="0" w:after="0" w:afterAutospacing="0" w:line="360" w:lineRule="auto"/>
        <w:ind w:firstLine="420"/>
        <w:divId w:val="1770924750"/>
        <w:rPr>
          <w:sz w:val="21"/>
          <w:szCs w:val="21"/>
        </w:rPr>
      </w:pPr>
      <w:r>
        <w:rPr>
          <w:rFonts w:hint="eastAsia"/>
          <w:sz w:val="21"/>
          <w:szCs w:val="21"/>
        </w:rPr>
        <w:lastRenderedPageBreak/>
        <w:t xml:space="preserve">基金管理人依照恪尽职守、诚实信用、谨慎勤勉的原则管理和运用基金财产，但不保证基金一定盈利，也不保证最低收益。基金管理人提醒投资人基金投资的“买者自负”原则，在投资人作出投资决策后，基金运营状况与基金净值变化引致的投资风险，由投资人自行负责。 </w:t>
      </w:r>
    </w:p>
    <w:p w:rsidR="004F1DC3" w:rsidRDefault="004F1DC3" w:rsidP="000A08E3">
      <w:pPr>
        <w:pStyle w:val="a3"/>
        <w:spacing w:before="0" w:beforeAutospacing="0" w:after="0" w:afterAutospacing="0" w:line="360" w:lineRule="auto"/>
        <w:ind w:firstLine="420"/>
        <w:divId w:val="1164710038"/>
        <w:rPr>
          <w:sz w:val="21"/>
          <w:szCs w:val="21"/>
        </w:rPr>
      </w:pPr>
      <w:r w:rsidRPr="004F1DC3">
        <w:rPr>
          <w:rFonts w:hint="eastAsia"/>
          <w:sz w:val="21"/>
          <w:szCs w:val="21"/>
        </w:rPr>
        <w:t>本招募说明书约定的基金产品资料概要编制、披露与更新的要求，将不晚于2020年9月1日起执行。</w:t>
      </w:r>
    </w:p>
    <w:p w:rsidR="000A08E3" w:rsidRPr="000A08E3" w:rsidRDefault="000A08E3" w:rsidP="000A08E3">
      <w:pPr>
        <w:pStyle w:val="a3"/>
        <w:spacing w:before="0" w:beforeAutospacing="0" w:after="0" w:afterAutospacing="0" w:line="360" w:lineRule="auto"/>
        <w:ind w:firstLine="420"/>
        <w:divId w:val="1164710038"/>
        <w:rPr>
          <w:sz w:val="21"/>
          <w:szCs w:val="21"/>
        </w:rPr>
      </w:pPr>
      <w:r>
        <w:rPr>
          <w:rFonts w:hint="eastAsia"/>
          <w:sz w:val="21"/>
          <w:szCs w:val="21"/>
        </w:rPr>
        <w:t>本招募说明书更新所载内容截止日为</w:t>
      </w:r>
      <w:bookmarkStart w:id="3" w:name="field_2343_infoendday_1"/>
      <w:r w:rsidR="00284027">
        <w:rPr>
          <w:sz w:val="21"/>
          <w:szCs w:val="21"/>
        </w:rPr>
        <w:t>2019年11月25日</w:t>
      </w:r>
      <w:bookmarkEnd w:id="3"/>
      <w:r>
        <w:rPr>
          <w:rFonts w:hint="eastAsia"/>
          <w:sz w:val="21"/>
          <w:szCs w:val="21"/>
        </w:rPr>
        <w:t>，有关财务数据和净值表现截止日为</w:t>
      </w:r>
      <w:bookmarkStart w:id="4" w:name="field_2343_financeendday_1"/>
      <w:r w:rsidR="00284027">
        <w:rPr>
          <w:sz w:val="21"/>
          <w:szCs w:val="21"/>
        </w:rPr>
        <w:t>2019年09月30日</w:t>
      </w:r>
      <w:bookmarkEnd w:id="4"/>
      <w:r>
        <w:rPr>
          <w:rFonts w:hint="eastAsia"/>
          <w:sz w:val="21"/>
          <w:szCs w:val="21"/>
        </w:rPr>
        <w:t>。（财务数据未经审计）</w:t>
      </w:r>
      <w:r w:rsidR="00284027">
        <w:rPr>
          <w:sz w:val="21"/>
          <w:szCs w:val="21"/>
        </w:rPr>
        <w:t xml:space="preserve"> </w:t>
      </w:r>
      <w:r>
        <w:rPr>
          <w:rFonts w:hint="eastAsia"/>
          <w:sz w:val="21"/>
          <w:szCs w:val="21"/>
        </w:rPr>
        <w:t xml:space="preserve"> </w:t>
      </w:r>
      <w:r w:rsidRPr="000A08E3">
        <w:rPr>
          <w:sz w:val="30"/>
        </w:rPr>
        <w:br w:type="page"/>
      </w:r>
    </w:p>
    <w:p w:rsidR="000A08E3" w:rsidRDefault="000A08E3" w:rsidP="000A08E3">
      <w:pPr>
        <w:widowControl/>
        <w:jc w:val="center"/>
        <w:rPr>
          <w:rFonts w:ascii="宋体" w:eastAsia="宋体" w:hAnsi="宋体"/>
          <w:b/>
          <w:sz w:val="28"/>
        </w:rPr>
      </w:pPr>
      <w:r w:rsidRPr="000A08E3">
        <w:rPr>
          <w:rFonts w:ascii="宋体" w:eastAsia="宋体" w:hAnsi="宋体" w:hint="eastAsia"/>
          <w:b/>
          <w:sz w:val="28"/>
        </w:rPr>
        <w:lastRenderedPageBreak/>
        <w:t>目录</w:t>
      </w:r>
    </w:p>
    <w:p w:rsidR="000A08E3" w:rsidRPr="000A08E3" w:rsidRDefault="000A08E3" w:rsidP="000A08E3">
      <w:pPr>
        <w:pStyle w:val="20"/>
        <w:tabs>
          <w:tab w:val="right" w:leader="dot" w:pos="8290"/>
        </w:tabs>
        <w:spacing w:line="360" w:lineRule="auto"/>
        <w:rPr>
          <w:rFonts w:ascii="宋体" w:eastAsia="宋体" w:hAnsi="宋体"/>
          <w:noProof/>
        </w:rPr>
      </w:pPr>
      <w:r w:rsidRPr="000A08E3">
        <w:rPr>
          <w:rFonts w:ascii="宋体" w:eastAsia="宋体" w:hAnsi="宋体"/>
        </w:rPr>
        <w:fldChar w:fldCharType="begin"/>
      </w:r>
      <w:r w:rsidRPr="000A08E3">
        <w:rPr>
          <w:rFonts w:ascii="宋体" w:eastAsia="宋体" w:hAnsi="宋体"/>
        </w:rPr>
        <w:instrText xml:space="preserve"> TOC \o "1-2" \f 8 \h \t "2" </w:instrText>
      </w:r>
      <w:r w:rsidRPr="000A08E3">
        <w:rPr>
          <w:rFonts w:ascii="宋体" w:eastAsia="宋体" w:hAnsi="宋体"/>
        </w:rPr>
        <w:fldChar w:fldCharType="separate"/>
      </w:r>
      <w:hyperlink w:anchor="_Toc26382904" w:history="1">
        <w:r w:rsidRPr="000A08E3">
          <w:rPr>
            <w:rStyle w:val="a5"/>
            <w:rFonts w:ascii="宋体" w:eastAsia="宋体" w:hAnsi="宋体" w:hint="eastAsia"/>
            <w:noProof/>
            <w:u w:val="none"/>
          </w:rPr>
          <w:t>【重要提示】</w:t>
        </w:r>
        <w:r w:rsidRPr="000A08E3">
          <w:rPr>
            <w:rFonts w:ascii="宋体" w:eastAsia="宋体" w:hAnsi="宋体"/>
            <w:noProof/>
          </w:rPr>
          <w:tab/>
        </w:r>
        <w:r w:rsidRPr="000A08E3">
          <w:rPr>
            <w:rFonts w:ascii="宋体" w:eastAsia="宋体" w:hAnsi="宋体"/>
            <w:noProof/>
          </w:rPr>
          <w:fldChar w:fldCharType="begin"/>
        </w:r>
        <w:r w:rsidRPr="000A08E3">
          <w:rPr>
            <w:rFonts w:ascii="宋体" w:eastAsia="宋体" w:hAnsi="宋体"/>
            <w:noProof/>
          </w:rPr>
          <w:instrText xml:space="preserve"> PAGEREF _Toc26382904 \h </w:instrText>
        </w:r>
        <w:r w:rsidRPr="000A08E3">
          <w:rPr>
            <w:rFonts w:ascii="宋体" w:eastAsia="宋体" w:hAnsi="宋体"/>
            <w:noProof/>
          </w:rPr>
        </w:r>
        <w:r w:rsidRPr="000A08E3">
          <w:rPr>
            <w:rFonts w:ascii="宋体" w:eastAsia="宋体" w:hAnsi="宋体"/>
            <w:noProof/>
          </w:rPr>
          <w:fldChar w:fldCharType="separate"/>
        </w:r>
        <w:r w:rsidR="00A052F3">
          <w:rPr>
            <w:rFonts w:ascii="宋体" w:eastAsia="宋体" w:hAnsi="宋体"/>
            <w:noProof/>
          </w:rPr>
          <w:t>2</w:t>
        </w:r>
        <w:r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05" w:history="1">
        <w:r w:rsidR="000A08E3" w:rsidRPr="000A08E3">
          <w:rPr>
            <w:rStyle w:val="a5"/>
            <w:rFonts w:ascii="宋体" w:eastAsia="宋体" w:hAnsi="宋体" w:hint="eastAsia"/>
            <w:noProof/>
            <w:u w:val="none"/>
          </w:rPr>
          <w:t>第一部分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绪言</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_Toc26382905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5</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06" w:history="1">
        <w:r w:rsidR="000A08E3" w:rsidRPr="000A08E3">
          <w:rPr>
            <w:rStyle w:val="a5"/>
            <w:rFonts w:ascii="宋体" w:eastAsia="宋体" w:hAnsi="宋体" w:hint="eastAsia"/>
            <w:noProof/>
            <w:u w:val="none"/>
          </w:rPr>
          <w:t>第二部分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释义</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_Toc26382906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6</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07" w:history="1">
        <w:r w:rsidR="000A08E3" w:rsidRPr="000A08E3">
          <w:rPr>
            <w:rStyle w:val="a5"/>
            <w:rFonts w:ascii="宋体" w:eastAsia="宋体" w:hAnsi="宋体" w:hint="eastAsia"/>
            <w:noProof/>
            <w:u w:val="none"/>
          </w:rPr>
          <w:t>第三部分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基金管理人</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_Toc26382907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10</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08" w:history="1">
        <w:r w:rsidR="000A08E3" w:rsidRPr="000A08E3">
          <w:rPr>
            <w:rStyle w:val="a5"/>
            <w:rFonts w:ascii="宋体" w:eastAsia="宋体" w:hAnsi="宋体" w:hint="eastAsia"/>
            <w:noProof/>
            <w:u w:val="none"/>
          </w:rPr>
          <w:t>第四部分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基金托管人</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_Toc26382908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25</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09" w:history="1">
        <w:r w:rsidR="000A08E3" w:rsidRPr="000A08E3">
          <w:rPr>
            <w:rStyle w:val="a5"/>
            <w:rFonts w:ascii="宋体" w:eastAsia="宋体" w:hAnsi="宋体" w:hint="eastAsia"/>
            <w:noProof/>
            <w:u w:val="none"/>
          </w:rPr>
          <w:t>第五部分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相关服务机构</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_Toc26382909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30</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0" w:history="1">
        <w:r w:rsidR="000A08E3" w:rsidRPr="000A08E3">
          <w:rPr>
            <w:rStyle w:val="a5"/>
            <w:rFonts w:ascii="宋体" w:eastAsia="宋体" w:hAnsi="宋体" w:hint="eastAsia"/>
            <w:noProof/>
            <w:u w:val="none"/>
          </w:rPr>
          <w:t>第六部分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基金的募集</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_Toc26382910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60</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1" w:history="1">
        <w:r w:rsidR="000A08E3" w:rsidRPr="000A08E3">
          <w:rPr>
            <w:rStyle w:val="a5"/>
            <w:rFonts w:ascii="宋体" w:eastAsia="宋体" w:hAnsi="宋体" w:hint="eastAsia"/>
            <w:noProof/>
            <w:u w:val="none"/>
          </w:rPr>
          <w:t>第七部分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基金合同的生效</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_Toc26382911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61</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2" w:history="1">
        <w:r w:rsidR="000A08E3" w:rsidRPr="000A08E3">
          <w:rPr>
            <w:rStyle w:val="a5"/>
            <w:rFonts w:ascii="宋体" w:eastAsia="宋体" w:hAnsi="宋体" w:hint="eastAsia"/>
            <w:noProof/>
            <w:u w:val="none"/>
          </w:rPr>
          <w:t>第八部分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基金份额的申购与赎回</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_Toc26382912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62</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3" w:history="1">
        <w:r w:rsidR="000A08E3" w:rsidRPr="000A08E3">
          <w:rPr>
            <w:rStyle w:val="a5"/>
            <w:rFonts w:ascii="宋体" w:eastAsia="宋体" w:hAnsi="宋体" w:hint="eastAsia"/>
            <w:noProof/>
            <w:u w:val="none"/>
          </w:rPr>
          <w:t>第九部分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基金的投资</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_Toc26382913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72</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4" w:history="1">
        <w:r w:rsidR="000A08E3" w:rsidRPr="000A08E3">
          <w:rPr>
            <w:rStyle w:val="a5"/>
            <w:rFonts w:ascii="宋体" w:eastAsia="宋体" w:hAnsi="宋体" w:hint="eastAsia"/>
            <w:noProof/>
            <w:u w:val="none"/>
          </w:rPr>
          <w:t>第十部分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基金的业绩</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_Toc26382914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82</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5" w:history="1">
        <w:r w:rsidR="000A08E3" w:rsidRPr="000A08E3">
          <w:rPr>
            <w:rStyle w:val="a5"/>
            <w:rFonts w:ascii="宋体" w:eastAsia="宋体" w:hAnsi="宋体" w:hint="eastAsia"/>
            <w:noProof/>
            <w:u w:val="none"/>
          </w:rPr>
          <w:t>第十一部分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基金的财产</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_Toc26382915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83</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6" w:history="1">
        <w:r w:rsidR="000A08E3" w:rsidRPr="000A08E3">
          <w:rPr>
            <w:rStyle w:val="a5"/>
            <w:rFonts w:ascii="宋体" w:eastAsia="宋体" w:hAnsi="宋体" w:hint="eastAsia"/>
            <w:noProof/>
            <w:u w:val="none"/>
          </w:rPr>
          <w:t>第十二部分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基金资产的估值</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_Toc26382916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84</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7" w:history="1">
        <w:r w:rsidR="000A08E3" w:rsidRPr="000A08E3">
          <w:rPr>
            <w:rStyle w:val="a5"/>
            <w:rFonts w:ascii="宋体" w:eastAsia="宋体" w:hAnsi="宋体" w:hint="eastAsia"/>
            <w:noProof/>
            <w:u w:val="none"/>
          </w:rPr>
          <w:t>第十三部分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基金的收益与分配</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_Toc26382917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89</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8" w:history="1">
        <w:r w:rsidR="000A08E3" w:rsidRPr="000A08E3">
          <w:rPr>
            <w:rStyle w:val="a5"/>
            <w:rFonts w:ascii="宋体" w:eastAsia="宋体" w:hAnsi="宋体" w:hint="eastAsia"/>
            <w:noProof/>
            <w:u w:val="none"/>
          </w:rPr>
          <w:t>第十四部分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基金费用与税收</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_Toc26382918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91</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19" w:history="1">
        <w:r w:rsidR="000A08E3" w:rsidRPr="000A08E3">
          <w:rPr>
            <w:rStyle w:val="a5"/>
            <w:rFonts w:ascii="宋体" w:eastAsia="宋体" w:hAnsi="宋体" w:hint="eastAsia"/>
            <w:noProof/>
            <w:u w:val="none"/>
          </w:rPr>
          <w:t>第十五部分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基金的会计与审计</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_Toc26382919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94</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0" w:history="1">
        <w:r w:rsidR="000A08E3" w:rsidRPr="000A08E3">
          <w:rPr>
            <w:rStyle w:val="a5"/>
            <w:rFonts w:ascii="宋体" w:eastAsia="宋体" w:hAnsi="宋体" w:hint="eastAsia"/>
            <w:noProof/>
            <w:u w:val="none"/>
          </w:rPr>
          <w:t>第十六部分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基金的信息披露</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_Toc26382920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95</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1" w:history="1">
        <w:r w:rsidR="000A08E3" w:rsidRPr="000A08E3">
          <w:rPr>
            <w:rStyle w:val="a5"/>
            <w:rFonts w:ascii="宋体" w:eastAsia="宋体" w:hAnsi="宋体" w:hint="eastAsia"/>
            <w:noProof/>
            <w:u w:val="none"/>
          </w:rPr>
          <w:t>第十七部分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风险揭示</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_Toc26382921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101</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2" w:history="1">
        <w:r w:rsidR="000A08E3" w:rsidRPr="000A08E3">
          <w:rPr>
            <w:rStyle w:val="a5"/>
            <w:rFonts w:ascii="宋体" w:eastAsia="宋体" w:hAnsi="宋体" w:hint="eastAsia"/>
            <w:noProof/>
            <w:u w:val="none"/>
          </w:rPr>
          <w:t>第十八部分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基金合同的变更、终止与基金财产的清算</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_Toc26382922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105</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3" w:history="1">
        <w:r w:rsidR="000A08E3" w:rsidRPr="000A08E3">
          <w:rPr>
            <w:rStyle w:val="a5"/>
            <w:rFonts w:ascii="宋体" w:eastAsia="宋体" w:hAnsi="宋体" w:hint="eastAsia"/>
            <w:noProof/>
            <w:u w:val="none"/>
          </w:rPr>
          <w:t>第十九部分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基金合同的内容摘要</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_Toc26382923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107</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4" w:history="1">
        <w:r w:rsidR="000A08E3" w:rsidRPr="000A08E3">
          <w:rPr>
            <w:rStyle w:val="a5"/>
            <w:rFonts w:ascii="宋体" w:eastAsia="宋体" w:hAnsi="宋体" w:hint="eastAsia"/>
            <w:noProof/>
            <w:u w:val="none"/>
          </w:rPr>
          <w:t>第二十部分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基金托管协议的内容摘要</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_Toc26382924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122</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5" w:history="1">
        <w:r w:rsidR="000A08E3" w:rsidRPr="000A08E3">
          <w:rPr>
            <w:rStyle w:val="a5"/>
            <w:rFonts w:ascii="宋体" w:eastAsia="宋体" w:hAnsi="宋体" w:hint="eastAsia"/>
            <w:noProof/>
            <w:u w:val="none"/>
          </w:rPr>
          <w:t>第二十一部分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对基金份额持有人的服务</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_Toc26382925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139</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6" w:history="1">
        <w:r w:rsidR="000A08E3" w:rsidRPr="000A08E3">
          <w:rPr>
            <w:rStyle w:val="a5"/>
            <w:rFonts w:ascii="宋体" w:eastAsia="宋体" w:hAnsi="宋体" w:hint="eastAsia"/>
            <w:noProof/>
            <w:u w:val="none"/>
          </w:rPr>
          <w:t>第二十二部分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其他应披露的事项</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_Toc26382926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141</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7" w:history="1">
        <w:r w:rsidR="000A08E3" w:rsidRPr="000A08E3">
          <w:rPr>
            <w:rStyle w:val="a5"/>
            <w:rFonts w:ascii="宋体" w:eastAsia="宋体" w:hAnsi="宋体" w:hint="eastAsia"/>
            <w:noProof/>
            <w:u w:val="none"/>
          </w:rPr>
          <w:t>第二十三部分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招募说明书存放及查阅方式</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_Toc26382927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142</w:t>
        </w:r>
        <w:r w:rsidR="000A08E3" w:rsidRPr="000A08E3">
          <w:rPr>
            <w:rFonts w:ascii="宋体" w:eastAsia="宋体" w:hAnsi="宋体"/>
            <w:noProof/>
          </w:rPr>
          <w:fldChar w:fldCharType="end"/>
        </w:r>
      </w:hyperlink>
    </w:p>
    <w:p w:rsidR="000A08E3" w:rsidRPr="000A08E3" w:rsidRDefault="00B76701" w:rsidP="000A08E3">
      <w:pPr>
        <w:pStyle w:val="20"/>
        <w:tabs>
          <w:tab w:val="right" w:leader="dot" w:pos="8290"/>
        </w:tabs>
        <w:spacing w:line="360" w:lineRule="auto"/>
        <w:rPr>
          <w:rFonts w:ascii="宋体" w:eastAsia="宋体" w:hAnsi="宋体"/>
          <w:noProof/>
        </w:rPr>
      </w:pPr>
      <w:hyperlink w:anchor="_Toc26382928" w:history="1">
        <w:r w:rsidR="000A08E3" w:rsidRPr="000A08E3">
          <w:rPr>
            <w:rStyle w:val="a5"/>
            <w:rFonts w:ascii="宋体" w:eastAsia="宋体" w:hAnsi="宋体" w:hint="eastAsia"/>
            <w:noProof/>
            <w:u w:val="none"/>
          </w:rPr>
          <w:t>第二十四部分</w:t>
        </w:r>
        <w:r w:rsidR="000A08E3" w:rsidRPr="000A08E3">
          <w:rPr>
            <w:rStyle w:val="a5"/>
            <w:rFonts w:ascii="宋体" w:eastAsia="宋体" w:hAnsi="宋体"/>
            <w:noProof/>
            <w:u w:val="none"/>
          </w:rPr>
          <w:t xml:space="preserve">  </w:t>
        </w:r>
        <w:r w:rsidR="000A08E3" w:rsidRPr="000A08E3">
          <w:rPr>
            <w:rStyle w:val="a5"/>
            <w:rFonts w:ascii="宋体" w:eastAsia="宋体" w:hAnsi="宋体" w:hint="eastAsia"/>
            <w:noProof/>
            <w:u w:val="none"/>
          </w:rPr>
          <w:t>备查文件</w:t>
        </w:r>
        <w:r w:rsidR="000A08E3" w:rsidRPr="000A08E3">
          <w:rPr>
            <w:rFonts w:ascii="宋体" w:eastAsia="宋体" w:hAnsi="宋体"/>
            <w:noProof/>
          </w:rPr>
          <w:tab/>
        </w:r>
        <w:r w:rsidR="000A08E3" w:rsidRPr="000A08E3">
          <w:rPr>
            <w:rFonts w:ascii="宋体" w:eastAsia="宋体" w:hAnsi="宋体"/>
            <w:noProof/>
          </w:rPr>
          <w:fldChar w:fldCharType="begin"/>
        </w:r>
        <w:r w:rsidR="000A08E3" w:rsidRPr="000A08E3">
          <w:rPr>
            <w:rFonts w:ascii="宋体" w:eastAsia="宋体" w:hAnsi="宋体"/>
            <w:noProof/>
          </w:rPr>
          <w:instrText xml:space="preserve"> PAGEREF _Toc26382928 \h </w:instrText>
        </w:r>
        <w:r w:rsidR="000A08E3" w:rsidRPr="000A08E3">
          <w:rPr>
            <w:rFonts w:ascii="宋体" w:eastAsia="宋体" w:hAnsi="宋体"/>
            <w:noProof/>
          </w:rPr>
        </w:r>
        <w:r w:rsidR="000A08E3" w:rsidRPr="000A08E3">
          <w:rPr>
            <w:rFonts w:ascii="宋体" w:eastAsia="宋体" w:hAnsi="宋体"/>
            <w:noProof/>
          </w:rPr>
          <w:fldChar w:fldCharType="separate"/>
        </w:r>
        <w:r w:rsidR="00A052F3">
          <w:rPr>
            <w:rFonts w:ascii="宋体" w:eastAsia="宋体" w:hAnsi="宋体"/>
            <w:noProof/>
          </w:rPr>
          <w:t>143</w:t>
        </w:r>
        <w:r w:rsidR="000A08E3" w:rsidRPr="000A08E3">
          <w:rPr>
            <w:rFonts w:ascii="宋体" w:eastAsia="宋体" w:hAnsi="宋体"/>
            <w:noProof/>
          </w:rPr>
          <w:fldChar w:fldCharType="end"/>
        </w:r>
      </w:hyperlink>
    </w:p>
    <w:p w:rsidR="000A08E3" w:rsidRPr="000A08E3" w:rsidRDefault="000A08E3" w:rsidP="000A08E3">
      <w:pPr>
        <w:widowControl/>
        <w:spacing w:line="360" w:lineRule="auto"/>
        <w:ind w:leftChars="-1" w:left="-2"/>
        <w:jc w:val="center"/>
        <w:rPr>
          <w:rFonts w:ascii="宋体" w:eastAsia="宋体" w:hAnsi="宋体"/>
          <w:b/>
          <w:sz w:val="28"/>
        </w:rPr>
      </w:pPr>
      <w:r w:rsidRPr="000A08E3">
        <w:rPr>
          <w:rFonts w:ascii="宋体" w:eastAsia="宋体" w:hAnsi="宋体"/>
        </w:rPr>
        <w:fldChar w:fldCharType="end"/>
      </w:r>
    </w:p>
    <w:p w:rsidR="000A08E3" w:rsidRPr="000A08E3" w:rsidRDefault="000A08E3">
      <w:pPr>
        <w:widowControl/>
        <w:jc w:val="left"/>
        <w:rPr>
          <w:rFonts w:ascii="宋体" w:eastAsia="宋体" w:hAnsi="宋体"/>
        </w:rPr>
      </w:pPr>
      <w:r w:rsidRPr="000A08E3">
        <w:rPr>
          <w:rFonts w:ascii="宋体" w:eastAsia="宋体" w:hAnsi="宋体"/>
        </w:rPr>
        <w:br w:type="page"/>
      </w:r>
    </w:p>
    <w:p w:rsidR="004D342B" w:rsidRPr="000A08E3" w:rsidRDefault="000A08E3" w:rsidP="000A08E3">
      <w:pPr>
        <w:pStyle w:val="2"/>
        <w:jc w:val="center"/>
        <w:rPr>
          <w:rFonts w:ascii="宋体" w:eastAsia="宋体" w:hAnsi="宋体"/>
          <w:sz w:val="30"/>
        </w:rPr>
      </w:pPr>
      <w:bookmarkStart w:id="5" w:name="chapter_level1_3_2344"/>
      <w:bookmarkStart w:id="6" w:name="_Toc26382905"/>
      <w:r w:rsidRPr="000A08E3">
        <w:rPr>
          <w:rFonts w:ascii="宋体" w:eastAsia="宋体" w:hAnsi="宋体" w:hint="eastAsia"/>
          <w:sz w:val="30"/>
        </w:rPr>
        <w:lastRenderedPageBreak/>
        <w:t>第一部分  绪言</w:t>
      </w:r>
      <w:bookmarkEnd w:id="5"/>
      <w:bookmarkEnd w:id="6"/>
    </w:p>
    <w:p w:rsidR="000A08E3" w:rsidRPr="000A08E3" w:rsidRDefault="000A08E3">
      <w:pPr>
        <w:pStyle w:val="a3"/>
        <w:spacing w:before="0" w:beforeAutospacing="0" w:after="0" w:afterAutospacing="0" w:line="360" w:lineRule="auto"/>
        <w:ind w:firstLine="420"/>
        <w:divId w:val="1925912766"/>
        <w:rPr>
          <w:sz w:val="21"/>
          <w:szCs w:val="21"/>
        </w:rPr>
      </w:pPr>
      <w:bookmarkStart w:id="7" w:name="chapter_level1_3_2344_section_1"/>
      <w:bookmarkEnd w:id="7"/>
      <w:r w:rsidRPr="000A08E3">
        <w:rPr>
          <w:rFonts w:hint="eastAsia"/>
          <w:sz w:val="21"/>
          <w:szCs w:val="21"/>
        </w:rPr>
        <w:t>《</w:t>
      </w:r>
      <w:bookmarkStart w:id="8" w:name="field_49_productfullname_1"/>
      <w:r w:rsidR="00284027">
        <w:rPr>
          <w:rFonts w:hint="eastAsia"/>
          <w:sz w:val="21"/>
          <w:szCs w:val="21"/>
        </w:rPr>
        <w:t>博时上证</w:t>
      </w:r>
      <w:r w:rsidR="00284027">
        <w:rPr>
          <w:sz w:val="21"/>
          <w:szCs w:val="21"/>
        </w:rPr>
        <w:t>50交易型开放式指数证券投资基金联接基金</w:t>
      </w:r>
      <w:bookmarkEnd w:id="8"/>
      <w:r w:rsidRPr="000A08E3">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4F1DC3" w:rsidRPr="004F1DC3">
        <w:rPr>
          <w:rFonts w:hint="eastAsia"/>
          <w:sz w:val="21"/>
          <w:szCs w:val="21"/>
        </w:rPr>
        <w:t>公募募集</w:t>
      </w:r>
      <w:r w:rsidRPr="000A08E3">
        <w:rPr>
          <w:rFonts w:hint="eastAsia"/>
          <w:sz w:val="21"/>
          <w:szCs w:val="21"/>
        </w:rPr>
        <w:t>证券投资基金信息披露管理办法》（以下简称“《信息披露办法》”）)</w:t>
      </w:r>
      <w:r w:rsidR="00284027">
        <w:rPr>
          <w:sz w:val="21"/>
          <w:szCs w:val="21"/>
        </w:rPr>
        <w:t xml:space="preserve"> </w:t>
      </w:r>
      <w:r w:rsidRPr="000A08E3">
        <w:rPr>
          <w:rFonts w:hint="eastAsia"/>
          <w:sz w:val="21"/>
          <w:szCs w:val="21"/>
        </w:rPr>
        <w:t>、《公开募集开放式证券投资基金流动性风险管理规定》（以下简称“《流动性风险管理规定》”）以及《</w:t>
      </w:r>
      <w:bookmarkStart w:id="9" w:name="field_49_productfullname_2"/>
      <w:r w:rsidR="00284027">
        <w:rPr>
          <w:rFonts w:hint="eastAsia"/>
          <w:sz w:val="21"/>
          <w:szCs w:val="21"/>
        </w:rPr>
        <w:t>博时上证</w:t>
      </w:r>
      <w:r w:rsidR="00284027">
        <w:rPr>
          <w:sz w:val="21"/>
          <w:szCs w:val="21"/>
        </w:rPr>
        <w:t>50交易型开放式指数证券投资基金联接基金</w:t>
      </w:r>
      <w:bookmarkEnd w:id="9"/>
      <w:r w:rsidRPr="000A08E3">
        <w:rPr>
          <w:rFonts w:hint="eastAsia"/>
          <w:sz w:val="21"/>
          <w:szCs w:val="21"/>
        </w:rPr>
        <w:t xml:space="preserve">基金合同》（以下简称“基金合同”）编写。 </w:t>
      </w:r>
    </w:p>
    <w:p w:rsidR="000A08E3" w:rsidRPr="000A08E3" w:rsidRDefault="000A08E3">
      <w:pPr>
        <w:pStyle w:val="a3"/>
        <w:spacing w:before="0" w:beforeAutospacing="0" w:after="0" w:afterAutospacing="0" w:line="360" w:lineRule="auto"/>
        <w:ind w:firstLine="420"/>
        <w:divId w:val="1925912766"/>
        <w:rPr>
          <w:sz w:val="21"/>
          <w:szCs w:val="21"/>
        </w:rPr>
      </w:pPr>
      <w:r w:rsidRPr="000A08E3">
        <w:rPr>
          <w:rFonts w:hint="eastAsia"/>
          <w:sz w:val="21"/>
          <w:szCs w:val="21"/>
        </w:rPr>
        <w:t xml:space="preserve">基金管理人承诺本招募说明书不存在任何虚假记载、误导性陈述或重大遗漏，并对其真实性、准确性、完整性承担法律责任。 </w:t>
      </w:r>
    </w:p>
    <w:p w:rsidR="000A08E3" w:rsidRPr="000A08E3" w:rsidRDefault="00284027">
      <w:pPr>
        <w:pStyle w:val="a3"/>
        <w:spacing w:before="0" w:beforeAutospacing="0" w:after="0" w:afterAutospacing="0" w:line="360" w:lineRule="auto"/>
        <w:ind w:firstLine="420"/>
        <w:divId w:val="1925912766"/>
        <w:rPr>
          <w:sz w:val="21"/>
          <w:szCs w:val="21"/>
        </w:rPr>
      </w:pPr>
      <w:bookmarkStart w:id="10" w:name="field_49_productfullname_3"/>
      <w:r>
        <w:rPr>
          <w:rFonts w:hint="eastAsia"/>
          <w:sz w:val="21"/>
          <w:szCs w:val="21"/>
        </w:rPr>
        <w:t>博时上证</w:t>
      </w:r>
      <w:r>
        <w:rPr>
          <w:sz w:val="21"/>
          <w:szCs w:val="21"/>
        </w:rPr>
        <w:t>50交易型开放式指数证券投资基金联接基金</w:t>
      </w:r>
      <w:bookmarkEnd w:id="10"/>
      <w:r w:rsidR="000A08E3" w:rsidRPr="000A08E3">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0A08E3" w:rsidRPr="000A08E3" w:rsidRDefault="000A08E3">
      <w:pPr>
        <w:pStyle w:val="a3"/>
        <w:spacing w:before="0" w:beforeAutospacing="0" w:after="0" w:afterAutospacing="0" w:line="360" w:lineRule="auto"/>
        <w:ind w:firstLine="420"/>
        <w:divId w:val="1925912766"/>
        <w:rPr>
          <w:sz w:val="21"/>
          <w:szCs w:val="21"/>
        </w:rPr>
      </w:pPr>
      <w:r w:rsidRPr="000A08E3">
        <w:rPr>
          <w:rFonts w:hint="eastAsia"/>
          <w:sz w:val="21"/>
          <w:szCs w:val="21"/>
        </w:rPr>
        <w:t>本招募说明书根据本基金的基金合同编写，并经中国证券监督管理委员会（以下简称“中国证监会”）注册。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1" w:name="chapter_level1_3_2344_section_1_end"/>
      <w:bookmarkEnd w:id="11"/>
      <w:r w:rsidRPr="000A08E3">
        <w:rPr>
          <w:rFonts w:hint="eastAsia"/>
          <w:sz w:val="21"/>
          <w:szCs w:val="21"/>
        </w:rPr>
        <w:t xml:space="preserve">金合同。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2" w:name="chapter_level1_4_49"/>
      <w:bookmarkStart w:id="13" w:name="_Toc26382906"/>
      <w:r w:rsidRPr="000A08E3">
        <w:rPr>
          <w:rFonts w:ascii="宋体" w:eastAsia="宋体" w:hAnsi="宋体" w:hint="eastAsia"/>
          <w:sz w:val="30"/>
        </w:rPr>
        <w:lastRenderedPageBreak/>
        <w:t>第二部分  释义</w:t>
      </w:r>
      <w:bookmarkEnd w:id="12"/>
      <w:bookmarkEnd w:id="13"/>
    </w:p>
    <w:p w:rsidR="000A08E3" w:rsidRPr="000A08E3" w:rsidRDefault="000A08E3">
      <w:pPr>
        <w:pStyle w:val="a3"/>
        <w:spacing w:before="0" w:beforeAutospacing="0" w:after="0" w:afterAutospacing="0" w:line="360" w:lineRule="auto"/>
        <w:ind w:firstLine="420"/>
        <w:divId w:val="1501039691"/>
        <w:rPr>
          <w:sz w:val="21"/>
          <w:szCs w:val="21"/>
        </w:rPr>
      </w:pPr>
      <w:bookmarkStart w:id="14" w:name="chapter_level1_4_49_section_1"/>
      <w:bookmarkEnd w:id="14"/>
      <w:r w:rsidRPr="000A08E3">
        <w:rPr>
          <w:rFonts w:hint="eastAsia"/>
          <w:sz w:val="21"/>
          <w:szCs w:val="21"/>
        </w:rPr>
        <w:t xml:space="preserve">在本招募说明书中，除非文意另有所指，下列词语或简称具有如下含义：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1、基金或本基金：指</w:t>
      </w:r>
      <w:bookmarkStart w:id="15" w:name="field_49_productfullname_4"/>
      <w:r w:rsidR="00284027">
        <w:rPr>
          <w:rFonts w:hint="eastAsia"/>
          <w:sz w:val="21"/>
          <w:szCs w:val="21"/>
        </w:rPr>
        <w:t>博时上证</w:t>
      </w:r>
      <w:r w:rsidR="00284027">
        <w:rPr>
          <w:sz w:val="21"/>
          <w:szCs w:val="21"/>
        </w:rPr>
        <w:t>50交易型开放式指数证券投资基金联接基金</w:t>
      </w:r>
      <w:bookmarkEnd w:id="15"/>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2、基金管理人：指</w:t>
      </w:r>
      <w:bookmarkStart w:id="16" w:name="field_49_managerorgfullname_1"/>
      <w:r w:rsidR="00284027">
        <w:rPr>
          <w:rFonts w:hint="eastAsia"/>
          <w:sz w:val="21"/>
          <w:szCs w:val="21"/>
        </w:rPr>
        <w:t>博时基金管理有限公司</w:t>
      </w:r>
      <w:bookmarkEnd w:id="16"/>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3、基金托管人：指</w:t>
      </w:r>
      <w:bookmarkStart w:id="17" w:name="field_49_trustorgfullname_1"/>
      <w:r w:rsidR="00284027">
        <w:rPr>
          <w:rFonts w:hint="eastAsia"/>
          <w:sz w:val="21"/>
          <w:szCs w:val="21"/>
        </w:rPr>
        <w:t>招商银行股份有限公司</w:t>
      </w:r>
      <w:bookmarkEnd w:id="17"/>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4、基金合同：指《</w:t>
      </w:r>
      <w:bookmarkStart w:id="18" w:name="field_49_productfullname_5"/>
      <w:r w:rsidR="00284027">
        <w:rPr>
          <w:rFonts w:hint="eastAsia"/>
          <w:sz w:val="21"/>
          <w:szCs w:val="21"/>
        </w:rPr>
        <w:t>博时上证</w:t>
      </w:r>
      <w:r w:rsidR="00284027">
        <w:rPr>
          <w:sz w:val="21"/>
          <w:szCs w:val="21"/>
        </w:rPr>
        <w:t>50交易型开放式指数证券投资基金联接基金</w:t>
      </w:r>
      <w:bookmarkEnd w:id="18"/>
      <w:r w:rsidRPr="000A08E3">
        <w:rPr>
          <w:rFonts w:hint="eastAsia"/>
          <w:sz w:val="21"/>
          <w:szCs w:val="21"/>
        </w:rPr>
        <w:t xml:space="preserve">基金合同》及对基金合同的任何有效修订和补充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5、托管协议：指基金管理人与基金托管人就本基金签订之《</w:t>
      </w:r>
      <w:bookmarkStart w:id="19" w:name="field_49_productfullname_6"/>
      <w:r w:rsidR="00284027">
        <w:rPr>
          <w:rFonts w:hint="eastAsia"/>
          <w:sz w:val="21"/>
          <w:szCs w:val="21"/>
        </w:rPr>
        <w:t>博时上证</w:t>
      </w:r>
      <w:r w:rsidR="00284027">
        <w:rPr>
          <w:sz w:val="21"/>
          <w:szCs w:val="21"/>
        </w:rPr>
        <w:t>50交易型开放式指数证券投资基金联接基金</w:t>
      </w:r>
      <w:bookmarkEnd w:id="19"/>
      <w:r w:rsidRPr="000A08E3">
        <w:rPr>
          <w:rFonts w:hint="eastAsia"/>
          <w:sz w:val="21"/>
          <w:szCs w:val="21"/>
        </w:rPr>
        <w:t xml:space="preserve">托管协议》及对该托管协议的任何有效修订和补充 </w:t>
      </w:r>
    </w:p>
    <w:p w:rsidR="000A08E3" w:rsidRPr="000A08E3" w:rsidRDefault="000A08E3">
      <w:pPr>
        <w:pStyle w:val="a3"/>
        <w:spacing w:before="0" w:beforeAutospacing="0" w:after="0" w:afterAutospacing="0" w:line="360" w:lineRule="auto"/>
        <w:ind w:firstLine="420"/>
        <w:divId w:val="1501039691"/>
        <w:rPr>
          <w:sz w:val="21"/>
          <w:szCs w:val="21"/>
        </w:rPr>
      </w:pPr>
      <w:r w:rsidRPr="000A08E3">
        <w:rPr>
          <w:rFonts w:hint="eastAsia"/>
          <w:sz w:val="21"/>
          <w:szCs w:val="21"/>
        </w:rPr>
        <w:t>6、招募说明书或本招募说明书：指《</w:t>
      </w:r>
      <w:bookmarkStart w:id="20" w:name="field_49_productfullname_7"/>
      <w:r w:rsidR="00284027">
        <w:rPr>
          <w:rFonts w:hint="eastAsia"/>
          <w:sz w:val="21"/>
          <w:szCs w:val="21"/>
        </w:rPr>
        <w:t>博时上证</w:t>
      </w:r>
      <w:r w:rsidR="00284027">
        <w:rPr>
          <w:sz w:val="21"/>
          <w:szCs w:val="21"/>
        </w:rPr>
        <w:t>50交易型开放式指数证券投资基金联接基金</w:t>
      </w:r>
      <w:bookmarkEnd w:id="20"/>
      <w:r w:rsidRPr="000A08E3">
        <w:rPr>
          <w:rFonts w:hint="eastAsia"/>
          <w:sz w:val="21"/>
          <w:szCs w:val="21"/>
        </w:rPr>
        <w:t xml:space="preserve">招募说明书》及其更新 </w:t>
      </w:r>
    </w:p>
    <w:p w:rsidR="005F7B8F" w:rsidRPr="005F7B8F" w:rsidRDefault="005F7B8F" w:rsidP="005B6222">
      <w:pPr>
        <w:pStyle w:val="a3"/>
        <w:spacing w:before="0" w:beforeAutospacing="0" w:after="0" w:afterAutospacing="0" w:line="360" w:lineRule="auto"/>
        <w:ind w:firstLine="420"/>
        <w:divId w:val="1688216028"/>
        <w:rPr>
          <w:sz w:val="21"/>
          <w:szCs w:val="21"/>
        </w:rPr>
      </w:pPr>
      <w:bookmarkStart w:id="21" w:name="chapter_level1_4_49_section_1_end"/>
      <w:bookmarkStart w:id="22" w:name="chapter_level1_4_49_section_2"/>
      <w:bookmarkEnd w:id="21"/>
      <w:bookmarkEnd w:id="22"/>
      <w:r w:rsidRPr="005F7B8F">
        <w:rPr>
          <w:rFonts w:hint="eastAsia"/>
          <w:sz w:val="21"/>
          <w:szCs w:val="21"/>
        </w:rPr>
        <w:t>7、基金产品资料概要：指《博时上证50交易型开放式指数证券投资基金联接基金基金产品资料概要》及其更新</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8、基金份额发售公告：指《博时上证50交易型开放式指数证券投资基金联接基金基金份额发售公告》</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9、法律法规：指中国现行有效并公布实施的法律、行政法规、规范性文件、司法解释、行政规章以及其他对基金合同当事人有约束力的决定、决议、通知等</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10、《基金法》：指《中华人民共和国证券投资基金法》及颁布机关对其不时做出的修订</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11、《销售办法》：指《证券投资基金销售管理办法》及颁布机关对其不时做出的修订</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12、《信息披露办法》：指中国证监会2019年7月26日颁布、同年9月1日实施的《公开募集证券投资基金信息披露管理办法》及颁布机关对其不时做出的修订</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13、《运作办法》：指《公开募集证券投资基金运作管理办法》及颁布机关对其不时做出的修订</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14、《流动性风险管理规定》：指中国证监会2017年8月31日颁布、同年10月1日实施的《公开募集开放式证券投资基金流动性风险管理规定》及颁布机关对其不时做出的修订</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15、中国证监会：指中国证券监督管理委员会</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16、银行业监督管理机构：指中国人民银行和/或中国银行业监督管理委员会</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lastRenderedPageBreak/>
        <w:t>17、基金合同当事人：指受基金合同约束，根据基金合同享有权利并承担义务的法律主体，包括基金管理人、基金托管人和基金份额持有人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18、个人投资者：指依据有关法律法规规定可投资于证券投资基金的自然人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19、机构投资者：指依法可以投资证券投资基金的、在中华人民共和国境内合法登记并存续或经有关政府部门批准设立并存续的企业法人、事业法人、社会团体或其他组织</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20、合格境外机构投资者：指符合《合格境外机构投资者境内证券投资管理办法》及相关法律法规规定可以投资于在中国境内依法募集的证券投资基金的中国境外的机构投资者</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21、人民币合格境外机构投资者：指按照《人民币合格境外机构投资者境内证券投资试点办法》（包括其不时修订）及相关法律法规规定，运用来自境外的人民币资金进行境内证券投资的境外法人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22、投资人：指个人投资者、机构投资者、合格境外机构投资者、人民币合格境外机构投资者以及法律法规或中国证监会允许购买证券投资基金的其他投资人的合称</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23、基金份额持有人：指依基金合同和招募说明书合法取得基金份额的投资人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24、基金销售业务：指基金管理人或销售机构宣传推介基金，发售基金份额，办理基金份额的申购、赎回、转换、转托管及定期定额投资等业务</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25、销售机构：指博时基金管理有限公司以及符合《销售办法》和中国证监会规定的其他条件，取得基金销售业务资格并与基金管理人签订了基金销售服务代理协议，代为办理基金销售业务的机构</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26、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27、登记机构：指办理登记业务的机构。基金的登记机构为博时基金管理有限公司或接受博时基金管理有限公司委托代为办理登记业务的机构</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28、基金账户：指登记机构为投资人开立的、记录其持有的、基金管理人所管理的基金份额余额及其变动情况的账户</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29、基金交易账户：指销售机构为投资人开立的、记录投资人通过该销售机构买卖基金的基金份额变动及结余情况的账户</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30、基金合同生效日：指基金募集达到法律法规规定及基金合同规定的条件，基金管理人向中国证监会办理基金备案手续完毕，并获得中国证监会书面确认的日期</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lastRenderedPageBreak/>
        <w:t>31、基金合同终止日：指基金合同规定的基金合同终止事由出现后，基金财产清算完毕，清算结果报中国证监会备案并予以公告的日期</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32、基金募集期：指自基金份额发售之日起至发售结束之日止的期间，最长不得超过三个月</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33、存续期：指基金合同生效至终止之间的不定期期限</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34、工作日：指上海证券交易所、深圳证券交易所的正常交易日</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35、T日：指销售机构在规定时间受理投资人申购、赎回或其他业务申请的开放日</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36、T+n日：指自T日起第n个工作日(不包含T日)</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37、开放日：指为投资人办理基金份额申购、赎回或其他业务的工作日</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38、开放时间：指开放日基金接受申购、赎回或其他交易的时间段</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39、《业务规则》：指《博时基金管理有限公司开放式基金业务规则》，是规范基金管理人所管理的开放式证券投资基金登记方面的业务规则，由基金管理人和投资人共同遵守</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40、认购：指在基金募集期内，投资人根据基金合同和招募说明书的规定申请购买基金份额的行为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41、申购：指基金合同生效后，投资人根据基金合同和招募说明书的规定申请购买基金份额的行为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42、赎回：指基金合同生效后，基金份额持有人按基金合同和招募说明书规定的条件要求将基金份额兑换为现金的行为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43、基金转换：指基金份额持有人按照本基金合同和基金管理人届时有效公告规定的条件，申请将其持有基金管理人管理的、某一基金的基金份额转换为基金管理人管理的其他基金基金份额的行为</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44、转托管：指基金份额持有人在本基金的不同销售机构之间实施的变更所持基金份额销售机构的操作</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45、定期定额投资计划：指投资人通过有关销售机构提出申请，约定每期申购日、扣款金额及扣款方式，由销售机构于每期约定扣款日在投资人指定银行账户内自动完成扣款及受理基金申购申请的一种投资方式</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46、巨额赎回：指本基金单个开放日，基金净赎回申请(赎回申请份额总数加上基金转换中转出申请份额总数后扣除申购申请份额总数及基金转换中转入申请份额总数后的余额)超过上一开放日基金总份额的10%</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47、元：指人民币元</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lastRenderedPageBreak/>
        <w:t>48、基金利润：指基金利息收入、投资收益、公允价值变动收益和其他收入扣除相关费用后的余额</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49、基金资产总值：指基金拥有的各类有价证券、银行存款本息、基金应收申购款及其他资产的价值总和</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50、基金资产净值：指基金资产总值减去基金负债后的价值</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51、基金份额净值：指计算日基金资产净值除以计算日基金份额总数</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52、基金资产估值：指计算评估基金资产和负债的价值，以确定基金资产净值和基金份额净值的过程</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53、指定媒介：指中国证监会指定的用以进行信息披露的全国性报刊及指定互联网网站（包括基金管理人网站、基金托管人网站、中国证监会基金电子披露网站）等媒介</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54、目标ETF：指另一经中国证监会注册的交易型开放式指数证券投资基金（以下简称“ETF”），该ETF和本基金所跟踪的标的指数相同，并且，该ETF的投资目标和本基金的投资目标类似，本基金主要投资于该ETF以求达到投资目标。本基金选择博时上证50交易型开放式指数证券投资基金（以下简称“博时上证50ETF”）为目标ETF</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55、基金份额的类别：指本基金根据申购费及销售服务费收取方式的不同，将基金份额分为不同的类别</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56、A类基金份额：指在投资者申购时收取前端申购费用，在赎回时根据持有期限收取赎回费用，但不从本类别基金资产中计提销售服务费的基金份额类别</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57、C类基金份额：指在投资者申购时不收取前端申购费用，在赎回时根据持有期限收取赎回费用，且从本类别基金资产中计提销售服务费的基金份额类别</w:t>
      </w:r>
    </w:p>
    <w:p w:rsidR="005F7B8F" w:rsidRPr="005F7B8F" w:rsidRDefault="005F7B8F" w:rsidP="005B6222">
      <w:pPr>
        <w:pStyle w:val="a3"/>
        <w:spacing w:before="0" w:beforeAutospacing="0" w:after="0" w:afterAutospacing="0" w:line="360" w:lineRule="auto"/>
        <w:ind w:firstLine="420"/>
        <w:divId w:val="1688216028"/>
        <w:rPr>
          <w:sz w:val="21"/>
          <w:szCs w:val="21"/>
        </w:rPr>
      </w:pPr>
      <w:r w:rsidRPr="005F7B8F">
        <w:rPr>
          <w:rFonts w:hint="eastAsia"/>
          <w:sz w:val="21"/>
          <w:szCs w:val="21"/>
        </w:rPr>
        <w:t>58、不可抗力：指本基金合同当事人不能预见、不能避免且不能克服的客观事件</w:t>
      </w:r>
    </w:p>
    <w:p w:rsidR="000A08E3" w:rsidRPr="000A08E3" w:rsidRDefault="005F7B8F" w:rsidP="005F7B8F">
      <w:pPr>
        <w:pStyle w:val="a3"/>
        <w:spacing w:before="0" w:beforeAutospacing="0" w:after="0" w:afterAutospacing="0" w:line="360" w:lineRule="auto"/>
        <w:ind w:firstLine="420"/>
        <w:divId w:val="1688216028"/>
        <w:rPr>
          <w:sz w:val="21"/>
          <w:szCs w:val="21"/>
        </w:rPr>
      </w:pPr>
      <w:r w:rsidRPr="005F7B8F">
        <w:rPr>
          <w:rFonts w:hint="eastAsia"/>
          <w:sz w:val="21"/>
          <w:szCs w:val="21"/>
        </w:rPr>
        <w:t>59、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23" w:name="chapter_level1_5_53"/>
      <w:bookmarkStart w:id="24" w:name="_Toc26382907"/>
      <w:r w:rsidRPr="000A08E3">
        <w:rPr>
          <w:rFonts w:ascii="宋体" w:eastAsia="宋体" w:hAnsi="宋体" w:hint="eastAsia"/>
          <w:sz w:val="30"/>
        </w:rPr>
        <w:lastRenderedPageBreak/>
        <w:t>第三部分  基金管理人</w:t>
      </w:r>
      <w:bookmarkEnd w:id="23"/>
      <w:bookmarkEnd w:id="24"/>
    </w:p>
    <w:p w:rsidR="000A08E3" w:rsidRPr="000A08E3" w:rsidRDefault="000A08E3">
      <w:pPr>
        <w:pStyle w:val="a3"/>
        <w:spacing w:before="0" w:beforeAutospacing="0" w:after="0" w:afterAutospacing="0" w:line="360" w:lineRule="auto"/>
        <w:ind w:firstLine="420"/>
        <w:divId w:val="1048839738"/>
        <w:rPr>
          <w:sz w:val="21"/>
          <w:szCs w:val="21"/>
        </w:rPr>
      </w:pPr>
      <w:bookmarkStart w:id="25" w:name="chapter_level1_5_53_section_1"/>
      <w:bookmarkEnd w:id="25"/>
      <w:r w:rsidRPr="000A08E3">
        <w:rPr>
          <w:rStyle w:val="a4"/>
          <w:rFonts w:hint="eastAsia"/>
          <w:sz w:val="21"/>
          <w:szCs w:val="21"/>
        </w:rPr>
        <w:t>一、基金管理人概况</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048839738"/>
        <w:rPr>
          <w:sz w:val="21"/>
          <w:szCs w:val="21"/>
        </w:rPr>
      </w:pPr>
      <w:bookmarkStart w:id="26" w:name="field_0_managercompanyinfo_1_start"/>
      <w:bookmarkEnd w:id="26"/>
      <w:r w:rsidRPr="000A08E3">
        <w:rPr>
          <w:rFonts w:hint="eastAsia"/>
          <w:sz w:val="21"/>
          <w:szCs w:val="21"/>
        </w:rPr>
        <w:t>名称：</w:t>
      </w:r>
      <w:r w:rsidR="00284027">
        <w:rPr>
          <w:sz w:val="21"/>
          <w:szCs w:val="21"/>
        </w:rPr>
        <w:t xml:space="preserve"> </w:t>
      </w:r>
      <w:r w:rsidRPr="000A08E3">
        <w:rPr>
          <w:rFonts w:hint="eastAsia"/>
          <w:sz w:val="21"/>
          <w:szCs w:val="21"/>
        </w:rPr>
        <w:t xml:space="preserve">博时基金管理有限公司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住所：</w:t>
      </w:r>
      <w:r w:rsidR="00284027">
        <w:rPr>
          <w:sz w:val="21"/>
          <w:szCs w:val="21"/>
        </w:rPr>
        <w:t xml:space="preserve"> </w:t>
      </w:r>
      <w:r w:rsidRPr="000A08E3">
        <w:rPr>
          <w:rFonts w:hint="eastAsia"/>
          <w:sz w:val="21"/>
          <w:szCs w:val="21"/>
        </w:rPr>
        <w:t xml:space="preserve">深圳市福田区莲花街道福新社区益田路5999号基金大厦21层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办公地址：</w:t>
      </w:r>
      <w:r w:rsidR="00284027">
        <w:rPr>
          <w:sz w:val="21"/>
          <w:szCs w:val="21"/>
        </w:rPr>
        <w:t xml:space="preserve"> </w:t>
      </w:r>
      <w:r w:rsidRPr="000A08E3">
        <w:rPr>
          <w:rFonts w:hint="eastAsia"/>
          <w:sz w:val="21"/>
          <w:szCs w:val="21"/>
        </w:rPr>
        <w:t xml:space="preserve">广东省深圳市福田区益田路5999号基金大厦21层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法定代表人：张光华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成立时间：</w:t>
      </w:r>
      <w:r w:rsidR="00284027">
        <w:rPr>
          <w:sz w:val="21"/>
          <w:szCs w:val="21"/>
        </w:rPr>
        <w:t xml:space="preserve">  </w:t>
      </w:r>
      <w:r w:rsidRPr="000A08E3">
        <w:rPr>
          <w:rFonts w:hint="eastAsia"/>
          <w:sz w:val="21"/>
          <w:szCs w:val="21"/>
        </w:rPr>
        <w:t xml:space="preserve">1998年7月13日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注册资本：</w:t>
      </w:r>
      <w:r w:rsidR="00284027">
        <w:rPr>
          <w:sz w:val="21"/>
          <w:szCs w:val="21"/>
        </w:rPr>
        <w:t xml:space="preserve">  </w:t>
      </w:r>
      <w:r w:rsidRPr="000A08E3">
        <w:rPr>
          <w:rFonts w:hint="eastAsia"/>
          <w:sz w:val="21"/>
          <w:szCs w:val="21"/>
        </w:rPr>
        <w:t xml:space="preserve">2.5亿元人民币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存续期间：</w:t>
      </w:r>
      <w:r w:rsidR="00284027">
        <w:rPr>
          <w:sz w:val="21"/>
          <w:szCs w:val="21"/>
        </w:rPr>
        <w:t xml:space="preserve"> </w:t>
      </w:r>
      <w:r w:rsidRPr="000A08E3">
        <w:rPr>
          <w:rFonts w:hint="eastAsia"/>
          <w:sz w:val="21"/>
          <w:szCs w:val="21"/>
        </w:rPr>
        <w:t xml:space="preserve">持续经营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联系人：</w:t>
      </w:r>
      <w:r w:rsidR="00284027">
        <w:rPr>
          <w:sz w:val="21"/>
          <w:szCs w:val="21"/>
        </w:rPr>
        <w:t xml:space="preserve">   </w:t>
      </w:r>
      <w:r w:rsidRPr="000A08E3">
        <w:rPr>
          <w:rFonts w:hint="eastAsia"/>
          <w:sz w:val="21"/>
          <w:szCs w:val="21"/>
        </w:rPr>
        <w:t xml:space="preserve">韩强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联系电话：</w:t>
      </w:r>
      <w:r w:rsidR="00284027">
        <w:rPr>
          <w:sz w:val="21"/>
          <w:szCs w:val="21"/>
        </w:rPr>
        <w:t xml:space="preserve"> </w:t>
      </w:r>
      <w:r w:rsidRPr="000A08E3">
        <w:rPr>
          <w:rFonts w:hint="eastAsia"/>
          <w:sz w:val="21"/>
          <w:szCs w:val="21"/>
        </w:rPr>
        <w:t>（0755）8316</w:t>
      </w:r>
      <w:r w:rsidR="00284027">
        <w:rPr>
          <w:sz w:val="21"/>
          <w:szCs w:val="21"/>
        </w:rPr>
        <w:t xml:space="preserve"> </w:t>
      </w:r>
      <w:r w:rsidRPr="000A08E3">
        <w:rPr>
          <w:rFonts w:hint="eastAsia"/>
          <w:sz w:val="21"/>
          <w:szCs w:val="21"/>
        </w:rPr>
        <w:t xml:space="preserve">9999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公司设立了投资决策委员会。投资决策委员会负责指导基金资产的运作、确定基本的投资策略和投资组合的原则。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0A08E3">
        <w:rPr>
          <w:rFonts w:hint="eastAsia"/>
          <w:sz w:val="21"/>
          <w:szCs w:val="21"/>
        </w:rPr>
        <w:lastRenderedPageBreak/>
        <w:t xml:space="preserve">公募基金组、专户组、指数与创新组、国际组和研究组，分别负责各类固定收益资产的研究和投资工作。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0A08E3">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截止到2019年9月30日，公司总人数为593人，其中研究员和基金经理超过90%拥有硕士及以上学位。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27" w:name="field_0_managercompanyinfo_1_end"/>
      <w:bookmarkEnd w:id="27"/>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Style w:val="a4"/>
          <w:rFonts w:hint="eastAsia"/>
          <w:sz w:val="21"/>
          <w:szCs w:val="21"/>
        </w:rPr>
        <w:t>二、主要成员情况</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048839738"/>
        <w:rPr>
          <w:sz w:val="21"/>
          <w:szCs w:val="21"/>
        </w:rPr>
      </w:pPr>
      <w:bookmarkStart w:id="28" w:name="field_0_managerpersoninfo_1_start"/>
      <w:bookmarkEnd w:id="28"/>
      <w:r w:rsidRPr="000A08E3">
        <w:rPr>
          <w:rFonts w:hint="eastAsia"/>
          <w:sz w:val="21"/>
          <w:szCs w:val="21"/>
        </w:rPr>
        <w:t xml:space="preserve">1、基金管理人董事会成员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0A08E3">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苏敏女士,分别于1990</w:t>
      </w:r>
      <w:r w:rsidR="00284027">
        <w:rPr>
          <w:sz w:val="21"/>
          <w:szCs w:val="21"/>
        </w:rPr>
        <w:t xml:space="preserve"> </w:t>
      </w:r>
      <w:r w:rsidRPr="000A08E3">
        <w:rPr>
          <w:rFonts w:hint="eastAsia"/>
          <w:sz w:val="21"/>
          <w:szCs w:val="21"/>
        </w:rPr>
        <w:t>年7</w:t>
      </w:r>
      <w:r w:rsidR="00284027">
        <w:rPr>
          <w:sz w:val="21"/>
          <w:szCs w:val="21"/>
        </w:rPr>
        <w:t xml:space="preserve"> </w:t>
      </w:r>
      <w:r w:rsidRPr="000A08E3">
        <w:rPr>
          <w:rFonts w:hint="eastAsia"/>
          <w:sz w:val="21"/>
          <w:szCs w:val="21"/>
        </w:rPr>
        <w:t>月及2002</w:t>
      </w:r>
      <w:r w:rsidR="00284027">
        <w:rPr>
          <w:sz w:val="21"/>
          <w:szCs w:val="21"/>
        </w:rPr>
        <w:t xml:space="preserve"> </w:t>
      </w:r>
      <w:r w:rsidRPr="000A08E3">
        <w:rPr>
          <w:rFonts w:hint="eastAsia"/>
          <w:sz w:val="21"/>
          <w:szCs w:val="21"/>
        </w:rPr>
        <w:t>年12</w:t>
      </w:r>
      <w:r w:rsidR="00284027">
        <w:rPr>
          <w:sz w:val="21"/>
          <w:szCs w:val="21"/>
        </w:rPr>
        <w:t xml:space="preserve"> </w:t>
      </w:r>
      <w:r w:rsidRPr="000A08E3">
        <w:rPr>
          <w:rFonts w:hint="eastAsia"/>
          <w:sz w:val="21"/>
          <w:szCs w:val="21"/>
        </w:rPr>
        <w:t>月获得上海财经大学金融专业学士学位和中国科学技术大学工商管理硕士学位。苏女士分别于1998</w:t>
      </w:r>
      <w:r w:rsidR="00284027">
        <w:rPr>
          <w:sz w:val="21"/>
          <w:szCs w:val="21"/>
        </w:rPr>
        <w:t xml:space="preserve"> </w:t>
      </w:r>
      <w:r w:rsidRPr="000A08E3">
        <w:rPr>
          <w:rFonts w:hint="eastAsia"/>
          <w:sz w:val="21"/>
          <w:szCs w:val="21"/>
        </w:rPr>
        <w:t>年6</w:t>
      </w:r>
      <w:r w:rsidR="00284027">
        <w:rPr>
          <w:sz w:val="21"/>
          <w:szCs w:val="21"/>
        </w:rPr>
        <w:t xml:space="preserve"> </w:t>
      </w:r>
      <w:r w:rsidRPr="000A08E3">
        <w:rPr>
          <w:rFonts w:hint="eastAsia"/>
          <w:sz w:val="21"/>
          <w:szCs w:val="21"/>
        </w:rPr>
        <w:t>月、1999</w:t>
      </w:r>
      <w:r w:rsidR="00284027">
        <w:rPr>
          <w:sz w:val="21"/>
          <w:szCs w:val="21"/>
        </w:rPr>
        <w:t xml:space="preserve"> </w:t>
      </w:r>
      <w:r w:rsidRPr="000A08E3">
        <w:rPr>
          <w:rFonts w:hint="eastAsia"/>
          <w:sz w:val="21"/>
          <w:szCs w:val="21"/>
        </w:rPr>
        <w:t>年6</w:t>
      </w:r>
      <w:r w:rsidR="00284027">
        <w:rPr>
          <w:sz w:val="21"/>
          <w:szCs w:val="21"/>
        </w:rPr>
        <w:t xml:space="preserve"> </w:t>
      </w:r>
      <w:r w:rsidRPr="000A08E3">
        <w:rPr>
          <w:rFonts w:hint="eastAsia"/>
          <w:sz w:val="21"/>
          <w:szCs w:val="21"/>
        </w:rPr>
        <w:t>月及2008</w:t>
      </w:r>
      <w:r w:rsidR="00284027">
        <w:rPr>
          <w:sz w:val="21"/>
          <w:szCs w:val="21"/>
        </w:rPr>
        <w:t xml:space="preserve"> </w:t>
      </w:r>
      <w:r w:rsidRPr="000A08E3">
        <w:rPr>
          <w:rFonts w:hint="eastAsia"/>
          <w:sz w:val="21"/>
          <w:szCs w:val="21"/>
        </w:rPr>
        <w:t>年6</w:t>
      </w:r>
      <w:r w:rsidR="00284027">
        <w:rPr>
          <w:sz w:val="21"/>
          <w:szCs w:val="21"/>
        </w:rPr>
        <w:t xml:space="preserve"> </w:t>
      </w:r>
      <w:r w:rsidRPr="000A08E3">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284027">
        <w:rPr>
          <w:sz w:val="21"/>
          <w:szCs w:val="21"/>
        </w:rPr>
        <w:t xml:space="preserve"> </w:t>
      </w:r>
      <w:r w:rsidRPr="000A08E3">
        <w:rPr>
          <w:rFonts w:hint="eastAsia"/>
          <w:sz w:val="21"/>
          <w:szCs w:val="21"/>
        </w:rPr>
        <w:t>年9</w:t>
      </w:r>
      <w:r w:rsidR="00284027">
        <w:rPr>
          <w:sz w:val="21"/>
          <w:szCs w:val="21"/>
        </w:rPr>
        <w:t xml:space="preserve"> </w:t>
      </w:r>
      <w:r w:rsidRPr="000A08E3">
        <w:rPr>
          <w:rFonts w:hint="eastAsia"/>
          <w:sz w:val="21"/>
          <w:szCs w:val="21"/>
        </w:rPr>
        <w:t>月及2015</w:t>
      </w:r>
      <w:r w:rsidR="00284027">
        <w:rPr>
          <w:sz w:val="21"/>
          <w:szCs w:val="21"/>
        </w:rPr>
        <w:t xml:space="preserve"> </w:t>
      </w:r>
      <w:r w:rsidRPr="000A08E3">
        <w:rPr>
          <w:rFonts w:hint="eastAsia"/>
          <w:sz w:val="21"/>
          <w:szCs w:val="21"/>
        </w:rPr>
        <w:t>年12</w:t>
      </w:r>
      <w:r w:rsidR="00284027">
        <w:rPr>
          <w:sz w:val="21"/>
          <w:szCs w:val="21"/>
        </w:rPr>
        <w:t xml:space="preserve"> </w:t>
      </w:r>
      <w:r w:rsidRPr="000A08E3">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284027">
        <w:rPr>
          <w:sz w:val="21"/>
          <w:szCs w:val="21"/>
        </w:rPr>
        <w:t xml:space="preserve"> </w:t>
      </w:r>
      <w:r w:rsidRPr="000A08E3">
        <w:rPr>
          <w:rFonts w:hint="eastAsia"/>
          <w:sz w:val="21"/>
          <w:szCs w:val="21"/>
        </w:rPr>
        <w:t>年9</w:t>
      </w:r>
      <w:r w:rsidR="00284027">
        <w:rPr>
          <w:sz w:val="21"/>
          <w:szCs w:val="21"/>
        </w:rPr>
        <w:t xml:space="preserve"> </w:t>
      </w:r>
      <w:r w:rsidRPr="000A08E3">
        <w:rPr>
          <w:rFonts w:hint="eastAsia"/>
          <w:sz w:val="21"/>
          <w:szCs w:val="21"/>
        </w:rPr>
        <w:t>月起担任招商银行股份有限公司（上海证券交易所上市公司，股票代码：600036；香港联交所上市公司，股票代码：3968）董事。自2016</w:t>
      </w:r>
      <w:r w:rsidR="00284027">
        <w:rPr>
          <w:sz w:val="21"/>
          <w:szCs w:val="21"/>
        </w:rPr>
        <w:t xml:space="preserve"> </w:t>
      </w:r>
      <w:r w:rsidRPr="000A08E3">
        <w:rPr>
          <w:rFonts w:hint="eastAsia"/>
          <w:sz w:val="21"/>
          <w:szCs w:val="21"/>
        </w:rPr>
        <w:t>年1</w:t>
      </w:r>
      <w:r w:rsidR="00284027">
        <w:rPr>
          <w:sz w:val="21"/>
          <w:szCs w:val="21"/>
        </w:rPr>
        <w:t xml:space="preserve"> </w:t>
      </w:r>
      <w:r w:rsidRPr="000A08E3">
        <w:rPr>
          <w:rFonts w:hint="eastAsia"/>
          <w:sz w:val="21"/>
          <w:szCs w:val="21"/>
        </w:rPr>
        <w:t>月至2018年8月任招商局资本投资有限责任公司监事；自2015</w:t>
      </w:r>
      <w:r w:rsidR="00284027">
        <w:rPr>
          <w:sz w:val="21"/>
          <w:szCs w:val="21"/>
        </w:rPr>
        <w:t xml:space="preserve"> </w:t>
      </w:r>
      <w:r w:rsidRPr="000A08E3">
        <w:rPr>
          <w:rFonts w:hint="eastAsia"/>
          <w:sz w:val="21"/>
          <w:szCs w:val="21"/>
        </w:rPr>
        <w:t>年11</w:t>
      </w:r>
      <w:r w:rsidR="00284027">
        <w:rPr>
          <w:sz w:val="21"/>
          <w:szCs w:val="21"/>
        </w:rPr>
        <w:t xml:space="preserve"> </w:t>
      </w:r>
      <w:r w:rsidRPr="000A08E3">
        <w:rPr>
          <w:rFonts w:hint="eastAsia"/>
          <w:sz w:val="21"/>
          <w:szCs w:val="21"/>
        </w:rPr>
        <w:t>月至2018年8月任招商局创新投资管理有限公司董事；自2015</w:t>
      </w:r>
      <w:r w:rsidR="00284027">
        <w:rPr>
          <w:sz w:val="21"/>
          <w:szCs w:val="21"/>
        </w:rPr>
        <w:t xml:space="preserve"> </w:t>
      </w:r>
      <w:r w:rsidRPr="000A08E3">
        <w:rPr>
          <w:rFonts w:hint="eastAsia"/>
          <w:sz w:val="21"/>
          <w:szCs w:val="21"/>
        </w:rPr>
        <w:t>年11</w:t>
      </w:r>
      <w:r w:rsidR="00284027">
        <w:rPr>
          <w:sz w:val="21"/>
          <w:szCs w:val="21"/>
        </w:rPr>
        <w:t xml:space="preserve"> </w:t>
      </w:r>
      <w:r w:rsidRPr="000A08E3">
        <w:rPr>
          <w:rFonts w:hint="eastAsia"/>
          <w:sz w:val="21"/>
          <w:szCs w:val="21"/>
        </w:rPr>
        <w:t>月至2017</w:t>
      </w:r>
      <w:r w:rsidR="00284027">
        <w:rPr>
          <w:sz w:val="21"/>
          <w:szCs w:val="21"/>
        </w:rPr>
        <w:t xml:space="preserve"> </w:t>
      </w:r>
      <w:r w:rsidRPr="000A08E3">
        <w:rPr>
          <w:rFonts w:hint="eastAsia"/>
          <w:sz w:val="21"/>
          <w:szCs w:val="21"/>
        </w:rPr>
        <w:t>年4</w:t>
      </w:r>
      <w:r w:rsidR="00284027">
        <w:rPr>
          <w:sz w:val="21"/>
          <w:szCs w:val="21"/>
        </w:rPr>
        <w:t xml:space="preserve"> </w:t>
      </w:r>
      <w:r w:rsidRPr="000A08E3">
        <w:rPr>
          <w:rFonts w:hint="eastAsia"/>
          <w:sz w:val="21"/>
          <w:szCs w:val="21"/>
        </w:rPr>
        <w:t>月任深圳招商启航互联网投资管理有限公司董事长；自2013</w:t>
      </w:r>
      <w:r w:rsidR="00284027">
        <w:rPr>
          <w:sz w:val="21"/>
          <w:szCs w:val="21"/>
        </w:rPr>
        <w:t xml:space="preserve"> </w:t>
      </w:r>
      <w:r w:rsidRPr="000A08E3">
        <w:rPr>
          <w:rFonts w:hint="eastAsia"/>
          <w:sz w:val="21"/>
          <w:szCs w:val="21"/>
        </w:rPr>
        <w:t>年5</w:t>
      </w:r>
      <w:r w:rsidR="00284027">
        <w:rPr>
          <w:sz w:val="21"/>
          <w:szCs w:val="21"/>
        </w:rPr>
        <w:t xml:space="preserve"> </w:t>
      </w:r>
      <w:r w:rsidRPr="000A08E3">
        <w:rPr>
          <w:rFonts w:hint="eastAsia"/>
          <w:sz w:val="21"/>
          <w:szCs w:val="21"/>
        </w:rPr>
        <w:t>月至2015</w:t>
      </w:r>
      <w:r w:rsidR="00284027">
        <w:rPr>
          <w:sz w:val="21"/>
          <w:szCs w:val="21"/>
        </w:rPr>
        <w:t xml:space="preserve"> </w:t>
      </w:r>
      <w:r w:rsidRPr="000A08E3">
        <w:rPr>
          <w:rFonts w:hint="eastAsia"/>
          <w:sz w:val="21"/>
          <w:szCs w:val="21"/>
        </w:rPr>
        <w:t>年8</w:t>
      </w:r>
      <w:r w:rsidR="00284027">
        <w:rPr>
          <w:sz w:val="21"/>
          <w:szCs w:val="21"/>
        </w:rPr>
        <w:t xml:space="preserve"> </w:t>
      </w:r>
      <w:r w:rsidRPr="000A08E3">
        <w:rPr>
          <w:rFonts w:hint="eastAsia"/>
          <w:sz w:val="21"/>
          <w:szCs w:val="21"/>
        </w:rPr>
        <w:t>月任中远海运能源运输股份有限公司（上海证券交易所上市公司，股票代码：600026；香港联交所上市公司，股票代码：1138）董事；自2013</w:t>
      </w:r>
      <w:r w:rsidR="00284027">
        <w:rPr>
          <w:sz w:val="21"/>
          <w:szCs w:val="21"/>
        </w:rPr>
        <w:t xml:space="preserve"> </w:t>
      </w:r>
      <w:r w:rsidRPr="000A08E3">
        <w:rPr>
          <w:rFonts w:hint="eastAsia"/>
          <w:sz w:val="21"/>
          <w:szCs w:val="21"/>
        </w:rPr>
        <w:t>年6月至2015</w:t>
      </w:r>
      <w:r w:rsidR="00284027">
        <w:rPr>
          <w:sz w:val="21"/>
          <w:szCs w:val="21"/>
        </w:rPr>
        <w:t xml:space="preserve"> </w:t>
      </w:r>
      <w:r w:rsidRPr="000A08E3">
        <w:rPr>
          <w:rFonts w:hint="eastAsia"/>
          <w:sz w:val="21"/>
          <w:szCs w:val="21"/>
        </w:rPr>
        <w:t>年12</w:t>
      </w:r>
      <w:r w:rsidR="00284027">
        <w:rPr>
          <w:sz w:val="21"/>
          <w:szCs w:val="21"/>
        </w:rPr>
        <w:t xml:space="preserve"> </w:t>
      </w:r>
      <w:r w:rsidRPr="000A08E3">
        <w:rPr>
          <w:rFonts w:hint="eastAsia"/>
          <w:sz w:val="21"/>
          <w:szCs w:val="21"/>
        </w:rPr>
        <w:t>月任中远海运发展股份有限公司（上海证券交易所上市公司，股票代码：601866；香港联交所上市公司，股票代码：2866）董事；自2009</w:t>
      </w:r>
      <w:r w:rsidR="00284027">
        <w:rPr>
          <w:sz w:val="21"/>
          <w:szCs w:val="21"/>
        </w:rPr>
        <w:t xml:space="preserve"> </w:t>
      </w:r>
      <w:r w:rsidRPr="000A08E3">
        <w:rPr>
          <w:rFonts w:hint="eastAsia"/>
          <w:sz w:val="21"/>
          <w:szCs w:val="21"/>
        </w:rPr>
        <w:t>年12</w:t>
      </w:r>
      <w:r w:rsidR="00284027">
        <w:rPr>
          <w:sz w:val="21"/>
          <w:szCs w:val="21"/>
        </w:rPr>
        <w:t xml:space="preserve"> </w:t>
      </w:r>
      <w:r w:rsidRPr="000A08E3">
        <w:rPr>
          <w:rFonts w:hint="eastAsia"/>
          <w:sz w:val="21"/>
          <w:szCs w:val="21"/>
        </w:rPr>
        <w:t>月至2011</w:t>
      </w:r>
      <w:r w:rsidR="00284027">
        <w:rPr>
          <w:sz w:val="21"/>
          <w:szCs w:val="21"/>
        </w:rPr>
        <w:t xml:space="preserve"> </w:t>
      </w:r>
      <w:r w:rsidRPr="000A08E3">
        <w:rPr>
          <w:rFonts w:hint="eastAsia"/>
          <w:sz w:val="21"/>
          <w:szCs w:val="21"/>
        </w:rPr>
        <w:t>年5</w:t>
      </w:r>
      <w:r w:rsidR="00284027">
        <w:rPr>
          <w:sz w:val="21"/>
          <w:szCs w:val="21"/>
        </w:rPr>
        <w:t xml:space="preserve"> </w:t>
      </w:r>
      <w:r w:rsidRPr="000A08E3">
        <w:rPr>
          <w:rFonts w:hint="eastAsia"/>
          <w:sz w:val="21"/>
          <w:szCs w:val="21"/>
        </w:rPr>
        <w:t>月担任徽商银行股份有限公司（香港联交所上市公司，股票代码：3698）董事；自2008</w:t>
      </w:r>
      <w:r w:rsidR="00284027">
        <w:rPr>
          <w:sz w:val="21"/>
          <w:szCs w:val="21"/>
        </w:rPr>
        <w:t xml:space="preserve"> </w:t>
      </w:r>
      <w:r w:rsidRPr="000A08E3">
        <w:rPr>
          <w:rFonts w:hint="eastAsia"/>
          <w:sz w:val="21"/>
          <w:szCs w:val="21"/>
        </w:rPr>
        <w:t>年3</w:t>
      </w:r>
      <w:r w:rsidR="00284027">
        <w:rPr>
          <w:sz w:val="21"/>
          <w:szCs w:val="21"/>
        </w:rPr>
        <w:t xml:space="preserve"> </w:t>
      </w:r>
      <w:r w:rsidRPr="000A08E3">
        <w:rPr>
          <w:rFonts w:hint="eastAsia"/>
          <w:sz w:val="21"/>
          <w:szCs w:val="21"/>
        </w:rPr>
        <w:t>月至2011年9</w:t>
      </w:r>
      <w:r w:rsidR="00284027">
        <w:rPr>
          <w:sz w:val="21"/>
          <w:szCs w:val="21"/>
        </w:rPr>
        <w:t xml:space="preserve"> </w:t>
      </w:r>
      <w:r w:rsidRPr="000A08E3">
        <w:rPr>
          <w:rFonts w:hint="eastAsia"/>
          <w:sz w:val="21"/>
          <w:szCs w:val="21"/>
        </w:rPr>
        <w:t>月担任安徽省皖能股份有限公司（深圳证券交易所上市公司，股票代码︰000543）董事。苏女士亦拥有会计等相关管理经验，其经验包括：自2011</w:t>
      </w:r>
      <w:r w:rsidR="00284027">
        <w:rPr>
          <w:sz w:val="21"/>
          <w:szCs w:val="21"/>
        </w:rPr>
        <w:t xml:space="preserve"> </w:t>
      </w:r>
      <w:r w:rsidRPr="000A08E3">
        <w:rPr>
          <w:rFonts w:hint="eastAsia"/>
          <w:sz w:val="21"/>
          <w:szCs w:val="21"/>
        </w:rPr>
        <w:t>年3</w:t>
      </w:r>
      <w:r w:rsidR="00284027">
        <w:rPr>
          <w:sz w:val="21"/>
          <w:szCs w:val="21"/>
        </w:rPr>
        <w:t xml:space="preserve"> </w:t>
      </w:r>
      <w:r w:rsidRPr="000A08E3">
        <w:rPr>
          <w:rFonts w:hint="eastAsia"/>
          <w:sz w:val="21"/>
          <w:szCs w:val="21"/>
        </w:rPr>
        <w:t>月至2015</w:t>
      </w:r>
      <w:r w:rsidR="00284027">
        <w:rPr>
          <w:sz w:val="21"/>
          <w:szCs w:val="21"/>
        </w:rPr>
        <w:t xml:space="preserve"> </w:t>
      </w:r>
      <w:r w:rsidRPr="000A08E3">
        <w:rPr>
          <w:rFonts w:hint="eastAsia"/>
          <w:sz w:val="21"/>
          <w:szCs w:val="21"/>
        </w:rPr>
        <w:t>年8</w:t>
      </w:r>
      <w:r w:rsidR="00284027">
        <w:rPr>
          <w:sz w:val="21"/>
          <w:szCs w:val="21"/>
        </w:rPr>
        <w:t xml:space="preserve"> </w:t>
      </w:r>
      <w:r w:rsidRPr="000A08E3">
        <w:rPr>
          <w:rFonts w:hint="eastAsia"/>
          <w:sz w:val="21"/>
          <w:szCs w:val="21"/>
        </w:rPr>
        <w:t>月担任中国海运（集团）总公司总会计师；自2007</w:t>
      </w:r>
      <w:r w:rsidR="00284027">
        <w:rPr>
          <w:sz w:val="21"/>
          <w:szCs w:val="21"/>
        </w:rPr>
        <w:t xml:space="preserve"> </w:t>
      </w:r>
      <w:r w:rsidRPr="000A08E3">
        <w:rPr>
          <w:rFonts w:hint="eastAsia"/>
          <w:sz w:val="21"/>
          <w:szCs w:val="21"/>
        </w:rPr>
        <w:t>年5</w:t>
      </w:r>
      <w:r w:rsidR="00284027">
        <w:rPr>
          <w:sz w:val="21"/>
          <w:szCs w:val="21"/>
        </w:rPr>
        <w:t xml:space="preserve"> </w:t>
      </w:r>
      <w:r w:rsidRPr="000A08E3">
        <w:rPr>
          <w:rFonts w:hint="eastAsia"/>
          <w:sz w:val="21"/>
          <w:szCs w:val="21"/>
        </w:rPr>
        <w:t>月至2011</w:t>
      </w:r>
      <w:r w:rsidR="00284027">
        <w:rPr>
          <w:sz w:val="21"/>
          <w:szCs w:val="21"/>
        </w:rPr>
        <w:t xml:space="preserve"> </w:t>
      </w:r>
      <w:r w:rsidRPr="000A08E3">
        <w:rPr>
          <w:rFonts w:hint="eastAsia"/>
          <w:sz w:val="21"/>
          <w:szCs w:val="21"/>
        </w:rPr>
        <w:t>年4月担任安徽省能源集团有限公司总会计师，并于2010</w:t>
      </w:r>
      <w:r w:rsidR="00284027">
        <w:rPr>
          <w:sz w:val="21"/>
          <w:szCs w:val="21"/>
        </w:rPr>
        <w:t xml:space="preserve"> </w:t>
      </w:r>
      <w:r w:rsidRPr="000A08E3">
        <w:rPr>
          <w:rFonts w:hint="eastAsia"/>
          <w:sz w:val="21"/>
          <w:szCs w:val="21"/>
        </w:rPr>
        <w:t>年11</w:t>
      </w:r>
      <w:r w:rsidR="00284027">
        <w:rPr>
          <w:sz w:val="21"/>
          <w:szCs w:val="21"/>
        </w:rPr>
        <w:t xml:space="preserve"> </w:t>
      </w:r>
      <w:r w:rsidRPr="000A08E3">
        <w:rPr>
          <w:rFonts w:hint="eastAsia"/>
          <w:sz w:val="21"/>
          <w:szCs w:val="21"/>
        </w:rPr>
        <w:t>月至2011</w:t>
      </w:r>
      <w:r w:rsidR="00284027">
        <w:rPr>
          <w:sz w:val="21"/>
          <w:szCs w:val="21"/>
        </w:rPr>
        <w:t xml:space="preserve"> </w:t>
      </w:r>
      <w:r w:rsidRPr="000A08E3">
        <w:rPr>
          <w:rFonts w:hint="eastAsia"/>
          <w:sz w:val="21"/>
          <w:szCs w:val="21"/>
        </w:rPr>
        <w:t>年4</w:t>
      </w:r>
      <w:r w:rsidR="00284027">
        <w:rPr>
          <w:sz w:val="21"/>
          <w:szCs w:val="21"/>
        </w:rPr>
        <w:t xml:space="preserve"> </w:t>
      </w:r>
      <w:r w:rsidRPr="000A08E3">
        <w:rPr>
          <w:rFonts w:hint="eastAsia"/>
          <w:sz w:val="21"/>
          <w:szCs w:val="21"/>
        </w:rPr>
        <w:t xml:space="preserve">月担任该公司副总经理。2018年9月3日起，任博时基金管理有限公司第七届董事会董事。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0A08E3">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2、基金管理人监事会成员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何敏女士，1975年出生，中南财经大学会计学硕士。1999年7月至2006年4月任招商证券股份有限公司财务部会计核算岗，2006年4月至2009年4</w:t>
      </w:r>
      <w:r w:rsidR="00284027">
        <w:rPr>
          <w:sz w:val="21"/>
          <w:szCs w:val="21"/>
        </w:rPr>
        <w:t xml:space="preserve"> </w:t>
      </w:r>
      <w:r w:rsidRPr="000A08E3">
        <w:rPr>
          <w:rFonts w:hint="eastAsia"/>
          <w:sz w:val="21"/>
          <w:szCs w:val="21"/>
        </w:rPr>
        <w:t>月任招商证券股份有限公司财务部总经理助理，2009年4月至</w:t>
      </w:r>
      <w:r w:rsidR="00284027">
        <w:rPr>
          <w:sz w:val="21"/>
          <w:szCs w:val="21"/>
        </w:rPr>
        <w:t xml:space="preserve"> </w:t>
      </w:r>
      <w:r w:rsidRPr="000A08E3">
        <w:rPr>
          <w:rFonts w:hint="eastAsia"/>
          <w:sz w:val="21"/>
          <w:szCs w:val="21"/>
        </w:rPr>
        <w:t>2019年2月任</w:t>
      </w:r>
      <w:r w:rsidR="00284027">
        <w:rPr>
          <w:sz w:val="21"/>
          <w:szCs w:val="21"/>
        </w:rPr>
        <w:t xml:space="preserve"> </w:t>
      </w:r>
      <w:r w:rsidRPr="000A08E3">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0A08E3">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3、高级管理人员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张光华先生，简历同上。</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江向阳先生，简历同上。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0A08E3" w:rsidRPr="000A08E3" w:rsidRDefault="000A08E3">
      <w:pPr>
        <w:pStyle w:val="a3"/>
        <w:spacing w:before="0" w:beforeAutospacing="0" w:after="0" w:afterAutospacing="0" w:line="360" w:lineRule="auto"/>
        <w:ind w:firstLine="420"/>
        <w:divId w:val="1048839738"/>
        <w:rPr>
          <w:sz w:val="21"/>
          <w:szCs w:val="21"/>
        </w:rPr>
      </w:pPr>
      <w:r w:rsidRPr="000A08E3">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29" w:name="chapter_level1_5_53_section_1_end"/>
      <w:bookmarkEnd w:id="29"/>
      <w:r w:rsidRPr="000A08E3">
        <w:rPr>
          <w:rFonts w:hint="eastAsia"/>
          <w:sz w:val="21"/>
          <w:szCs w:val="21"/>
        </w:rPr>
        <w:t>博时基金（国际）有限公司董事、博时资本管理有限公司副董事长。</w:t>
      </w:r>
      <w:r w:rsidR="00284027">
        <w:rPr>
          <w:sz w:val="21"/>
          <w:szCs w:val="21"/>
        </w:rPr>
        <w:t xml:space="preserve"> </w:t>
      </w:r>
      <w:r w:rsidRPr="000A08E3">
        <w:rPr>
          <w:rFonts w:hint="eastAsia"/>
          <w:sz w:val="21"/>
          <w:szCs w:val="21"/>
        </w:rPr>
        <w:t xml:space="preserve"> </w:t>
      </w:r>
      <w:bookmarkStart w:id="30" w:name="field_0_managerpersoninfo_1_end"/>
      <w:bookmarkEnd w:id="30"/>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6305417"/>
        <w:rPr>
          <w:sz w:val="21"/>
          <w:szCs w:val="21"/>
        </w:rPr>
      </w:pPr>
      <w:bookmarkStart w:id="31" w:name="chapter_level1_5_53_section_2"/>
      <w:bookmarkEnd w:id="31"/>
      <w:r w:rsidRPr="000A08E3">
        <w:rPr>
          <w:rFonts w:hint="eastAsia"/>
          <w:sz w:val="21"/>
          <w:szCs w:val="21"/>
        </w:rPr>
        <w:t xml:space="preserve">4、本基金基金经理 </w:t>
      </w:r>
    </w:p>
    <w:p w:rsidR="000A08E3" w:rsidRPr="000A08E3" w:rsidRDefault="000A08E3">
      <w:pPr>
        <w:pStyle w:val="a3"/>
        <w:spacing w:before="0" w:beforeAutospacing="0" w:after="0" w:afterAutospacing="0" w:line="360" w:lineRule="auto"/>
        <w:ind w:firstLine="420"/>
        <w:divId w:val="156305417"/>
        <w:rPr>
          <w:sz w:val="21"/>
          <w:szCs w:val="21"/>
        </w:rPr>
      </w:pPr>
      <w:bookmarkStart w:id="32" w:name="field_0_fundmanagerresume_1_start"/>
      <w:bookmarkEnd w:id="32"/>
      <w:r w:rsidRPr="000A08E3">
        <w:rPr>
          <w:rFonts w:hint="eastAsia"/>
          <w:sz w:val="21"/>
          <w:szCs w:val="21"/>
        </w:rPr>
        <w:t>赵云阳先生，硕士。2003年至2010年在晨星中国研究中心工作。2010年加入博时基金管理有限公司。历任量化分析师、量化分析师兼基金经理助理、博时特许价值混合型证券投资基金(2013年9月13日-2015年2月9日)、博时招财一号大数据保本混合型证券投资基金(2015年4月29日-2016年5月30日)、博时中证淘金大数据100指数型证券投资基金(2015年5月4日-2016年5月30日)、博时裕富沪深300指数证券投资基金(2015年5月5日-2016年5月30日)、上证企债30交易型开放式指数证券投资基金(2013年7月11日-2018年1月26日)、深证基本面200交易型开放式指数证券投资基金(2012年11月13日-2018年12月10日)、博时深证基本面200交易型开放式指数证券投资基金联接基金(2012年11月13日-2018年12月10日)、博时创业板交易型开放式指数证券投资基金联接基金(2018年12月10日-2019年10月11日)、博时创业板交易型开放式指数证券投资基金(2018年12月10日-2019年10月11日)的基金经理。现任指数与量化投资部投资副总监兼博时中证800证券保险指数分级证券投资基金(2015年5月19日—至今)、博时中证银行指数分级证券投资基金(2015年10月8日—至今)、博时黄金交易型开放式证券投资基金(2015年10月8日—至今)、博时上证50交易型开放式指数证券投资基金联接基金(2015年10月8日—至今)、博时上证50交易型开放式指数证券投资基金(2015年10月8日—至今)、博时黄金交易型开放式证券投资基金联接基金(2016年5月27日—至今)、博时中证央企结构调整交易型开放式指数证券投资基金(2018年10月19日—至今)、博时中证央企结构调整交易型开放式指数证券投资基金联接基金(2018年11月14日—至今)、博时中证央企创新驱动交易型开放式指数证券投资基金(2019年9月20日—至今)、博时中证央企创新驱动交易型开放式指数证券投资基金联接基金(2019年11月13日—至今)的基金经理。</w:t>
      </w:r>
      <w:r w:rsidR="00284027">
        <w:rPr>
          <w:sz w:val="21"/>
          <w:szCs w:val="21"/>
        </w:rPr>
        <w:t xml:space="preserve">    </w:t>
      </w:r>
      <w:r w:rsidRPr="000A08E3">
        <w:rPr>
          <w:rFonts w:hint="eastAsia"/>
          <w:sz w:val="21"/>
          <w:szCs w:val="21"/>
        </w:rPr>
        <w:t>汪洋先生，硕士。2009年起先后在华泰联合证券、华泰柏瑞基金、汇添富基金工作。2015年加入博时基金管理有限公司。历任指数投资部总经理助理、指数投资部副总经理。现任指数与量化投资部副总经理兼博时上证50交易型开放式指数证券投资基金联接基金(2016年5月16日—至今)、博时标普500交易型开放式指数证券投资基金联接基金(2016年5月16日—至今)、博时上证50交易型开放式指数证券投资基金(2016年5月16日—至今)、博时标普500交易型开放式指数证券投资基金(2016年5月16日—至今)的基金经理。</w:t>
      </w:r>
      <w:bookmarkStart w:id="33" w:name="field_0_fundmanagerresume_1_end"/>
      <w:bookmarkEnd w:id="33"/>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6305417"/>
        <w:rPr>
          <w:sz w:val="21"/>
          <w:szCs w:val="21"/>
        </w:rPr>
      </w:pPr>
      <w:bookmarkStart w:id="34" w:name="field_0_fundmanagershis_1_start"/>
      <w:bookmarkEnd w:id="34"/>
      <w:r w:rsidRPr="000A08E3">
        <w:rPr>
          <w:rFonts w:hint="eastAsia"/>
          <w:sz w:val="21"/>
          <w:szCs w:val="21"/>
        </w:rPr>
        <w:lastRenderedPageBreak/>
        <w:t>本基金历任基金经理：方维玲（2015年5月27日-2015年12月</w:t>
      </w:r>
      <w:bookmarkStart w:id="35" w:name="chapter_level1_5_53_section_2_end"/>
      <w:bookmarkEnd w:id="35"/>
      <w:r w:rsidRPr="000A08E3">
        <w:rPr>
          <w:rFonts w:hint="eastAsia"/>
          <w:sz w:val="21"/>
          <w:szCs w:val="21"/>
        </w:rPr>
        <w:t>23日）。</w:t>
      </w:r>
      <w:bookmarkStart w:id="36" w:name="field_0_fundmanagershis_1_end"/>
      <w:bookmarkEnd w:id="36"/>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57541329"/>
        <w:rPr>
          <w:sz w:val="21"/>
          <w:szCs w:val="21"/>
        </w:rPr>
      </w:pPr>
      <w:bookmarkStart w:id="37" w:name="chapter_level1_5_53_section_3"/>
      <w:bookmarkStart w:id="38" w:name="field_0_managerpersoninfo2_1_start"/>
      <w:bookmarkEnd w:id="37"/>
      <w:bookmarkEnd w:id="38"/>
      <w:r w:rsidRPr="000A08E3">
        <w:rPr>
          <w:rFonts w:hint="eastAsia"/>
          <w:sz w:val="21"/>
          <w:szCs w:val="21"/>
        </w:rPr>
        <w:t xml:space="preserve">5、投资决策委员会成员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委员：江向阳、邵凯、黄健斌、李权胜、张龙、魏凤春、欧阳凡、王俊、过钧、黄瑞庆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江向阳先生，简历同上。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邵凯先生，简历同上。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黄健斌先生，简历同上。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欧阳凡先生，硕士。2003年起先后在衡阳市金杯电缆厂、南方基金工作。2011年加入博时基金管理有限公司，曾任特定资产管理部副总经理、社保组合投资经理助理。现任公司</w:t>
      </w:r>
      <w:r w:rsidRPr="000A08E3">
        <w:rPr>
          <w:rFonts w:hint="eastAsia"/>
          <w:sz w:val="21"/>
          <w:szCs w:val="21"/>
        </w:rPr>
        <w:lastRenderedPageBreak/>
        <w:t>董事总经理兼特定资产管理部总经理、权益投资GARP组负责人、年金投资部总经理、绝对收益投资部总经理、社保组合投资经理。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57541329"/>
        <w:rPr>
          <w:sz w:val="21"/>
          <w:szCs w:val="21"/>
        </w:rPr>
      </w:pPr>
      <w:r w:rsidRPr="000A08E3">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w:t>
      </w:r>
      <w:r w:rsidRPr="000A08E3">
        <w:rPr>
          <w:rFonts w:hint="eastAsia"/>
          <w:sz w:val="21"/>
          <w:szCs w:val="21"/>
        </w:rPr>
        <w:lastRenderedPageBreak/>
        <w:t>强债券型证券投资基金（2019.1.28-至今）、博时中债3-5年国开行债券指数证券投资基金（2019.7.19-至今）的基金经理。</w:t>
      </w:r>
      <w:r w:rsidR="00284027">
        <w:rPr>
          <w:sz w:val="21"/>
          <w:szCs w:val="21"/>
        </w:rPr>
        <w:t xml:space="preserve"> </w:t>
      </w:r>
      <w:r w:rsidRPr="000A08E3">
        <w:rPr>
          <w:rFonts w:hint="eastAsia"/>
          <w:sz w:val="21"/>
          <w:szCs w:val="21"/>
        </w:rPr>
        <w:t xml:space="preserve"> </w:t>
      </w:r>
    </w:p>
    <w:p w:rsidR="000A08E3" w:rsidRPr="000A08E3" w:rsidRDefault="000A08E3" w:rsidP="00B935DB">
      <w:pPr>
        <w:pStyle w:val="a3"/>
        <w:spacing w:before="0" w:beforeAutospacing="0" w:after="0" w:afterAutospacing="0" w:line="360" w:lineRule="auto"/>
        <w:ind w:firstLine="420"/>
        <w:divId w:val="1357541329"/>
      </w:pPr>
      <w:r w:rsidRPr="00B935DB">
        <w:rPr>
          <w:sz w:val="21"/>
          <w:szCs w:val="21"/>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sidRPr="000A08E3">
        <w:t xml:space="preserve"> </w:t>
      </w:r>
    </w:p>
    <w:p w:rsidR="000A08E3" w:rsidRPr="000A08E3" w:rsidRDefault="000A08E3">
      <w:pPr>
        <w:pStyle w:val="a3"/>
        <w:spacing w:before="0" w:beforeAutospacing="0" w:after="0" w:afterAutospacing="0" w:line="360" w:lineRule="auto"/>
        <w:ind w:firstLine="420"/>
        <w:divId w:val="1357541329"/>
        <w:rPr>
          <w:sz w:val="21"/>
          <w:szCs w:val="21"/>
        </w:rPr>
      </w:pPr>
      <w:bookmarkStart w:id="39" w:name="chapter_level1_5_53_section_3_end"/>
      <w:bookmarkEnd w:id="39"/>
      <w:r w:rsidRPr="000A08E3">
        <w:rPr>
          <w:rFonts w:hint="eastAsia"/>
          <w:sz w:val="21"/>
          <w:szCs w:val="21"/>
        </w:rPr>
        <w:t xml:space="preserve">6、上述人员之间均不存在近亲属关系。 </w:t>
      </w:r>
      <w:bookmarkStart w:id="40" w:name="field_0_managerpersoninfo2_1_end"/>
      <w:bookmarkEnd w:id="40"/>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120952062"/>
        <w:rPr>
          <w:sz w:val="21"/>
          <w:szCs w:val="21"/>
        </w:rPr>
      </w:pPr>
      <w:bookmarkStart w:id="41" w:name="chapter_level1_5_53_section_4"/>
      <w:bookmarkEnd w:id="41"/>
      <w:r w:rsidRPr="000A08E3">
        <w:rPr>
          <w:rStyle w:val="a4"/>
          <w:rFonts w:hint="eastAsia"/>
          <w:sz w:val="21"/>
          <w:szCs w:val="21"/>
        </w:rPr>
        <w:t>三、基金管理人的职责</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1、依法募集资金，办理或者委托经中国证监会认定的其他机构代为办理基金份额的发售、申购、赎回和登记事宜；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2、办理基金备案手续；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3、自《基金合同》生效之日起，以诚实信用、谨慎勤勉的原则管理和运用基金财产；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4、配备足够的具有专业资格的人员进行基金投资分析、决策，以专业化的经营方式管理和运作基金财产；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6、除依据《基金法》、《基金合同》及其他有关规定外，不得利用基金财产为自己及任何第三人谋取利益，不得委托第三人运作基金财产；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7、依法接受基金托管人的监督；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8、采取适当合理的措施使计算基金份额认购、申购、赎回和注销价格的方法符合《基金合同》等法律文件的规定，按有关规定计算并公告基金净值</w:t>
      </w:r>
      <w:r w:rsidR="004F1DC3" w:rsidRPr="004F1DC3">
        <w:rPr>
          <w:rFonts w:hint="eastAsia"/>
          <w:sz w:val="21"/>
          <w:szCs w:val="21"/>
        </w:rPr>
        <w:t>信息</w:t>
      </w:r>
      <w:r w:rsidRPr="000A08E3">
        <w:rPr>
          <w:rFonts w:hint="eastAsia"/>
          <w:sz w:val="21"/>
          <w:szCs w:val="21"/>
        </w:rPr>
        <w:t xml:space="preserve">，确定基金份额申购、赎回的价格；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9、进行基金会计核算并编制基金财务会计报告；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10、</w:t>
      </w:r>
      <w:r w:rsidR="004F1DC3" w:rsidRPr="004F1DC3">
        <w:rPr>
          <w:rFonts w:hint="eastAsia"/>
          <w:sz w:val="21"/>
          <w:szCs w:val="21"/>
        </w:rPr>
        <w:t>编制季度报告、中期报告和年度报告</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11、严格按照《基金法》、《基金合同》及其他有关规定，履行信息披露及报告义务；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lastRenderedPageBreak/>
        <w:t xml:space="preserve">12、保守基金商业秘密，不泄露基金投资计划、投资意向等。除《基金法》、《基金合同》及其他有关规定另有规定外，在基金信息公开披露前应予保密，不向他人泄露；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13、按《基金合同》的约定确定基金收益分配方案，及时向基金份额持有人分配基金收益；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14、按规定受理申购与赎回申请，及时、足额支付赎回款项；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15、依据《基金法》、《基金合同》及其他有关规定召集基金份额持有人大会或配合基金托管人、基金份额持有人依法召集基金份额持有人大会；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16、按规定保存基金财产管理业务活动的会计账册、报表、记录和其他相关资料15年以上；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18、组织并参加基金财产清算小组，参与基金财产的保管、清理、估价、变现和分配；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19、面临解散、依法被撤销或者被依法宣告破产时，及时报告中国证监会并通知基金托管人；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20、因违反《基金合同》导致基金财产的损失或损害基金份额持有人合法权益时，应当承担赔偿责任，其赔偿责任不因其退任而免除；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22、当基金管理人将其义务委托第三方处理时，应当对第三方处理有关基金事务的行为承担责任；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23、以基金管理人名义，代表基金份额持有人利益行使诉讼权利或实施其他法律行为；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24、基金管理人在募集期间未能达到基金的备案条件，《基金合同》不能生效，基金管理人承担全部募集费用，将已募集资金加计银行同期活期存款利息在基金募集期结束后30日内退还基金认购人；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25、执行生效的基金份额持有人大会的决议；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26、建立并保存基金份额持有人名册；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27、法律法规及中国证监会规定的和《基金合同》约定的其他义务。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Style w:val="a4"/>
          <w:rFonts w:hint="eastAsia"/>
          <w:sz w:val="21"/>
          <w:szCs w:val="21"/>
        </w:rPr>
        <w:t>四、基金管理人的承诺</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lastRenderedPageBreak/>
        <w:t xml:space="preserve">1、基金管理人承诺不从事违反《中华人民共和国证券法》的行为，并承诺建立健全内部控制制度，采取有效措施，防止违反《中华人民共和国证券法》行为的发生；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2、基金管理人承诺不从事违反《基金法》的行为，并承诺建立健全内部风险控制制度，采取有效措施，防止下列行为的发生：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（1）将基金管理人固有财产或者他人财产混同于基金财产从事证券投资；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（2）不公平地对待管理的不同基金财产；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（3）利用基金财产或者职务之便为基金份额持有人以外的第三人牟取利益；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（4）向基金份额持有人违规承诺收益或者承担损失；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（5）侵占、挪用基金财产；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（6）泄露因职务便利获取的未公开信息、利用该信息从事或者明示、暗示他人从事相关的交易活动；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（7）玩忽职守，不按照规定履行职责；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（8）法律、行政法规和中国证监会规定禁止的其他行为。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3、基金管理人承诺严格遵守基金合同，并承诺建立健全内部控制制度，采取有效措施，防止违反基金合同行为的发生；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4、基金管理人承诺加强人员管理，强化职业操守，督促和约束员工遵守国家有关法律法规及行业规范，诚实信用、勤勉尽责；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5、基金管理人承诺不从事其他法规规定禁止从事的行为。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Style w:val="a4"/>
          <w:rFonts w:hint="eastAsia"/>
          <w:sz w:val="21"/>
          <w:szCs w:val="21"/>
        </w:rPr>
        <w:t>五、基金经理承诺</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1、依照有关法律法规和基金合同的规定，本着谨慎的原则为基金份额持有人谋取最大利益；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2、不利用职务之便为自己、受雇人或任何第三者牟取利益；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3、不泄露在任职期间知悉的有关证券、基金的商业秘密，尚未依法公开的基金投资内容、基金投资计划等信息，或利用该信息从事或者明示、暗示他人从事相关的交易活动；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4、不以任何形式为其他组织或个人进行证券交易。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Style w:val="a4"/>
          <w:rFonts w:hint="eastAsia"/>
          <w:sz w:val="21"/>
          <w:szCs w:val="21"/>
        </w:rPr>
        <w:t>六、基金管理人的内部控制制度</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1、风险管理的原则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（1）全面性原则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公司风险管理必须覆盖公司的所有部门和岗位，渗透各项业务过程和业务环节。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（2）独立性原则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lastRenderedPageBreak/>
        <w:t xml:space="preserve">公司设立独立的监察部，监察部保持高度的独立性和权威性，负责对公司各部门风险控制工作进行稽核和检查。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（3）相互制约原则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公司及各部门在内部组织结构的设计上要形成一种相互制约的机制，建立不同岗位之间的制衡体系。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（4）定性和定量相结合原则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建立完备的风险管理指标体系，使风险管理更具客观性和操作性。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2、风险管理和内部风险控制体系结构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（1）董事会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负责制定公司的风险管理政策，对风险管理负完全的和最终的责任。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（2）风险管理委员会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（3）督察长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独立行使督察权利；直接对董事会负责；按季向风险管理委员会提交独立的风险管理报告和风险管理建议。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（4）监察法律部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（5）风险管理部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（6）业务部门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lastRenderedPageBreak/>
        <w:t xml:space="preserve">3、风险管理和内部风险控制的措施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（1）建立内控结构，完善内控制度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（2）建立相互分离、相互制衡的内控机制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建立、健全了各项制度，做到基金经理分开，投资决策分开，基金交易集中，形成不同部门，不同岗位之间的制衡机制，从制度上减少和防范风险。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（3）建立、健全岗位责任制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建立、健全了岗位责任制，使每个员工都明确自己的任务、职责，并及时将各自工作领域中的风险隐患上报，以防范和减少风险。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（4）建立风险分类、识别、评估、报告、提示程序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（5）建立有效的内部监控系统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建立了足够、有效的内部监控系统，如电脑预警系统、投资监控系统，对可能出现的各种风险进行全面和实时的监控。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（6）使用数量化的风险管理手段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 xml:space="preserve">（7）提供足够的培训 </w:t>
      </w:r>
    </w:p>
    <w:p w:rsidR="000A08E3" w:rsidRPr="000A08E3" w:rsidRDefault="000A08E3">
      <w:pPr>
        <w:pStyle w:val="a3"/>
        <w:spacing w:before="0" w:beforeAutospacing="0" w:after="0" w:afterAutospacing="0" w:line="360" w:lineRule="auto"/>
        <w:ind w:firstLine="420"/>
        <w:divId w:val="1120952062"/>
        <w:rPr>
          <w:sz w:val="21"/>
          <w:szCs w:val="21"/>
        </w:rPr>
      </w:pPr>
      <w:r w:rsidRPr="000A08E3">
        <w:rPr>
          <w:rFonts w:hint="eastAsia"/>
          <w:sz w:val="21"/>
          <w:szCs w:val="21"/>
        </w:rPr>
        <w:t>制定了完整的培训计划，为所有员工提供足够和适当的培训，使员工明确其职责所在，</w:t>
      </w:r>
      <w:bookmarkStart w:id="42" w:name="chapter_level1_5_53_section_4_end"/>
      <w:bookmarkEnd w:id="42"/>
      <w:r w:rsidRPr="000A08E3">
        <w:rPr>
          <w:rFonts w:hint="eastAsia"/>
          <w:sz w:val="21"/>
          <w:szCs w:val="21"/>
        </w:rPr>
        <w:t xml:space="preserve">控制风险。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43" w:name="chapter_level1_6_55"/>
      <w:bookmarkStart w:id="44" w:name="_Toc26382908"/>
      <w:r w:rsidRPr="000A08E3">
        <w:rPr>
          <w:rFonts w:ascii="宋体" w:eastAsia="宋体" w:hAnsi="宋体" w:hint="eastAsia"/>
          <w:sz w:val="30"/>
        </w:rPr>
        <w:lastRenderedPageBreak/>
        <w:t>第四部分  基金托管人</w:t>
      </w:r>
      <w:bookmarkEnd w:id="43"/>
      <w:bookmarkEnd w:id="44"/>
    </w:p>
    <w:p w:rsidR="000A08E3" w:rsidRPr="000A08E3" w:rsidRDefault="000A08E3">
      <w:pPr>
        <w:pStyle w:val="a3"/>
        <w:spacing w:before="0" w:beforeAutospacing="0" w:after="0" w:afterAutospacing="0" w:line="360" w:lineRule="auto"/>
        <w:ind w:firstLine="420"/>
        <w:divId w:val="633878015"/>
        <w:rPr>
          <w:sz w:val="21"/>
          <w:szCs w:val="21"/>
        </w:rPr>
      </w:pPr>
      <w:bookmarkStart w:id="45" w:name="chapter_level1_6_55_section_1"/>
      <w:bookmarkStart w:id="46" w:name="field_0_trustcompanyinfo_1_start"/>
      <w:bookmarkEnd w:id="45"/>
      <w:bookmarkEnd w:id="46"/>
      <w:r w:rsidRPr="000A08E3">
        <w:rPr>
          <w:rFonts w:hint="eastAsia"/>
          <w:sz w:val="21"/>
          <w:szCs w:val="21"/>
        </w:rPr>
        <w:t xml:space="preserve">（一）基金托管人概况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1、基本情况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名称：招商银行股份有限公司（以下简称“招商银行”）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设立日期：1987年4月8日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注册地址：深圳市深南大道7088号招商银行大厦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办公地址：深圳市深南大道7088号招商银行大厦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注册资本：252.20亿元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法定代表人：李建红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行长：田惠宇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资产托管业务批准文号：证监基金字[2002]83号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电话：0755-83199084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传真：0755-83195201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资产托管部信息披露负责人：张燕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2、发展概况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招商银行成立于1987年4月8日，是我国第一家完全由企业法人持股的股份制商业银行，总行设在深圳。自成立以来，招商银行先后进行了三次增资扩股，并于2002年3月成功地发行了15亿A股，4月9日在上交所挂牌（股票代码：600036），是国内第一家采用国际会计标准上市的公司。2006年9月又成功发行了22亿H股，9月22日在香港联交所挂牌交易（股票代码：3968），10月5日行使H股超额配售，共发行了24.2亿H股。截至2019年9月30日，本集团总资产73,059.25亿元人民币，高级法下资本充足率15.44%，权重法下资本充足率12.86%。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2002年8月，招商银行成立基金托管部；2005年8月，经报中国证监会同意，更名为资产托管部，现下设业务管理团队、产品管理团队、项目管理团队、稽核监察团队、基金外包业务团队、养老金团队、系统与数据团队7个职能团队，现有员工87人。2002年11月，经中国人民银行和中国证监会批准获得证券投资基金托管业务资格，成为国内第一家获得该项业务资格上市银行；2003年4月，正式办理基金托管业务。招商银行作为托管业务资质最全的商业银行，拥有证券投资基金托管、受托投资管理托管、合格境外机构投资者托管</w:t>
      </w:r>
      <w:r w:rsidRPr="000A08E3">
        <w:rPr>
          <w:rFonts w:hint="eastAsia"/>
          <w:sz w:val="21"/>
          <w:szCs w:val="21"/>
        </w:rPr>
        <w:lastRenderedPageBreak/>
        <w:t xml:space="preserve">（QFII）、合格境内机构投资者托管（QDII）、全国社会保障基金托管、保险资金托管、企业年金基金托管、存托凭证试点存托人等业务资格。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招商银行确立“因势而变、先您所想”的托管理念和“财富所托、信守承诺”的托管核心价值，独创“6S托管银行”品牌体系，以“保护您的业务、保护您的财富”为历史使命，不断创新托管系统、服务和产品：在业内率先推出“网上托管银行系统”、托管业务综合系统和“6心”托管服务标准，首家发布私募基金绩效分析报告，开办国内首个托管银行网站，推出国内首个托管大数据平台，成功托管国内第一只券商集合资产管理计划、第一只FOF、第一只信托资金计划、第一只股权私募基金、第一家实现货币市场基金赎回资金T+1到账、第一只境外银行QDII基金、第一只红利ETF基金、第一只“1+N”基金专户理财、第一家大小非解禁资产、第一单TOT保管，实现从单一托管服务商向全面投资者服务机构的转变，得到了同业认可。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招商银行资产托管业务持续稳健发展，社会影响力不断提升,四度蝉联获《财资》“中国最佳托管专业银行”。2016年6月招商银行荣膺《财资》“中国最佳托管银行奖”，成为国内唯一获得该奖项的托管银行；“托管通”获得国内《银行家》2016中国金融创新“十佳金融产品创新奖”；7月荣膺2016年中国资产管理“金贝奖”“最佳资产托管银行”。2017年6月招商银行再度荣膺《财资》“中国最佳托管银行奖”；</w:t>
      </w:r>
      <w:r w:rsidR="00284027">
        <w:rPr>
          <w:sz w:val="21"/>
          <w:szCs w:val="21"/>
        </w:rPr>
        <w:t xml:space="preserve"> </w:t>
      </w:r>
      <w:r w:rsidRPr="000A08E3">
        <w:rPr>
          <w:rFonts w:hint="eastAsia"/>
          <w:sz w:val="21"/>
          <w:szCs w:val="21"/>
        </w:rPr>
        <w:t xml:space="preserve">“全功能网上托管银行2.0”荣获《银行家》2017中国金融创新“十佳金融产品创新奖”；8月荣膺国际财经权威媒体《亚洲银行家》“中国年度托管银行奖”。2018年1月招商银行荣膺中央国债登记结算有限责任公司“2017年度优秀资产托管机构”奖项；同月，招商银行托管大数据平台风险管理系统荣获2016-2017年度银监会系统“金点子”方案一等奖，以及中央金融团工委、全国金融青联第五届“双提升”金点子方案二等奖；3月荣膺公募基金20年“最佳基金托管银行”奖；5月荣膺国际财经权威媒体《亚洲银行家》“中国年度托管银行奖”；12月荣膺2018东方财富风云榜“2018年度最佳托管银行”、“20年最值得信赖托管银行”奖。2019年3月招商银行荣获《中国基金报》“2018年度最佳基金托管银行”奖；6月荣获《财资》“中国最佳托管机构”“中国最佳养老金托管机构”“中国最佳零售基金行政外包”三项大奖。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（二）主要人员情况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李建红先生，本行董事长、非执行董事，2014年7月起担任本行董事、董事长。英国东伦敦大学工商管理硕士、吉林大学经济管理专业硕士，高级经济师。招商局集团有限公司董事长，兼任招商局国际有限公司董事会主席、招商局能源运输股份有限公司董事长、中国</w:t>
      </w:r>
      <w:r w:rsidRPr="000A08E3">
        <w:rPr>
          <w:rFonts w:hint="eastAsia"/>
          <w:sz w:val="21"/>
          <w:szCs w:val="21"/>
        </w:rPr>
        <w:lastRenderedPageBreak/>
        <w:t xml:space="preserve">国际海运集装箱（集团）股份有限公司董事长、招商局华建公路投资有限公司董事长和招商局资本投资有限责任公司董事长。曾任中国远洋运输（集团）总公司总裁助理、总经济师、副总裁，招商局集团有限公司董事、总裁。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田惠宇先生，本行行长、执行董事，2013年5月起担任本行行长、本行执行董事。美国哥伦比亚大学公共管理硕士学位，高级经济师。曾于2003年7月至2013年5月历任上海银行副行长、中国建设银行上海市分行副行长、深圳市分行行长、中国建设银行零售业务总监兼北京市分行行长。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汪建中先生，本行副行长。1991年加入本行；2002年10月至2013年12月历任本行长沙分行行长，总行公司银行部副总经理，佛山分行筹备组组长，佛山分行行长，武汉分行行长；2013年12月至2016年10月任本行业务总监兼公司金融总部总裁，期间先后兼任公司金融综合管理部总经理、战略客户部总经理；2016年10月至2017年4月任本行业务总监兼北京分行行长；2017年4月起任本行党委委员兼北京分行行长。2019年4月起任本行副行长。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姜然女士，招商银行资产托管部总经理，大学本科毕业，具有基金托管人高级管理人员任职资格。先后供职于中国农业银行黑龙江省分行，华商银行，中国农业银行深圳市分行，从事信贷管理、托管工作。2002年9月加盟招商银行至今，历任招商银行总行资产托管部经理、高级经理、总经理助理等职。是国内首家推出的网上托管银行的主要设计、开发者之一，具有20余年银行信贷及托管专业从业经验。在托管产品创新、服务流程优化、市场营销及客户关系管理等领域具有深入的研究和丰富的实务经验。 </w:t>
      </w:r>
    </w:p>
    <w:p w:rsidR="000A08E3" w:rsidRPr="000A08E3" w:rsidRDefault="000A08E3">
      <w:pPr>
        <w:pStyle w:val="a3"/>
        <w:spacing w:before="0" w:beforeAutospacing="0" w:after="0" w:afterAutospacing="0" w:line="360" w:lineRule="auto"/>
        <w:ind w:firstLine="420"/>
        <w:divId w:val="633878015"/>
        <w:rPr>
          <w:sz w:val="21"/>
          <w:szCs w:val="21"/>
        </w:rPr>
      </w:pPr>
      <w:r w:rsidRPr="000A08E3">
        <w:rPr>
          <w:rFonts w:hint="eastAsia"/>
          <w:sz w:val="21"/>
          <w:szCs w:val="21"/>
        </w:rPr>
        <w:t xml:space="preserve">（三）基金托管业务经营情况 </w:t>
      </w:r>
    </w:p>
    <w:p w:rsidR="000A08E3" w:rsidRPr="000A08E3" w:rsidRDefault="000A08E3">
      <w:pPr>
        <w:pStyle w:val="a3"/>
        <w:spacing w:before="0" w:beforeAutospacing="0" w:after="0" w:afterAutospacing="0" w:line="360" w:lineRule="auto"/>
        <w:ind w:firstLine="420"/>
        <w:divId w:val="633878015"/>
        <w:rPr>
          <w:sz w:val="21"/>
          <w:szCs w:val="21"/>
        </w:rPr>
      </w:pPr>
      <w:bookmarkStart w:id="47" w:name="chapter_level1_6_55_section_1_end"/>
      <w:bookmarkEnd w:id="47"/>
      <w:r w:rsidRPr="000A08E3">
        <w:rPr>
          <w:rFonts w:hint="eastAsia"/>
          <w:sz w:val="21"/>
          <w:szCs w:val="21"/>
        </w:rPr>
        <w:t>截至2019年9月30日，招商银行股份有限公司累计托管510只证券投资基金。</w:t>
      </w:r>
      <w:bookmarkStart w:id="48" w:name="field_0_trustcompanyinfo_1_end"/>
      <w:bookmarkEnd w:id="48"/>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93705966"/>
        <w:rPr>
          <w:sz w:val="21"/>
          <w:szCs w:val="21"/>
        </w:rPr>
      </w:pPr>
      <w:bookmarkStart w:id="49" w:name="chapter_level1_6_55_section_2"/>
      <w:bookmarkStart w:id="50" w:name="field_0_trustcontrollawinfo_1_start"/>
      <w:bookmarkEnd w:id="49"/>
      <w:bookmarkEnd w:id="50"/>
      <w:r w:rsidRPr="000A08E3">
        <w:rPr>
          <w:rFonts w:hint="eastAsia"/>
          <w:sz w:val="21"/>
          <w:szCs w:val="21"/>
        </w:rPr>
        <w:t>(四)托管人的内部控制制度</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内部控制目标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招商银行确保托管业务严格遵守国家有关法律法规和行业监管制度，自觉形成守法经营、规范运作的经营思想和经营理念；形成科学合理的决策机制、执行机制和监督机制，防范和化解经营风险，确保托管业务的稳健运行和托管资产的安全；建立有利于查错防弊、堵塞漏洞、消除隐患，保证业务稳健运行的风险控制制度，确保托管业务信息真实、准确、完整、及时；确保内控机制、体制的不断改进和各项业务制度、流程的不断完善。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内部控制组织结构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招商银行资产托管业务建立三级内控风险防范体系：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lastRenderedPageBreak/>
        <w:t xml:space="preserve">一级风险防范是在招商银行总行风险管控层面对风险进行预防和控制；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二级风险防范是招商银行资产托管部设立稽核监察团队，负责部门内部风险预防和控制；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三级风险防范是招商银行资产托管部在设置专业岗位时，遵循内控制衡原则，视业务的风险程度制定相应监督制衡机制。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3、</w:t>
      </w:r>
      <w:r w:rsidR="00284027">
        <w:rPr>
          <w:sz w:val="21"/>
          <w:szCs w:val="21"/>
        </w:rPr>
        <w:t xml:space="preserve">  </w:t>
      </w:r>
      <w:r w:rsidRPr="000A08E3">
        <w:rPr>
          <w:rFonts w:hint="eastAsia"/>
          <w:sz w:val="21"/>
          <w:szCs w:val="21"/>
        </w:rPr>
        <w:t xml:space="preserve">内部控制原则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（1）全面性原则。内部控制覆盖各项业务过程和操作环节、覆盖所有团队和岗位。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（2）审慎性原则。托管组织体系的构成、内部管理制度的建立均以防范风险、审慎经营为出发点，以有效防范各种风险作为内部控制的核心，体现“内控优先”的要求。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（3）独立性原则。招商银行资产托管部各团队、各岗位职责保持相对独立，不同托管资产之间、托管资产和自有资产之间相互分离。内部控制的检查、评价部门独立于内部控制的建立和执行部门。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（4）有效性原则。内部控制具有高度的权威性，任何人不得拥有不受内部控制约束的权利，内部控制存在的问题能够得到及时的反馈和纠正。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（5）适应性原则。内部控制适应招商银行托管业务风险管理的需要，并能够随着托管业务经营战略、经营方针、经营理念等内部环境的变化和国家法律、法规、政策制度等外部环境的改变及时进行修订和完善。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（6）防火墙原则。招商银行资产托管部配备独立的托管业务技术系统，包括网络系统、应用系统、安全防护系统、数据备份系统。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（7）重要性原则。内部控制在实现全面控制的基础上，关注重要托管业务事项和高风险领域。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（8）制衡性原则。内部控制能够实现在托管组织体系、机构设置及权责分配、业务流程等方面形成相互制约、相互监督，同时兼顾运营效率。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4、</w:t>
      </w:r>
      <w:r w:rsidR="00284027">
        <w:rPr>
          <w:sz w:val="21"/>
          <w:szCs w:val="21"/>
        </w:rPr>
        <w:t xml:space="preserve">  </w:t>
      </w:r>
      <w:r w:rsidRPr="000A08E3">
        <w:rPr>
          <w:rFonts w:hint="eastAsia"/>
          <w:sz w:val="21"/>
          <w:szCs w:val="21"/>
        </w:rPr>
        <w:t xml:space="preserve">内部控制措施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1）完善的制度建设。招商银行资产托管部从资产托管业务内控管理、产品受理、会计核算、资金清算、岗位管理、档案管理和信息管理等方面制定一系列规章制度，保证资产托管业务科学化、制度化、规范化运作。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（2）经营风险控制。招商银行资产托管部制定托管项目审批、资金清算与会计核算双人双岗、大额资金专人跟踪、凭证管理等一系列完整的操作规程，有效地控制业务运作过程中的风险。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lastRenderedPageBreak/>
        <w:t xml:space="preserve">（3）业务信息风险控制。招商银行资产托管部在数据传输和保存方面有严格的加密和备份措施，采用加密、直连方式传输数据，数据执行异地实时备份，所有的业务信息须经过严格的授权方能进行访问。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（4）客户资料风险控制。招商银行资产托管部对业务办理过程中形成的客户资料，视同会计资料保管。客户资料不得泄露，有关人员如需调用，须经总经理室成员审批，并做好调用登记。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5）信息技术系统风险控制。招商银行对信息技术系统管理实行双人双岗双责、机房24小时值班并设置门禁管理、电脑密码设置及权限管理、业务网和办公网、托管业务网与全行业务网双分离制度，与外部业务机构实行防火墙保护，对信息技术系统采取两地三中心的应急备份管理措施等，保证信息技术系统的安全。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（6）人力资源控制。招商银行资产托管部通过建立良好的企业文化和员工培训、激励机制、加强人力资源管理及建立人才梯级队伍及人才储备机制，有效的进行人力资源管理。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（五）基金托管人对基金管理人运作基金进行监督的方法和程序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根据《中华人民共和国证券投资基金法》、《公开募集证券投资基金运作管理办法》等有关法律法规的规定及基金合同、托管协议的约定，对基金投资范围、投资比例、投资组合等情况的合法性、合规性进行监督和核查。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 xml:space="preserve">在为基金投资运作所提供的基金清算和核算服务环节中，基金托管人对基金管理人发送的投资指令、基金管理人对各基金费用的提取与支付情况进行检查监督，对违反法律法规、基金合同的指令拒绝执行，并立即通知基金管理人。 </w:t>
      </w:r>
    </w:p>
    <w:p w:rsidR="000A08E3" w:rsidRPr="000A08E3" w:rsidRDefault="000A08E3">
      <w:pPr>
        <w:pStyle w:val="a3"/>
        <w:spacing w:before="0" w:beforeAutospacing="0" w:after="0" w:afterAutospacing="0" w:line="360" w:lineRule="auto"/>
        <w:ind w:firstLine="420"/>
        <w:divId w:val="1593705966"/>
        <w:rPr>
          <w:sz w:val="21"/>
          <w:szCs w:val="21"/>
        </w:rPr>
      </w:pPr>
      <w:r w:rsidRPr="000A08E3">
        <w:rPr>
          <w:rFonts w:hint="eastAsia"/>
          <w:sz w:val="21"/>
          <w:szCs w:val="21"/>
        </w:rPr>
        <w:t>基金托管人如发现基金管理人依据交易程序已经生效的投资指令违反法律、行政法规和其他有关规定，或者违反基金合同约定，及时以书面形式通知基金管理人进行整改，整改的时限应符合法律法规及基金合同允许的调整期限。基金管理人收到通知后应及时核对确认并以书面形式向基金托管人发出回函并改正。基金管理人对基金托管人通知的违规事项未能在</w:t>
      </w:r>
      <w:bookmarkStart w:id="51" w:name="chapter_level1_6_55_section_2_end"/>
      <w:bookmarkEnd w:id="51"/>
      <w:r w:rsidRPr="000A08E3">
        <w:rPr>
          <w:rFonts w:hint="eastAsia"/>
          <w:sz w:val="21"/>
          <w:szCs w:val="21"/>
        </w:rPr>
        <w:t>限期内纠正的，基金托管人应报告中国证监会。</w:t>
      </w:r>
      <w:bookmarkStart w:id="52" w:name="field_0_trustcontrollawinfo_1_end"/>
      <w:bookmarkEnd w:id="52"/>
      <w:r w:rsidR="00284027">
        <w:rPr>
          <w:sz w:val="21"/>
          <w:szCs w:val="21"/>
        </w:rPr>
        <w:t xml:space="preserve">  </w:t>
      </w:r>
      <w:r w:rsidRPr="000A08E3">
        <w:rPr>
          <w:rFonts w:hint="eastAsia"/>
          <w:sz w:val="21"/>
          <w:szCs w:val="21"/>
        </w:rPr>
        <w:t xml:space="preserve">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53" w:name="chapter_level1_7_56"/>
      <w:bookmarkStart w:id="54" w:name="_Toc26382909"/>
      <w:r w:rsidRPr="000A08E3">
        <w:rPr>
          <w:rFonts w:ascii="宋体" w:eastAsia="宋体" w:hAnsi="宋体" w:hint="eastAsia"/>
          <w:sz w:val="30"/>
        </w:rPr>
        <w:lastRenderedPageBreak/>
        <w:t>第五部分  相关服务机构</w:t>
      </w:r>
      <w:bookmarkEnd w:id="53"/>
      <w:bookmarkEnd w:id="54"/>
    </w:p>
    <w:p w:rsidR="000A08E3" w:rsidRPr="000A08E3" w:rsidRDefault="000A08E3">
      <w:pPr>
        <w:pStyle w:val="a3"/>
        <w:spacing w:before="0" w:beforeAutospacing="0" w:after="0" w:afterAutospacing="0" w:line="360" w:lineRule="auto"/>
        <w:ind w:firstLine="420"/>
        <w:divId w:val="959920029"/>
        <w:rPr>
          <w:sz w:val="21"/>
          <w:szCs w:val="21"/>
        </w:rPr>
      </w:pPr>
      <w:bookmarkStart w:id="55" w:name="chapter_level1_7_56_section_1"/>
      <w:bookmarkEnd w:id="55"/>
      <w:r w:rsidRPr="000A08E3">
        <w:rPr>
          <w:rFonts w:hint="eastAsia"/>
          <w:b/>
          <w:bCs/>
          <w:sz w:val="21"/>
          <w:szCs w:val="21"/>
        </w:rPr>
        <w:t>一、基金份额销售机构</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59920029"/>
        <w:rPr>
          <w:sz w:val="21"/>
          <w:szCs w:val="21"/>
        </w:rPr>
      </w:pPr>
      <w:r w:rsidRPr="000A08E3">
        <w:rPr>
          <w:rFonts w:hint="eastAsia"/>
          <w:sz w:val="21"/>
          <w:szCs w:val="21"/>
        </w:rPr>
        <w:t xml:space="preserve">1、直销机构 </w:t>
      </w:r>
    </w:p>
    <w:p w:rsidR="000A08E3" w:rsidRPr="000A08E3" w:rsidRDefault="000A08E3">
      <w:pPr>
        <w:pStyle w:val="a3"/>
        <w:spacing w:before="0" w:beforeAutospacing="0" w:after="0" w:afterAutospacing="0" w:line="360" w:lineRule="auto"/>
        <w:ind w:firstLine="420"/>
        <w:divId w:val="959920029"/>
        <w:rPr>
          <w:sz w:val="21"/>
          <w:szCs w:val="21"/>
        </w:rPr>
      </w:pPr>
      <w:bookmarkStart w:id="56" w:name="field_0_marketcompanyinfo_1_start"/>
      <w:bookmarkEnd w:id="56"/>
      <w:r w:rsidRPr="000A08E3">
        <w:rPr>
          <w:rFonts w:hint="eastAsia"/>
          <w:sz w:val="21"/>
          <w:szCs w:val="21"/>
        </w:rPr>
        <w:t xml:space="preserve">名称：博时基金管理有限公司北京直销中心 </w:t>
      </w:r>
    </w:p>
    <w:p w:rsidR="000A08E3" w:rsidRPr="000A08E3" w:rsidRDefault="000A08E3">
      <w:pPr>
        <w:pStyle w:val="a3"/>
        <w:spacing w:before="0" w:beforeAutospacing="0" w:after="0" w:afterAutospacing="0" w:line="360" w:lineRule="auto"/>
        <w:ind w:firstLine="420"/>
        <w:divId w:val="959920029"/>
        <w:rPr>
          <w:sz w:val="21"/>
          <w:szCs w:val="21"/>
        </w:rPr>
      </w:pPr>
      <w:r w:rsidRPr="000A08E3">
        <w:rPr>
          <w:rFonts w:hint="eastAsia"/>
          <w:sz w:val="21"/>
          <w:szCs w:val="21"/>
        </w:rPr>
        <w:t xml:space="preserve">地址：北京市建国门内大街18号恒基中心1座23层 </w:t>
      </w:r>
    </w:p>
    <w:p w:rsidR="000A08E3" w:rsidRPr="000A08E3" w:rsidRDefault="000A08E3">
      <w:pPr>
        <w:pStyle w:val="a3"/>
        <w:spacing w:before="0" w:beforeAutospacing="0" w:after="0" w:afterAutospacing="0" w:line="360" w:lineRule="auto"/>
        <w:ind w:firstLine="420"/>
        <w:divId w:val="959920029"/>
        <w:rPr>
          <w:sz w:val="21"/>
          <w:szCs w:val="21"/>
        </w:rPr>
      </w:pPr>
      <w:r w:rsidRPr="000A08E3">
        <w:rPr>
          <w:rFonts w:hint="eastAsia"/>
          <w:sz w:val="21"/>
          <w:szCs w:val="21"/>
        </w:rPr>
        <w:t xml:space="preserve">电话：010-65187055 </w:t>
      </w:r>
    </w:p>
    <w:p w:rsidR="000A08E3" w:rsidRPr="000A08E3" w:rsidRDefault="000A08E3">
      <w:pPr>
        <w:pStyle w:val="a3"/>
        <w:spacing w:before="0" w:beforeAutospacing="0" w:after="0" w:afterAutospacing="0" w:line="360" w:lineRule="auto"/>
        <w:ind w:firstLine="420"/>
        <w:divId w:val="959920029"/>
        <w:rPr>
          <w:sz w:val="21"/>
          <w:szCs w:val="21"/>
        </w:rPr>
      </w:pPr>
      <w:r w:rsidRPr="000A08E3">
        <w:rPr>
          <w:rFonts w:hint="eastAsia"/>
          <w:sz w:val="21"/>
          <w:szCs w:val="21"/>
        </w:rPr>
        <w:t xml:space="preserve">传真：010-65187032、010-65187592 </w:t>
      </w:r>
    </w:p>
    <w:p w:rsidR="000A08E3" w:rsidRPr="000A08E3" w:rsidRDefault="000A08E3">
      <w:pPr>
        <w:pStyle w:val="a3"/>
        <w:spacing w:before="0" w:beforeAutospacing="0" w:after="0" w:afterAutospacing="0" w:line="360" w:lineRule="auto"/>
        <w:ind w:firstLine="420"/>
        <w:divId w:val="959920029"/>
        <w:rPr>
          <w:sz w:val="21"/>
          <w:szCs w:val="21"/>
        </w:rPr>
      </w:pPr>
      <w:r w:rsidRPr="000A08E3">
        <w:rPr>
          <w:rFonts w:hint="eastAsia"/>
          <w:sz w:val="21"/>
          <w:szCs w:val="21"/>
        </w:rPr>
        <w:t xml:space="preserve">联系人：韩明亮 </w:t>
      </w:r>
    </w:p>
    <w:p w:rsidR="000A08E3" w:rsidRPr="000A08E3" w:rsidRDefault="000A08E3">
      <w:pPr>
        <w:pStyle w:val="a3"/>
        <w:spacing w:before="0" w:beforeAutospacing="0" w:after="0" w:afterAutospacing="0" w:line="360" w:lineRule="auto"/>
        <w:ind w:firstLine="420"/>
        <w:divId w:val="959920029"/>
        <w:rPr>
          <w:sz w:val="21"/>
          <w:szCs w:val="21"/>
        </w:rPr>
      </w:pPr>
      <w:bookmarkStart w:id="57" w:name="chapter_level1_7_56_section_1_end"/>
      <w:bookmarkEnd w:id="57"/>
      <w:r w:rsidRPr="000A08E3">
        <w:rPr>
          <w:rFonts w:hint="eastAsia"/>
          <w:sz w:val="21"/>
          <w:szCs w:val="21"/>
        </w:rPr>
        <w:t xml:space="preserve">博时一线通：95105568（免长途话费） </w:t>
      </w:r>
      <w:bookmarkStart w:id="58" w:name="field_0_marketcompanyinfo_1_end"/>
      <w:bookmarkEnd w:id="58"/>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152403130"/>
        <w:rPr>
          <w:sz w:val="21"/>
          <w:szCs w:val="21"/>
        </w:rPr>
      </w:pPr>
      <w:bookmarkStart w:id="59" w:name="chapter_level1_7_56_section_2"/>
      <w:bookmarkEnd w:id="59"/>
      <w:r w:rsidRPr="000A08E3">
        <w:rPr>
          <w:rFonts w:hint="eastAsia"/>
          <w:sz w:val="21"/>
          <w:szCs w:val="21"/>
        </w:rPr>
        <w:t xml:space="preserve">2、代销机构 </w:t>
      </w:r>
    </w:p>
    <w:p w:rsidR="000A08E3" w:rsidRPr="000A08E3" w:rsidRDefault="000A08E3">
      <w:pPr>
        <w:pStyle w:val="a3"/>
        <w:spacing w:before="0" w:beforeAutospacing="0" w:after="0" w:afterAutospacing="0" w:line="360" w:lineRule="auto"/>
        <w:ind w:firstLine="420"/>
        <w:divId w:val="1152403130"/>
        <w:rPr>
          <w:sz w:val="21"/>
          <w:szCs w:val="21"/>
        </w:rPr>
      </w:pPr>
      <w:bookmarkStart w:id="60" w:name="field_0_allproxysaletables_1_start"/>
      <w:bookmarkEnd w:id="60"/>
      <w:r w:rsidRPr="000A08E3">
        <w:rPr>
          <w:rFonts w:hint="eastAsia"/>
          <w:b/>
          <w:bCs/>
          <w:sz w:val="21"/>
          <w:szCs w:val="21"/>
        </w:rPr>
        <w:t>(1)中国银行股份有限公司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北京市西城区复兴门内大街1号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北京市西城区复兴门内大街1号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刘连舸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高越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010-66594973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http://www.boc.cn/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(2)交通银行股份有限公司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上海市银城中路188号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上海市银城中路188号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彭纯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王菁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021-58781234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021-58408483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95559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http://www.bankcomm.com/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(3)招商银行股份有限公司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深圳市福田区深南大道7088号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深圳市福田区深南大道7088号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李建红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邓炯鹏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0755－83198888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0755－83195049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95555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http://www.cmbchina.com/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lastRenderedPageBreak/>
        <w:t>(4)中国民生银行股份有限公司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北京市西城区复兴门内大街2号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北京市西城区复兴门内大街2号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洪崎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王继伟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010－58560666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010－57092611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http://www.cmbc.com.cn/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(5)中国邮政储蓄银行股份有限公司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北京市西城区金融大街3号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北京市西城区金融大街3号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张金良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陈春林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010－68858117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95580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http://www.psbc.com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(6)广发银行股份有限公司</w:t>
      </w:r>
    </w:p>
    <w:tbl>
      <w:tblPr>
        <w:tblStyle w:val="a8"/>
        <w:tblW w:w="8353" w:type="dxa"/>
        <w:tblLook w:val="04A0" w:firstRow="1" w:lastRow="0" w:firstColumn="1" w:lastColumn="0" w:noHBand="0" w:noVBand="1"/>
      </w:tblPr>
      <w:tblGrid>
        <w:gridCol w:w="2269"/>
        <w:gridCol w:w="608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广州市越秀区农林下路83号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广州市越秀区农林下路83号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王滨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陈泾渭/刘伟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020-38321497/020-38322566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020-38321676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4008308003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http://www.cgbchina.com.cn/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(7)平安银行股份有限公司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深圳市深南东路5047号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深圳市深南东路5047号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谢永林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施艺帆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021-50979384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021-50979507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95511-3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http://bank.pingan.com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(8)上海农村商业银行股份有限公司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上海市浦东新区银城中路8号15-20楼、22-27楼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上海市浦东新区银城中路8号15-20楼、22-27楼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冀光恒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施传荣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021－38576666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021－50105124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021-962999;4006962999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http://www.srcb.com/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(9)东莞银行股份有限公司</w:t>
      </w:r>
    </w:p>
    <w:tbl>
      <w:tblPr>
        <w:tblStyle w:val="a8"/>
        <w:tblW w:w="8353" w:type="dxa"/>
        <w:tblLook w:val="04A0" w:firstRow="1" w:lastRow="0" w:firstColumn="1" w:lastColumn="0" w:noHBand="0" w:noVBand="1"/>
      </w:tblPr>
      <w:tblGrid>
        <w:gridCol w:w="2281"/>
        <w:gridCol w:w="607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东莞市莞城区体育路21号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东莞市莞城区体育路21号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卢国锋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吴照群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0769－22119061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0769－22117730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4001196228;0769-96228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http://www.dongguanbank.cn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(10)杭州银行股份有限公司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杭州市庆春路46号杭州银行大厦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杭州市庆春路46号杭州银行大厦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陈震山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严峻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0571－85108195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0571－85106576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95398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http://www.hzbank.com.cn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(11)南京银行股份有限公司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南京市白下区淮海路50号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南京市玄武区中山路288号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林复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刘晔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025－86775335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025－86775376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http://www.njcb.com.cn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(12)汉口银行股份有限公司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武汉市江汉区建设大道933号汉口银行大厦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武汉市江汉区建设大道933号汉口银行大厦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陈新民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李欣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027-82656704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027-82656236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027-96558（武汉）;4006096558（全国）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http://www.hkbchina.com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(13)江苏银行股份有限公司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南京市洪武北路55号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南京市中华路26号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夏平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田春慧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025-58587018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025-58587038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http://www.jsbchina.cn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(14)渤海银行股份有限公司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天津市河东区海河东路218号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天津市河东区海河东路218号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李伏安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022-58316666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022-58316569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95541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http://www.cbhb.com.cn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(15)大连银行股份有限公司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辽宁省大连市中山区中山路88号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大连市中山区中山路88号天安国际大厦43楼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陈占维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朱珠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0411-82311131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4006640099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http://www.bankofdl.com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(16)浙江民泰商业银行股份有限公司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浙江省温岭市太平街道三星大道168号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浙江省杭州市江干区丹桂街8号汉嘉国际401室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江建法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沈斯诺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95343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www.mintaibank.com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(17)哈尔滨银行股份有限公司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哈尔滨市道里区尚志大街160号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哈尔滨市道里区上江街888号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郭志文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李至北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0451-87792450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0451-87792682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95537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http://www.hrbb.com.cn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lastRenderedPageBreak/>
        <w:t>(18)东莞农村商业银行股份有限公司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广东省东莞市东城区鸿福东路2号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广东省东莞市东城区鸿福东路2号东莞农商银行大厦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王耀球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杨亢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0769-22866270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0769-22866282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961122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http://www.drcbank.com/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(19)河北银行股份有限公司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河北省石家庄市平安北大街28号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河北省石家庄市平安北大街28号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乔志强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王丽辉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0311-67806407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0311-88627027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400-612-9999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http://www.hebbank.com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(20)嘉兴银行股份有限公司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嘉兴市建国南路409号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嘉兴市建国南路409号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夏林生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顾晓光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0573-82099660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0573-82099660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0573-96528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http://www.bojx.com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(21)江苏苏州农村商业银行股份有限公司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江苏省苏州市吴江区中山南路1777号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江苏省苏州市吴江区中山南路1777号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魏礼亚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陆文菁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0512-63969209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0512-63969209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4008696068</w:t>
            </w:r>
            <w:r w:rsidR="00284027">
              <w:rPr>
                <w:sz w:val="21"/>
              </w:rPr>
              <w:t xml:space="preserve">   </w:t>
            </w:r>
            <w:r w:rsidRPr="000A08E3">
              <w:rPr>
                <w:rFonts w:hint="eastAsia"/>
                <w:sz w:val="21"/>
              </w:rPr>
              <w:t xml:space="preserve">0512-96068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www.szrcb.com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(22)西安银行股份有限公司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西安市高新路60号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西安市高新路60号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郭军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白智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029-88992881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029-88992881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4008696779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www.xacbank.com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(23)江苏江南农村商业银行股份有限公司</w:t>
      </w:r>
    </w:p>
    <w:tbl>
      <w:tblPr>
        <w:tblStyle w:val="a8"/>
        <w:tblW w:w="8353" w:type="dxa"/>
        <w:tblLook w:val="04A0" w:firstRow="1" w:lastRow="0" w:firstColumn="1" w:lastColumn="0" w:noHBand="0" w:noVBand="1"/>
      </w:tblPr>
      <w:tblGrid>
        <w:gridCol w:w="2341"/>
        <w:gridCol w:w="601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常州市延陵中路668号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常州市和平中路413号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陆向阳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包静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0519-89995066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0519-89995170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0519-96005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http://www.jnbank.cc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(24)包商银行股份有限公司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内蒙古包头市青山区钢铁大街6号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内蒙古包头市青山区钢铁大街6号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李镇西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010-84596580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010-84596546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www.bsb.com.cn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(25)苏州银行股份有限公司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江苏省苏州市工业园区钟园路728号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江苏省苏州市工业园区钟园路728号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王兰凤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熊志强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0512-69868390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0512-69868370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96067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www.suzhoubank.com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(26)威海市商业银行股份有限公司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威海市宝泉路9号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济南市经十路奥体金融中心d栋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谭先国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武芳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0531-68978175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0531-68978176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省内96636、境内4000096636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http://www.whccb.com/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lastRenderedPageBreak/>
        <w:t>(27)四川天府银行股份有限公司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四川省南充市顺庆区涪江路1号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四川省南充市滨江中路一段97号26栋泰和尚渡南充市商业银行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黄光伟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李俊辉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0817-7118079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0817-7118322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400-16-96869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http://www.cgnb.cn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(28)晋商银行股份有限公司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山西省太原市万柏林区长风西街一号丽华大厦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山西省太原市万柏林区长风西街一号丽华大厦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阎俊生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董嘉文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0351-6819926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0351-6819926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95105588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http://www.jshbank.com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(29)浙江绍兴瑞丰农村商业银行股份有限公司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浙江绍兴柯桥笛扬路1363号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浙江绍兴柯桥笛扬路1363号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俞俊海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孟建潮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0575-84788101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0575-84788134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400-889-6596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http://www.borf.cn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(30)深圳市新兰德证券投资咨询有限公司</w:t>
      </w:r>
    </w:p>
    <w:tbl>
      <w:tblPr>
        <w:tblStyle w:val="a8"/>
        <w:tblW w:w="8353" w:type="dxa"/>
        <w:tblLook w:val="04A0" w:firstRow="1" w:lastRow="0" w:firstColumn="1" w:lastColumn="0" w:noHBand="0" w:noVBand="1"/>
      </w:tblPr>
      <w:tblGrid>
        <w:gridCol w:w="2341"/>
        <w:gridCol w:w="601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深圳市福田区华强北路赛格科技园4栋10层1006#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北京市西城区宣武门外大街28号富卓大厦A座6层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张燕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010-58325388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010-58325300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400-166-1188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http://8.jrj.com.cn/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(31)厦门市鑫鼎盛控股有限公司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厦门市思明区鹭江道2号厦门第一广场1501-1504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厦门市思明区鹭江道2号厦门第一广场1501-1504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陈洪生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徐明静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0592-3122716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0592-8060771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400-918-0808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www.xds.com.cn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(32)江苏天鼎证券投资咨询有限公司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南京市秦淮区太平南路389号1002室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南京市鼓楼区平安里74号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金婷婷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黄丹昀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025-66001159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025-66001172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025-962155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www.tdtz888.com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(33)江苏汇林保大基金销售有限公司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南京市高淳区经济开发区古檀大道47号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F22690">
            <w:pPr>
              <w:pStyle w:val="a3"/>
              <w:rPr>
                <w:sz w:val="21"/>
              </w:rPr>
            </w:pPr>
            <w:r w:rsidRPr="00F22690">
              <w:rPr>
                <w:rFonts w:hint="eastAsia"/>
                <w:sz w:val="21"/>
              </w:rPr>
              <w:t>南京市鼓楼区中山北路2号绿地紫峰大厦2005室</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吴言林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F22690">
            <w:pPr>
              <w:pStyle w:val="a3"/>
              <w:rPr>
                <w:sz w:val="21"/>
              </w:rPr>
            </w:pPr>
            <w:r w:rsidRPr="00F22690">
              <w:rPr>
                <w:rFonts w:hint="eastAsia"/>
                <w:sz w:val="21"/>
              </w:rPr>
              <w:t>林伊灵</w:t>
            </w:r>
            <w:r w:rsidR="000A08E3"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F22690">
            <w:pPr>
              <w:pStyle w:val="a3"/>
              <w:rPr>
                <w:sz w:val="21"/>
              </w:rPr>
            </w:pPr>
            <w:r w:rsidRPr="00F22690">
              <w:rPr>
                <w:sz w:val="21"/>
              </w:rPr>
              <w:t>025-66046166</w:t>
            </w:r>
            <w:r w:rsidR="000A08E3"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025-56663409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025-66046166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www.huilinbd.com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(34)上海挖财金融信息服务有限公司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中国（上海）自由贸易试验区杨高南路799号5楼01、02、03室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上海市浦东新区杨高南路799号陆家嘴世纪金融广场3号楼5层01、02、03室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胡燕亮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陈璐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021-50810687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021-58300279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021-50810673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http://wacaijijin.com/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(35)大河财富基金销售有限公司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贵州省贵阳市南明区新华路110-134号富中国际广场1栋20层1、2号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贵州省贵阳市南明区新华路110-134号富中国际广场1栋20层1、2号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王荻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方凯鑫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0851-88405606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0851-88405599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0851-88235678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www.urainf.com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(36)腾安基金销售（深圳）有限公司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深圳市前海深港合作区前湾一路1号A栋201室（入驻深圳市前海商务秘书有限公司）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深圳市南山区海天二路33号腾讯滨海大厦15层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刘明军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谭广锋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0755-86013399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95017(拨通后转1再转8)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https://www.txfund.com/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(37)民商基金销售（上海）有限公司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上海黄浦区北京东路666号H区（东座）6楼A31室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上海市浦东新区张杨路707号生命人寿大厦32楼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贲惠琴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钟伟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020-50206003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020-50206001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020-50206003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www.msftec.com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(38)北京百度百盈基金销售有限公司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北京市海淀区上地十街10号1幢1层101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北京市海淀区上地信息路甲9号奎泰大厦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张旭阳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孙博超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010-59925987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010-61951007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59922681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www.baiyingfund.com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(39)诺亚正行基金销售有限公司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上海市金山区廊下镇漕廊公路7650号205室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上海浦东新区银城中路68号时代金融中心8楼801室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汪静波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方成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021-38602377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021-38509777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400-821-5399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http://www.noah-fund.com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(40)深圳众禄基金销售股份有限公司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深圳市罗湖区梨园路物资控股置地大厦8楼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深圳市罗湖区梨园路物资控股置地大厦8楼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薛峰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童彩平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0755-33227950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0755-33227951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400-678-8887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https://www.zlfund.cn/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(41)上海天天基金销售有限公司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上海市徐汇区龙田路190号2号楼2层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上海市徐汇区龙田路195号3C座9楼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其实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潘世友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021-54509998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021-64385308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400-181-8188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http://www.1234567.com.cn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(42)上海好买基金销售有限公司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上海市虹口区场中路685弄37号4号楼449室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上海市浦东新区浦东南路1118号鄂尔多斯国际大厦903～906室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杨文斌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张茹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021-20613610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400-700-9665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http://www.ehowbuy.com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(43)蚂蚁（杭州）基金销售有限公司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杭州市余杭区仓前街道文一西路1218号1栋202室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浙江省杭州市滨江区江南大道3588号恒生大厦12楼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陈柏青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朱晓超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021-60897840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0571-26697013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400-076-6123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http://www.fund123.cn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(44)上海长量基金销售有限公司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上海市浦东新区高翔路526号2幢220室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上海市浦东新区东方路1267号11层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张跃伟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敖玲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021-58788678-8201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021—58787698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400-820-2899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http://www.erichfund.com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(45)浙江同花顺基金销售有限公司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杭州市西湖区文二西路1号元茂大厦903室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浙江省杭州市余杭区五常街道同顺街18号同花顺大楼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凌顺平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0571-88911818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0571-86800423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400-877-3772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www.5ifund.com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(46)上海利得基金销售有限公司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上海市宝山区蕴川路5475号1033室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上海浦东新区峨山路91弄61号10号楼12楼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李兴春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徐鹏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021-50583533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021-50583633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400-921-7755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http://a.leadfund.com.cn/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(47)嘉实财富管理有限公司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上海市浦东新区世纪大道8号上海国金中心办公楼二期46层4609-10单元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北京市朝阳区建国路91号金地中心A座6层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赵学军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余永键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010-85097570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010-65215433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400-021-8850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www.harvestwm.cn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(48)乾道金融信息服务（北京）有限公司</w:t>
      </w:r>
    </w:p>
    <w:tbl>
      <w:tblPr>
        <w:tblStyle w:val="a8"/>
        <w:tblW w:w="8353" w:type="dxa"/>
        <w:tblLook w:val="04A0" w:firstRow="1" w:lastRow="0" w:firstColumn="1" w:lastColumn="0" w:noHBand="0" w:noVBand="1"/>
      </w:tblPr>
      <w:tblGrid>
        <w:gridCol w:w="2368"/>
        <w:gridCol w:w="598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北京市海淀区东北旺村南1号楼7层7117室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北京市西城区德外大街合生财富广场1302室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王兴吉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高雪超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010-62062880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010-82057741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400-088-8080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www.qiandaojr.com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(49)宜信普泽（北京）基金销售有限公司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北京市朝阳区建国路88号9号楼15层1809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北京市朝阳区建国路88号SOHO现代城C座18层1809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戎兵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程刚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010-52855713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010-85894285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400-609-9200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http://www.yixinfund.com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(50)南京苏宁基金销售有限公司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南京市玄武区苏宁大道1-5号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南京市玄武区苏宁大道1-5号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钱燕飞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喻明明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025-66996699-884131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025-66996699-884131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95177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www.snjijin.com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(51)浦领基金销售有限公司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北京市朝阳区望京东园四区13号楼A座9层908室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北京市朝阳区望京浦项中心A座9层04-08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聂婉君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010-59497361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010-64788016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400-012-5899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www.zscffund.com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(52)北京恒天明泽基金销售有限公司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北京市北京经济技术开发区宏达北路10号5层5122室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北京市朝阳区东三环中路20号乐成中心A座23层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马鹏程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010-57756074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010-56810782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400-8980-618</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www.chtwm.com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(53)深圳前海汇联基金销售有限公司</w:t>
      </w:r>
    </w:p>
    <w:tbl>
      <w:tblPr>
        <w:tblStyle w:val="a8"/>
        <w:tblW w:w="8353" w:type="dxa"/>
        <w:tblLook w:val="04A0" w:firstRow="1" w:lastRow="0" w:firstColumn="1" w:lastColumn="0" w:noHBand="0" w:noVBand="1"/>
      </w:tblPr>
      <w:tblGrid>
        <w:gridCol w:w="2269"/>
        <w:gridCol w:w="608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深圳市前海深巷合作区前湾一路1号A栋201室（入驻深圳市前海商务秘书有限公司）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深圳市南山区高新技术产业园区高新南六道6号迈科龙大厦19楼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薛峰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周闻川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0755-26900826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0755-26920972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400-992-8211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https://www.xiniujijin.com/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(54)北京汇成基金销售有限公司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北京市西城区西直门外大街1号院2号楼（西环广场T2）19层19C13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北京市西城区西直门外大街1号院2号楼（西环广场T2）19层19C13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王伟刚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丁向坤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010-56282140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010-62680827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400-619-9059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www.hcjijin.com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(55)深圳盈信基金销售有限公司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深圳市福田区莲花街道商报东路英龙商务大厦8楼A-1（811-812）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大连市中山区南山路155号南山1910小区A3-1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苗宏升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胡碧萱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0411-66889888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0411-66889827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400-790-3688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www.fundying.com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(56)一路财富（北京）基金销售股份有限公司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北京市西城区车公庄大街9号院5号楼702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北京市西城区阜成门外大街2号万通新世界A座2208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吴雪秀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段京璐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010-88312877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010-88312099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400-001-1566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http://www.yilucaifu.com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(57)北京钱景基金销售有限公司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北京市海淀区丹棱街6号1幢9层1008-1012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北京市海淀区丹棱街6号1幢9层1008-1012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赵荣春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魏争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010-57418829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010-57569671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400-893-6885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www.qianjing.com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(58)北京唐鼎耀华基金销售有限公司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北京市延庆县延庆经济开发区百泉街10号2栋236室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北京市朝阳区亮马桥路甲40号二十一世纪大厦A303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张冠宇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010-53570568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010-59200800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400-819-9868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http://www.tdyhfund.com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(59)海银基金销售有限公司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上海市浦东新区东方路1217号16楼B单元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上海市浦东新区银城中路8号4楼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刘惠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毛林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021-80133597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021-80133413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400-808-1016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www.fundhaiyin.com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(60)北京广源达信投资管理有限公司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北京市西城区新街口外大街28号C座6层605室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北京市朝阳区望京东园四区13号楼浦项中心B座19层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齐剑辉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王英俊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400-623-6060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010-82055860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400-623-6060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www.niuniufund.com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(61)天津国美基金销售有限公司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天津经济技术开发区南港工业区综合服务区办公楼D座二层202-124室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北京市朝阳区霄云路26号鹏润大厦B座19层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丁东华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郭宝亮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010-59287061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010-59287825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400-111-0889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www.gomefund.com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(62)北京新浪仓石基金销售有限公司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北京市海淀区东北旺西路中关村软件园二期（西扩）N-1、N-2地块新浪总部科研楼5层518室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北京市海淀区西北旺东路10号院东区3号楼为明大厦C座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赵芯蕊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赵芯蕊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010-62675768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010-62676582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010-62675369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www.xincai.com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(63)上海万得基金销售有限公司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中国（上海）自由贸易试验区福山路33号11楼B座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上海市浦东新区浦明路1500号万得大厦11楼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王廷富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姜吉灵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021-5132</w:t>
            </w:r>
            <w:r w:rsidR="00284027">
              <w:rPr>
                <w:sz w:val="21"/>
              </w:rPr>
              <w:t xml:space="preserve"> </w:t>
            </w:r>
            <w:r w:rsidRPr="000A08E3">
              <w:rPr>
                <w:rFonts w:hint="eastAsia"/>
                <w:sz w:val="21"/>
              </w:rPr>
              <w:t xml:space="preserve">7185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021-6888</w:t>
            </w:r>
            <w:r w:rsidR="00284027">
              <w:rPr>
                <w:sz w:val="21"/>
              </w:rPr>
              <w:t xml:space="preserve"> </w:t>
            </w:r>
            <w:r w:rsidRPr="000A08E3">
              <w:rPr>
                <w:rFonts w:hint="eastAsia"/>
                <w:sz w:val="21"/>
              </w:rPr>
              <w:t xml:space="preserve">2281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400-821-0203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www.520fund.com.cn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(64)凤凰金信（银川）基金销售有限公司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宁夏回族自治区银川市金凤区阅海湾中央商务区万寿路142号14层1402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北京市朝阳区紫月路18号院</w:t>
            </w:r>
            <w:r w:rsidR="00284027">
              <w:rPr>
                <w:sz w:val="21"/>
              </w:rPr>
              <w:t xml:space="preserve"> </w:t>
            </w:r>
            <w:r w:rsidRPr="000A08E3">
              <w:rPr>
                <w:rFonts w:hint="eastAsia"/>
                <w:sz w:val="21"/>
              </w:rPr>
              <w:t xml:space="preserve">朝来高科技产业园18号楼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程刚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张旭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010-58160168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010-58160173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400-810-5919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www.fengfd.com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(65)上海联泰基金销售有限公司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中国（上海）自由贸易试验区富特北路277号3层310室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上海市长宁区福泉北路</w:t>
            </w:r>
            <w:r w:rsidR="00284027">
              <w:rPr>
                <w:sz w:val="21"/>
              </w:rPr>
              <w:t xml:space="preserve"> </w:t>
            </w:r>
            <w:r w:rsidRPr="000A08E3">
              <w:rPr>
                <w:rFonts w:hint="eastAsia"/>
                <w:sz w:val="21"/>
              </w:rPr>
              <w:t>518</w:t>
            </w:r>
            <w:r w:rsidR="00284027">
              <w:rPr>
                <w:sz w:val="21"/>
              </w:rPr>
              <w:t xml:space="preserve"> </w:t>
            </w:r>
            <w:r w:rsidRPr="000A08E3">
              <w:rPr>
                <w:rFonts w:hint="eastAsia"/>
                <w:sz w:val="21"/>
              </w:rPr>
              <w:t>号</w:t>
            </w:r>
            <w:r w:rsidR="00284027">
              <w:rPr>
                <w:sz w:val="21"/>
              </w:rPr>
              <w:t xml:space="preserve"> </w:t>
            </w:r>
            <w:r w:rsidRPr="000A08E3">
              <w:rPr>
                <w:rFonts w:hint="eastAsia"/>
                <w:sz w:val="21"/>
              </w:rPr>
              <w:t>8</w:t>
            </w:r>
            <w:r w:rsidR="00284027">
              <w:rPr>
                <w:sz w:val="21"/>
              </w:rPr>
              <w:t xml:space="preserve"> </w:t>
            </w:r>
            <w:r w:rsidRPr="000A08E3">
              <w:rPr>
                <w:rFonts w:hint="eastAsia"/>
                <w:sz w:val="21"/>
              </w:rPr>
              <w:t>座</w:t>
            </w:r>
            <w:r w:rsidR="00284027">
              <w:rPr>
                <w:sz w:val="21"/>
              </w:rPr>
              <w:t xml:space="preserve"> </w:t>
            </w:r>
            <w:r w:rsidRPr="000A08E3">
              <w:rPr>
                <w:rFonts w:hint="eastAsia"/>
                <w:sz w:val="21"/>
              </w:rPr>
              <w:t>3</w:t>
            </w:r>
            <w:r w:rsidR="00284027">
              <w:rPr>
                <w:sz w:val="21"/>
              </w:rPr>
              <w:t xml:space="preserve"> </w:t>
            </w:r>
            <w:r w:rsidRPr="000A08E3">
              <w:rPr>
                <w:rFonts w:hint="eastAsia"/>
                <w:sz w:val="21"/>
              </w:rPr>
              <w:t xml:space="preserve">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燕斌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兰敏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021-52822063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021-52975270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400-166-6788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www.66zichan.com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(66)泰诚财富基金销售（大连）有限公司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辽宁省大连市沙河口区星海中龙园3号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辽宁省大连市沙河口区星海中龙园3号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李春光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张晓辉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0411-88891212-327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0411-84396536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400-0411-001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www.haojiyoujijin.com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(67)江西正融基金销售有限公司</w:t>
      </w:r>
    </w:p>
    <w:tbl>
      <w:tblPr>
        <w:tblStyle w:val="a8"/>
        <w:tblW w:w="8353" w:type="dxa"/>
        <w:tblLook w:val="04A0" w:firstRow="1" w:lastRow="0" w:firstColumn="1" w:lastColumn="0" w:noHBand="0" w:noVBand="1"/>
      </w:tblPr>
      <w:tblGrid>
        <w:gridCol w:w="2368"/>
        <w:gridCol w:w="598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江西省南昌市高新开发区紫阳大道绿地新都会38栋商业楼2107室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江西省南昌市高新开发区紫阳大道绿地新都会38栋商业楼2107室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陆雯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胡聪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13879129841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0791-86692502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www.jxzrzg.com.cn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(68)泰信财富基金销售有限公司</w:t>
      </w:r>
    </w:p>
    <w:tbl>
      <w:tblPr>
        <w:tblStyle w:val="a8"/>
        <w:tblW w:w="8353" w:type="dxa"/>
        <w:tblLook w:val="04A0" w:firstRow="1" w:lastRow="0" w:firstColumn="1" w:lastColumn="0" w:noHBand="0" w:noVBand="1"/>
      </w:tblPr>
      <w:tblGrid>
        <w:gridCol w:w="2408"/>
        <w:gridCol w:w="594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北京市石景山区实兴大街30号院3号楼8层8995房间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北京市朝阳区建国路甲92号世茂大厦c-12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李丹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13601264918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010-53579751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4000048821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www.hxlc.com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(69)上海基煜基金销售有限公司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上海市崇明县长兴镇路潘园公路1800号2号楼6153室（上海泰和经济发展区）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上海市浦东新区银城中路488号太平金融大厦1503室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王翔</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蓝杰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021-65370077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021-55085991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400-820-5369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www.jiyufund.com.cn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(70)上海凯石财富基金销售有限公司</w:t>
      </w:r>
    </w:p>
    <w:tbl>
      <w:tblPr>
        <w:tblStyle w:val="a8"/>
        <w:tblW w:w="8353" w:type="dxa"/>
        <w:tblLook w:val="04A0" w:firstRow="1" w:lastRow="0" w:firstColumn="1" w:lastColumn="0" w:noHBand="0" w:noVBand="1"/>
      </w:tblPr>
      <w:tblGrid>
        <w:gridCol w:w="2341"/>
        <w:gridCol w:w="601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上海市黄浦区西藏南路765号602-115室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上海市黄浦区延安东路1号凯石大厦四楼</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陈继武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李晓明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021-63333319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021-63332523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400-643-3389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www.lingxianfund.com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(71)上海朝阳永续基金销售有限公司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浦东新区上丰路977号1幢B座812室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上海市浦东新区张江高科碧波路690号4号楼2层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廖冰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李翔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021-80234888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021-80234898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400-699-1888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http://www.998fund.com/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(72)上海陆金所基金销售有限公司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上海市浦东新区陆家嘴环路1333号14楼09单元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上海市浦东新区陆家嘴环路1333号14楼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郭坚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宁博宇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021-20665952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021-22066653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400-821-9031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www.lufunds.com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(73)珠海盈米基金销售有限公司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珠海市横琴新区宝华路6号105室-3491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广州市海珠区琶洲大道东1号保利国际广场南塔12楼B1201-1203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肖雯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吴煜浩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020-89629099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020-89629011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020-80629066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www.yingmi.cn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(74)和耕传承基金销售有限公司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郑州市郑东新区东风南路康宁街互联网金融大厦602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郑州市郑东新区东风南路康宁街互联网金融大厦602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李淑慧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董亚芳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0371-85518391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0371-85518397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400-360-0000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www.nicaifu.com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(75)南京途牛基金销售有限公司</w:t>
      </w:r>
    </w:p>
    <w:tbl>
      <w:tblPr>
        <w:tblStyle w:val="a8"/>
        <w:tblW w:w="8353" w:type="dxa"/>
        <w:tblLook w:val="04A0" w:firstRow="1" w:lastRow="0" w:firstColumn="1" w:lastColumn="0" w:noHBand="0" w:noVBand="1"/>
      </w:tblPr>
      <w:tblGrid>
        <w:gridCol w:w="2341"/>
        <w:gridCol w:w="601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南京市玄武区玄武大道699-1号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南京市玄武区玄武大道699-32号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宋时琳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张士帅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025-86853969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025-86853999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4007-999-999转3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http://jr.tuniu.com/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(76)奕丰基金销售有限公司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深圳市前海深港合作区前湾一路1号A</w:t>
            </w:r>
            <w:r w:rsidR="00284027">
              <w:rPr>
                <w:sz w:val="21"/>
              </w:rPr>
              <w:t xml:space="preserve"> </w:t>
            </w:r>
            <w:r w:rsidRPr="000A08E3">
              <w:rPr>
                <w:rFonts w:hint="eastAsia"/>
                <w:sz w:val="21"/>
              </w:rPr>
              <w:t>栋</w:t>
            </w:r>
            <w:r w:rsidR="00284027">
              <w:rPr>
                <w:sz w:val="21"/>
              </w:rPr>
              <w:t xml:space="preserve"> </w:t>
            </w:r>
            <w:r w:rsidRPr="000A08E3">
              <w:rPr>
                <w:rFonts w:hint="eastAsia"/>
                <w:sz w:val="21"/>
              </w:rPr>
              <w:t>201</w:t>
            </w:r>
            <w:r w:rsidR="00284027">
              <w:rPr>
                <w:sz w:val="21"/>
              </w:rPr>
              <w:t xml:space="preserve"> </w:t>
            </w:r>
            <w:r w:rsidRPr="000A08E3">
              <w:rPr>
                <w:rFonts w:hint="eastAsia"/>
                <w:sz w:val="21"/>
              </w:rPr>
              <w:t xml:space="preserve">室（入驻深圳市前海商务秘书有限公司）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深圳市南山区海德三路海岸大厦东座1116室及1307室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TAN</w:t>
            </w:r>
            <w:r w:rsidR="00284027">
              <w:rPr>
                <w:sz w:val="21"/>
              </w:rPr>
              <w:t xml:space="preserve"> </w:t>
            </w:r>
            <w:r w:rsidRPr="000A08E3">
              <w:rPr>
                <w:rFonts w:hint="eastAsia"/>
                <w:sz w:val="21"/>
              </w:rPr>
              <w:t>YIK</w:t>
            </w:r>
            <w:r w:rsidR="00284027">
              <w:rPr>
                <w:sz w:val="21"/>
              </w:rPr>
              <w:t xml:space="preserve"> </w:t>
            </w:r>
            <w:r w:rsidRPr="000A08E3">
              <w:rPr>
                <w:rFonts w:hint="eastAsia"/>
                <w:sz w:val="21"/>
              </w:rPr>
              <w:t xml:space="preserve">KUAN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许雅君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0755-89460502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0755-21674453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0755-89460500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www.ifastps.com.cn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(77)中证金牛（北京）投资咨询有限公司</w:t>
      </w:r>
    </w:p>
    <w:tbl>
      <w:tblPr>
        <w:tblStyle w:val="a8"/>
        <w:tblW w:w="8353" w:type="dxa"/>
        <w:tblLook w:val="04A0" w:firstRow="1" w:lastRow="0" w:firstColumn="1" w:lastColumn="0" w:noHBand="0" w:noVBand="1"/>
      </w:tblPr>
      <w:tblGrid>
        <w:gridCol w:w="2408"/>
        <w:gridCol w:w="594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北京市丰台区东管头1号2号楼2-45室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北京市西城区宣武门外大街甲1号环球财讯中心A座5层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钱昊旻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010-59336519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010-59336500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400-890-9998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www.jnlc.com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(78)北京懒猫金融信息服务有限公司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北京市石景山区石景山路31号院盛景国际广场3号楼1119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北京市朝阳区呼家楼安联大厦715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许现良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张苗苗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15110085067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010-87723200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400-150-0882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www.lanmao.com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(79)北京肯特瑞基金销售有限公司</w:t>
      </w:r>
    </w:p>
    <w:tbl>
      <w:tblPr>
        <w:tblStyle w:val="a8"/>
        <w:tblW w:w="8353" w:type="dxa"/>
        <w:tblLook w:val="04A0" w:firstRow="1" w:lastRow="0" w:firstColumn="1" w:lastColumn="0" w:noHBand="0" w:noVBand="1"/>
      </w:tblPr>
      <w:tblGrid>
        <w:gridCol w:w="2368"/>
        <w:gridCol w:w="598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北京市海淀区海淀东三街2号4层401-15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北京市经济开发区科创十一街18号院京东总部A座4层A428室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徐伯宇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400-098-8511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010-89188000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400-088-8816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http://jr.jd.com/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(80)大连网金基金销售有限公司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辽宁省大连市沙河口区体坛路22号2层202室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辽宁省大连市沙河口区体坛路22号2层202室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卜勇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卜勇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0411-39027800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0411-39027888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400-089-9100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http://www.yibaijin.com/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(81)中民财富基金销售（上海）有限公司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上海市黄浦区中山南路100号7层05单元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上海市黄浦区中山南路100号17层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弭洪军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茅旦青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021-33355392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021-63353736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400-876-5716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www.cmiwm.com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(82)深圳市金斧子基金销售有限公司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深圳市南山区粤海街道科技园中区科苑路15号科兴科学园B栋3单元11层1108</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深圳市南山区粤海街道科技园中区科苑路15号科兴科学园B栋3单元11层1108</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赖任军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刘昕霞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0755-29330513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0755-26920530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400-930-0660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www.jfzinv.com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(83)北京蛋卷基金销售有限公司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北京市朝阳区阜通东大街1号院6号楼2单元21层222507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北京市朝阳区阜通东大街1号院6号楼2单元21层222507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钟斐斐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戚晓强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15810005516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010-85659484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400-061-8518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danjuanapp.com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(84)深圳前海凯恩斯基金销售有限公司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深圳市前海深港合作区前湾一路1号A栋201室（入驻深圳市前海商务秘书有限公司）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深圳市福田区深南大道6019号金润大厦23A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高锋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0755-83655588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0755-83655518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400-804-8688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www.keynesasset.com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(85)深圳前海欧中联合基金销售有限公司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深圳市前海深港合作区前湾一路1号A栋201室（入驻深圳市前海商务秘书有限公司）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深圳市宝安中心区海秀路19号国际西岸商务大厦703、705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梁双凤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梁双凤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0755-23073400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0755-23328531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0755-23073400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http://www.ecpefund.com/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(86)深圳前海财厚基金销售有限公司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深圳市前海深港合作区前湾一路1号A栋201室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深圳市南山区深圳湾科技生态园三区11栋A座3608室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杨艳平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叶见云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0755-86575665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0755-26640652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4001286800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www.caiho.cn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(87)天津万家财富资产管理有限公司</w:t>
      </w:r>
    </w:p>
    <w:tbl>
      <w:tblPr>
        <w:tblStyle w:val="a8"/>
        <w:tblW w:w="8353" w:type="dxa"/>
        <w:tblLook w:val="04A0" w:firstRow="1" w:lastRow="0" w:firstColumn="1" w:lastColumn="0" w:noHBand="0" w:noVBand="1"/>
      </w:tblPr>
      <w:tblGrid>
        <w:gridCol w:w="2258"/>
        <w:gridCol w:w="609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天津自贸区（中心商务区）迎宾大道1988号滨海浙商大厦公寓2-2413室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北京市西城区丰盛胡同28号太平洋保险大厦5层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李修辞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孙雪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010-59013825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010-59013707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010-59013825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http://www.wanjiawealth.com/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lastRenderedPageBreak/>
        <w:t>(88)上海华夏财富投资管理有限公司</w:t>
      </w:r>
    </w:p>
    <w:tbl>
      <w:tblPr>
        <w:tblStyle w:val="a8"/>
        <w:tblW w:w="8353" w:type="dxa"/>
        <w:tblLook w:val="04A0" w:firstRow="1" w:lastRow="0" w:firstColumn="1" w:lastColumn="0" w:noHBand="0" w:noVBand="1"/>
      </w:tblPr>
      <w:tblGrid>
        <w:gridCol w:w="2269"/>
        <w:gridCol w:w="608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上海市虹口区东大名路687号1幢2楼268室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上海市虹口区东大名路687号1幢2楼268室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毛淮平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张静怡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010-88066326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400-817-5666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https://www.amcfortune.com/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(89)洪泰财富（青岛）基金销售有限责任公司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山东省青岛市崂山区香港东路195号9号楼701室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山东省青岛市崂山区海尔路188号浦发银行大厦706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任淑桢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任淑桢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0532-66728591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0532-66728591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400-670-6863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www.hongtaiwealth.com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(90)中信建投期货有限公司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重庆市渝中区中山三路107号上站大楼平街11-B，名义层11-A，8-B4，9-B、C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重庆市渝中区中山三路107号皇冠大厦11楼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彭文德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刘芸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023-89769637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023-86769629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400-8877-780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www.cfc108.com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(91)中信期货有限公司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深圳市福田区中心三路8号卓越时代广场（二期）北座13层1301-1305室、14层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深圳市福田区中心三路8号卓越时代广场（二期）北座13层1301-1305室、14层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张皓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刘宏莹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021-60833754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010-57762999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400-990-8826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www.citicsf.com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(92)东海期货有限责任公司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江苏省常州市延陵西路23、25、27、29号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上海市浦东新区东方路1928号东海证券大厦8楼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陈太康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李天雨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021-68757102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021-68757102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www.qh168.com.cn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(93)弘业期货股份有限公司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南京市中华路50号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南京市中华路50号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周剑秋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孙朝旺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025-52278870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025-52313068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400-828-1288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www.ftol.com.cn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(94)大有期货有限公司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湖南省长沙市天心区芙蓉南路二段128号现代广场三、四楼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湖南省长沙市天心区芙蓉南路二段128号现代广场三、四楼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沈众辉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0731-84409000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0731-84409009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400-636-5058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www.dayouf.com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(95)华泰期货有限公司</w:t>
      </w:r>
    </w:p>
    <w:tbl>
      <w:tblPr>
        <w:tblStyle w:val="a8"/>
        <w:tblW w:w="8353" w:type="dxa"/>
        <w:tblLook w:val="04A0" w:firstRow="1" w:lastRow="0" w:firstColumn="1" w:lastColumn="0" w:noHBand="0" w:noVBand="1"/>
      </w:tblPr>
      <w:tblGrid>
        <w:gridCol w:w="2400"/>
        <w:gridCol w:w="595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广东省广州市越秀区东风东路761号丽丰大厦20层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广东省广州市越秀区东风东路761号丽丰大厦20层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徐炜中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黄韵钰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18923839281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0755-82777490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400-628-0888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www.htfc.com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(96)中信建投证券股份有限公司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北京市朝阳区安立路66号4号楼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北京市朝阳门内大街188号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王常青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刘畅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010-65608231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010－65182261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4008888108/95587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http://www.csc108.com/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(97)国信证券股份有限公司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深圳市罗湖区红岭中路1012号国信证券大厦十六层至二十六层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深圳市罗湖区红岭中路1012号国信证券大厦十六层至二十六层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何如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李颖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0755-82130833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0755-82133952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http://www.guosen.com.cn/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(98)中信证券股份有限公司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广东省深圳市福田区中心三路8号卓越时代广场（二期）北座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北京朝阳区新源南路6号京城大厦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张佑君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马静懿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010-60833889</w:t>
            </w:r>
            <w:r w:rsidR="00284027">
              <w:rPr>
                <w:sz w:val="21"/>
              </w:rPr>
              <w:t xml:space="preserve"> </w:t>
            </w:r>
            <w:r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010－84865560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400-889-5548/95548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http://www.cs.ecitic.com/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(99)中国银河证券股份有限公司</w:t>
      </w:r>
    </w:p>
    <w:tbl>
      <w:tblPr>
        <w:tblStyle w:val="a8"/>
        <w:tblW w:w="8353" w:type="dxa"/>
        <w:tblLook w:val="04A0" w:firstRow="1" w:lastRow="0" w:firstColumn="1" w:lastColumn="0" w:noHBand="0" w:noVBand="1"/>
      </w:tblPr>
      <w:tblGrid>
        <w:gridCol w:w="2246"/>
        <w:gridCol w:w="610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北京市西城区金融大街35号国际企业大厦C座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北京市西城区金融大街35号国际企业大厦C座2－6层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陈共炎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辛国政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010-83574507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010-66568990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95551/4008888888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http://www.chinastock.com.cn/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(100)申万宏源证券有限公司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上海市徐汇区长乐路989号45层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上海市徐汇区长乐路989号45层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余敏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021-33388252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021-33388224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95523或4008895523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www.swhysc.com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(101)万联证券股份有限公司</w:t>
      </w:r>
    </w:p>
    <w:tbl>
      <w:tblPr>
        <w:tblStyle w:val="a8"/>
        <w:tblW w:w="8353" w:type="dxa"/>
        <w:tblLook w:val="04A0" w:firstRow="1" w:lastRow="0" w:firstColumn="1" w:lastColumn="0" w:noHBand="0" w:noVBand="1"/>
      </w:tblPr>
      <w:tblGrid>
        <w:gridCol w:w="2359"/>
        <w:gridCol w:w="5994"/>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广州市天河区珠江东路11号高德置地广场F栋18、19层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广州市天河区珠江东路11号高德置地广场F栋18、19层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张建军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王鑫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020-38286686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020－22373718－1013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4008888133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http://www.wlzq.cn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(102)华泰证券股份有限公司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南京市江东中路228号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办公地址 南京市建邺区江东中路228号华泰证券广场、深圳市福田区深南大道4011号港中旅大厦18楼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周易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FD068D">
            <w:pPr>
              <w:pStyle w:val="a3"/>
              <w:rPr>
                <w:sz w:val="21"/>
              </w:rPr>
            </w:pPr>
            <w:r w:rsidRPr="00FD068D">
              <w:rPr>
                <w:rFonts w:hint="eastAsia"/>
                <w:sz w:val="21"/>
              </w:rPr>
              <w:t>胡子豪</w:t>
            </w:r>
            <w:r w:rsidR="000A08E3"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FD068D">
            <w:pPr>
              <w:pStyle w:val="a3"/>
              <w:rPr>
                <w:sz w:val="21"/>
              </w:rPr>
            </w:pPr>
            <w:r w:rsidRPr="00FD068D">
              <w:rPr>
                <w:sz w:val="21"/>
              </w:rPr>
              <w:t>021-50531281</w:t>
            </w:r>
            <w:r w:rsidR="000A08E3" w:rsidRPr="000A08E3">
              <w:rPr>
                <w:rFonts w:hint="eastAsia"/>
                <w:sz w:val="21"/>
              </w:rPr>
              <w:t xml:space="preserve">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0755-82492962（深圳）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95597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http://www.htsc.com.cn/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(103)中信证券（山东）有限责任公司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青岛市崂山区深圳路222号青岛国际金融广场1号楼20层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青岛市市南区东海西路28号龙翔广场东2、5层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姜晓林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孙秋月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0532-85022026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0532-85022605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95548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http://www.zxzqsd.com.cn/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(104)方正证券股份有限公司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湖南长沙芙蓉中路2段华侨国际大厦22-24层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湖南长沙芙蓉中路2段华侨国际大厦22-24层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施华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程博怡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010-56437060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0731-85832214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95571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http://www.foundersc.com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(105)浙商证券股份有限公司</w:t>
      </w:r>
    </w:p>
    <w:tbl>
      <w:tblPr>
        <w:tblStyle w:val="a8"/>
        <w:tblW w:w="8353" w:type="dxa"/>
        <w:tblLook w:val="04A0" w:firstRow="1" w:lastRow="0" w:firstColumn="1" w:lastColumn="0" w:noHBand="0" w:noVBand="1"/>
      </w:tblPr>
      <w:tblGrid>
        <w:gridCol w:w="2291"/>
        <w:gridCol w:w="606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杭州市杭大路1号黄龙世纪广场A座6－7楼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杭州市杭大路1号黄龙世纪广场A座6－7楼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吴承根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张智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021-64718888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0571－87901913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95345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http://www.stocke.com.cn/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(106)恒泰证券股份有限公司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内蒙古呼和浩特市赛罕区敕勒川大街东方君座D座光大银行办公楼14-18楼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内蒙古呼和浩特市赛罕区敕勒川大街东方君座D座光大银行办公楼14-18楼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庞介民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熊丽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0471－4972675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0471－4930707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400-196-6188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http://www.cnht.com.cn/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(107)申万宏源西部证券有限公司</w:t>
      </w:r>
    </w:p>
    <w:tbl>
      <w:tblPr>
        <w:tblStyle w:val="a8"/>
        <w:tblW w:w="8353" w:type="dxa"/>
        <w:tblLook w:val="04A0" w:firstRow="1" w:lastRow="0" w:firstColumn="1" w:lastColumn="0" w:noHBand="0" w:noVBand="1"/>
      </w:tblPr>
      <w:tblGrid>
        <w:gridCol w:w="2341"/>
        <w:gridCol w:w="6012"/>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新疆乌鲁木齐市高新区（新市区）北京南路358号大成国际大厦20楼2005室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北京市西城区太平桥大街19号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李季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唐岚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010－88085201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010－88085195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4008000562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http://www.hysec.com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(108)上海华信证券有限责任公司</w:t>
      </w:r>
    </w:p>
    <w:tbl>
      <w:tblPr>
        <w:tblStyle w:val="a8"/>
        <w:tblW w:w="8353" w:type="dxa"/>
        <w:tblLook w:val="04A0" w:firstRow="1" w:lastRow="0" w:firstColumn="1" w:lastColumn="0" w:noHBand="0" w:noVBand="1"/>
      </w:tblPr>
      <w:tblGrid>
        <w:gridCol w:w="2368"/>
        <w:gridCol w:w="598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上海浦东新区世纪大道100号环球金融中心9楼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上海浦东新区世纪大道100号环球金融中心9楼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陈海平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李颖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021-38784818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021-38784818-8508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021-38784818-8508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www.shhxzq.com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(109)西藏东方财富证券股份有限公司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西藏自治区拉萨市柳梧新区国际总部城10栋楼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上海市徐汇区宛平南路88号金座东方财富大厦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付佳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021-23586603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021-23586860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95357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http://www.18.cn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lastRenderedPageBreak/>
        <w:t>(110)国金证券股份有限公司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四川省成都市东城根上街95号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四川省成都市东城根上街95号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冉云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贾鹏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028-86690057、028-86690058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028-86690126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4006-600109/95310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http://www.gjzq.com.cn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(111)首创证券有限责任公司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北京市西城区德胜门外大街115号德胜尚城E座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北京市西城区德胜门外大街115号德胜尚城E座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吴涛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400</w:t>
            </w:r>
            <w:r w:rsidR="00284027">
              <w:rPr>
                <w:sz w:val="21"/>
              </w:rPr>
              <w:t xml:space="preserve"> </w:t>
            </w:r>
            <w:r w:rsidRPr="000A08E3">
              <w:rPr>
                <w:rFonts w:hint="eastAsia"/>
                <w:sz w:val="21"/>
              </w:rPr>
              <w:t>620</w:t>
            </w:r>
            <w:r w:rsidR="00284027">
              <w:rPr>
                <w:sz w:val="21"/>
              </w:rPr>
              <w:t xml:space="preserve"> </w:t>
            </w:r>
            <w:r w:rsidRPr="000A08E3">
              <w:rPr>
                <w:rFonts w:hint="eastAsia"/>
                <w:sz w:val="21"/>
              </w:rPr>
              <w:t xml:space="preserve">0620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www.sczq.com.cn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(112)联储证券有限责任公司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深圳市福田区华强北路圣廷苑酒店B座26楼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深圳市福田区华强北路圣廷苑酒店B座26楼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沙常明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丁倩云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010-56177851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0755-82075835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4006206868/010-56177851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http://www.lczq.com/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(113)华瑞保险销售有限公司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上海市嘉定区南翔镇众仁路399号运通星财富广场1号楼B座13、14层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上海市浦东区向城路288号国华金融大厦8楼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路昊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张爽爽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021-68595976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021-68595766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4001115818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www.huaruisales.com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(114)玄元保险代理有限公司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中国（上海）自由贸易试验区张杨路707号1105室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中国（上海）自由贸易试验区张杨路707号1105室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马永谙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卢亚博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021-50701053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021-50701053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4000808208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www.licaimofang.com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(115)阳光人寿保险股份有限公司</w:t>
      </w:r>
    </w:p>
    <w:tbl>
      <w:tblPr>
        <w:tblStyle w:val="a8"/>
        <w:tblW w:w="8353" w:type="dxa"/>
        <w:tblLook w:val="04A0" w:firstRow="1" w:lastRow="0" w:firstColumn="1" w:lastColumn="0" w:noHBand="0" w:noVBand="1"/>
      </w:tblPr>
      <w:tblGrid>
        <w:gridCol w:w="2302"/>
        <w:gridCol w:w="605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海南省三亚市迎宾路360-1号三亚阳光金融广场16层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北京市朝阳区朝外大街20号联合大厦701A室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李科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010-59053660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010-85632773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95510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http://fund.sinosig.com/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(116)中国人寿保险股份有限公司</w:t>
      </w:r>
    </w:p>
    <w:tbl>
      <w:tblPr>
        <w:tblStyle w:val="a8"/>
        <w:tblW w:w="8353" w:type="dxa"/>
        <w:tblLook w:val="04A0" w:firstRow="1" w:lastRow="0" w:firstColumn="1" w:lastColumn="0" w:noHBand="0" w:noVBand="1"/>
      </w:tblPr>
      <w:tblGrid>
        <w:gridCol w:w="2350"/>
        <w:gridCol w:w="6003"/>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中国北京市西城区金融大街16号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中国北京市西城区金融大街16号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王滨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柳亚卿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010-63631536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010-66222276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95519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www.e-chinalife.com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(117)龙江银行股份有限公司</w:t>
      </w:r>
    </w:p>
    <w:tbl>
      <w:tblPr>
        <w:tblStyle w:val="a8"/>
        <w:tblW w:w="8353" w:type="dxa"/>
        <w:tblLook w:val="04A0" w:firstRow="1" w:lastRow="0" w:firstColumn="1" w:lastColumn="0" w:noHBand="0" w:noVBand="1"/>
      </w:tblPr>
      <w:tblGrid>
        <w:gridCol w:w="2384"/>
        <w:gridCol w:w="5969"/>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黑龙江省哈尔滨市道里区友谊路436号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黑龙江省哈尔滨市道里区友谊路436号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张建辉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闫勇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0451-85706107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0451-85706107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4006458888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www.lj-bank.com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(118)深圳前海微众银行股份有限公司</w:t>
      </w:r>
    </w:p>
    <w:tbl>
      <w:tblPr>
        <w:tblStyle w:val="a8"/>
        <w:tblW w:w="8353" w:type="dxa"/>
        <w:tblLook w:val="04A0" w:firstRow="1" w:lastRow="0" w:firstColumn="1" w:lastColumn="0" w:noHBand="0" w:noVBand="1"/>
      </w:tblPr>
      <w:tblGrid>
        <w:gridCol w:w="2322"/>
        <w:gridCol w:w="603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广东省深圳市前海深港合作区前湾一路</w:t>
            </w:r>
            <w:r w:rsidR="00284027">
              <w:rPr>
                <w:sz w:val="21"/>
              </w:rPr>
              <w:t xml:space="preserve"> </w:t>
            </w:r>
            <w:r w:rsidRPr="000A08E3">
              <w:rPr>
                <w:rFonts w:hint="eastAsia"/>
                <w:sz w:val="21"/>
              </w:rPr>
              <w:t xml:space="preserve">1号A栋201室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广东省深圳市南山区田厦国际中心36楼、37楼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顾敏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唐宇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0755-89462525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0755-86700688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400-999-8877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http://www.webank.com/</w:t>
            </w:r>
            <w:r w:rsidR="00284027">
              <w:rPr>
                <w:sz w:val="21"/>
              </w:rPr>
              <w:t xml:space="preserve"> </w:t>
            </w:r>
            <w:r w:rsidRPr="000A08E3">
              <w:rPr>
                <w:rFonts w:hint="eastAsia"/>
                <w:sz w:val="21"/>
              </w:rPr>
              <w:t xml:space="preserve">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(119)桂林银行股份有限公司</w:t>
      </w:r>
    </w:p>
    <w:tbl>
      <w:tblPr>
        <w:tblStyle w:val="a8"/>
        <w:tblW w:w="8353" w:type="dxa"/>
        <w:tblLook w:val="04A0" w:firstRow="1" w:lastRow="0" w:firstColumn="1" w:lastColumn="0" w:noHBand="0" w:noVBand="1"/>
      </w:tblPr>
      <w:tblGrid>
        <w:gridCol w:w="2332"/>
        <w:gridCol w:w="602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桂林市中山南路76号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桂林市中山南路76号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王能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周佩玲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0773-3810130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0773-3851691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400-86-96299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www.guilinbank.com.cn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(120)德州银行股份有限公司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山东省德州市三八东路1266号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山东省德州市三八东路1266号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孙玉芝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王方震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0534-2297326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0534-2297327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40084-96588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www.dzbchina.com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(121)云南红塔银行股份有限公司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云南省玉溪市东风南路2号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云南省昆明市盘龙区世博路低碳中心A座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李光林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马杰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0871-65236624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0871-65236614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0877-96522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www.ynhtbank.com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(122)中原银行股份有限公司</w:t>
      </w:r>
    </w:p>
    <w:tbl>
      <w:tblPr>
        <w:tblStyle w:val="a8"/>
        <w:tblW w:w="8353" w:type="dxa"/>
        <w:tblLook w:val="04A0" w:firstRow="1" w:lastRow="0" w:firstColumn="1" w:lastColumn="0" w:noHBand="0" w:noVBand="1"/>
      </w:tblPr>
      <w:tblGrid>
        <w:gridCol w:w="2368"/>
        <w:gridCol w:w="5985"/>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河南省郑州市郑东新区CBD商务外环路23号中科金座大厦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河南省郑州市郑东新区CBD商务外环路23号中科金座大厦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窦荣兴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牛映雪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0371-85517710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0371-85519869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95186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www.zybank.com.cn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(123)浙江瑞安农村商业银行股份有限公司</w:t>
      </w:r>
    </w:p>
    <w:tbl>
      <w:tblPr>
        <w:tblStyle w:val="a8"/>
        <w:tblW w:w="8353" w:type="dxa"/>
        <w:tblLook w:val="04A0" w:firstRow="1" w:lastRow="0" w:firstColumn="1" w:lastColumn="0" w:noHBand="0" w:noVBand="1"/>
      </w:tblPr>
      <w:tblGrid>
        <w:gridCol w:w="2376"/>
        <w:gridCol w:w="5977"/>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浙江省瑞安市安阳街道万松东路148号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浙江省瑞安市安阳街道万松东路148号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黄定表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张祥杰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0577-66816501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lastRenderedPageBreak/>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0577-66816103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4008057702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www.rarcbank.com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(124)厦门国际银行股份有限公司</w:t>
      </w:r>
    </w:p>
    <w:tbl>
      <w:tblPr>
        <w:tblStyle w:val="a8"/>
        <w:tblW w:w="8353" w:type="dxa"/>
        <w:tblLook w:val="04A0" w:firstRow="1" w:lastRow="0" w:firstColumn="1" w:lastColumn="0" w:noHBand="0" w:noVBand="1"/>
      </w:tblPr>
      <w:tblGrid>
        <w:gridCol w:w="2392"/>
        <w:gridCol w:w="596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厦门市思明区鹭江道8-10号国际银行大厦1-6层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厦门市思明区鹭江道8-10号国际银行大厦1-6层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翁若同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林婉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0592-2078888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0592-2100752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4001-623-623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www.xib.com.cn </w:t>
            </w:r>
          </w:p>
        </w:tc>
      </w:tr>
    </w:tbl>
    <w:p w:rsidR="000A08E3" w:rsidRPr="000A08E3" w:rsidRDefault="000A08E3">
      <w:pPr>
        <w:pStyle w:val="a3"/>
        <w:spacing w:before="0" w:beforeAutospacing="0" w:after="0" w:afterAutospacing="0" w:line="360" w:lineRule="auto"/>
        <w:ind w:firstLine="420"/>
        <w:divId w:val="1152403130"/>
        <w:rPr>
          <w:sz w:val="21"/>
          <w:szCs w:val="21"/>
        </w:rPr>
      </w:pPr>
      <w:r w:rsidRPr="000A08E3">
        <w:rPr>
          <w:rFonts w:hint="eastAsia"/>
          <w:b/>
          <w:bCs/>
          <w:sz w:val="21"/>
          <w:szCs w:val="21"/>
        </w:rPr>
        <w:t>(125)湖北银行股份有限公司</w:t>
      </w:r>
    </w:p>
    <w:tbl>
      <w:tblPr>
        <w:tblStyle w:val="a8"/>
        <w:tblW w:w="8353" w:type="dxa"/>
        <w:tblLook w:val="04A0" w:firstRow="1" w:lastRow="0" w:firstColumn="1" w:lastColumn="0" w:noHBand="0" w:noVBand="1"/>
      </w:tblPr>
      <w:tblGrid>
        <w:gridCol w:w="2312"/>
        <w:gridCol w:w="6041"/>
      </w:tblGrid>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注册地址：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武汉市武昌区水果湖街中北路86号汉街总部国际8栋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办公地址：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武汉市武昌区水果湖街中北路86号汉街总部国际8栋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法定代表人：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陈大林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联系人：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李昕雅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027-87139129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传真：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027-87135931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客户服务电话：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（湖北）96599（全国）400-85-96599 </w:t>
            </w:r>
          </w:p>
        </w:tc>
      </w:tr>
      <w:tr w:rsidR="000A08E3" w:rsidRPr="000A08E3" w:rsidTr="000A08E3">
        <w:trPr>
          <w:divId w:val="1152403130"/>
        </w:trPr>
        <w:tc>
          <w:tcPr>
            <w:tcW w:w="3000" w:type="dxa"/>
            <w:shd w:val="clear" w:color="auto" w:fill="auto"/>
            <w:hideMark/>
          </w:tcPr>
          <w:p w:rsidR="000A08E3" w:rsidRPr="000A08E3" w:rsidRDefault="000A08E3">
            <w:pPr>
              <w:pStyle w:val="a3"/>
              <w:rPr>
                <w:sz w:val="21"/>
              </w:rPr>
            </w:pPr>
            <w:r w:rsidRPr="000A08E3">
              <w:rPr>
                <w:rFonts w:hint="eastAsia"/>
                <w:sz w:val="21"/>
              </w:rPr>
              <w:t xml:space="preserve">网址： </w:t>
            </w:r>
          </w:p>
        </w:tc>
        <w:tc>
          <w:tcPr>
            <w:tcW w:w="7440" w:type="dxa"/>
            <w:shd w:val="clear" w:color="auto" w:fill="auto"/>
            <w:hideMark/>
          </w:tcPr>
          <w:p w:rsidR="000A08E3" w:rsidRPr="000A08E3" w:rsidRDefault="000A08E3">
            <w:pPr>
              <w:pStyle w:val="a3"/>
              <w:rPr>
                <w:sz w:val="21"/>
              </w:rPr>
            </w:pPr>
            <w:r w:rsidRPr="000A08E3">
              <w:rPr>
                <w:rFonts w:hint="eastAsia"/>
                <w:sz w:val="21"/>
              </w:rPr>
              <w:t xml:space="preserve">http://www.hubeibank.cn </w:t>
            </w:r>
          </w:p>
        </w:tc>
      </w:tr>
    </w:tbl>
    <w:p w:rsidR="000A08E3" w:rsidRPr="000A08E3" w:rsidRDefault="00284027" w:rsidP="009F0FE3">
      <w:pPr>
        <w:divId w:val="1152403130"/>
        <w:rPr>
          <w:szCs w:val="21"/>
        </w:rPr>
      </w:pPr>
      <w:bookmarkStart w:id="61" w:name="field_0_allproxysaletables_1_end"/>
      <w:bookmarkEnd w:id="61"/>
      <w:r>
        <w:rPr>
          <w:rFonts w:ascii="宋体" w:eastAsia="宋体" w:hAnsi="宋体"/>
        </w:rPr>
        <w:t xml:space="preserve"> </w:t>
      </w:r>
      <w:r w:rsidR="000A08E3" w:rsidRPr="000A08E3">
        <w:rPr>
          <w:rFonts w:ascii="宋体" w:eastAsia="宋体" w:hAnsi="宋体"/>
        </w:rPr>
        <w:t xml:space="preserve"> </w:t>
      </w:r>
      <w:bookmarkStart w:id="62" w:name="chapter_level1_7_56_section_2_end"/>
      <w:bookmarkEnd w:id="62"/>
    </w:p>
    <w:p w:rsidR="000A08E3" w:rsidRPr="000A08E3" w:rsidRDefault="000A08E3">
      <w:pPr>
        <w:pStyle w:val="a3"/>
        <w:spacing w:before="0" w:beforeAutospacing="0" w:after="0" w:afterAutospacing="0" w:line="360" w:lineRule="auto"/>
        <w:ind w:firstLine="420"/>
        <w:divId w:val="730619407"/>
        <w:rPr>
          <w:sz w:val="21"/>
          <w:szCs w:val="21"/>
        </w:rPr>
      </w:pPr>
      <w:bookmarkStart w:id="63" w:name="chapter_level1_7_56_section_3"/>
      <w:bookmarkEnd w:id="63"/>
      <w:r w:rsidRPr="000A08E3">
        <w:rPr>
          <w:rStyle w:val="a4"/>
          <w:rFonts w:hint="eastAsia"/>
          <w:sz w:val="21"/>
          <w:szCs w:val="21"/>
        </w:rPr>
        <w:t>二、登记机构</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bookmarkStart w:id="64" w:name="field_0_registercompanyinfo_1_start"/>
      <w:bookmarkEnd w:id="64"/>
      <w:r w:rsidRPr="000A08E3">
        <w:rPr>
          <w:rFonts w:hint="eastAsia"/>
          <w:sz w:val="21"/>
          <w:szCs w:val="21"/>
        </w:rPr>
        <w:t xml:space="preserve">名称：博时基金管理有限公司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住所：深圳市福田区莲花街道福新社区益田路5999号基金大厦21层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办公地址：北京市建国门内大街18号恒基中心1座23层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法定代表人：张光华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电话：（010）65171166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传真：（010）65187068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联系人：许鹏 </w:t>
      </w:r>
      <w:bookmarkStart w:id="65" w:name="field_0_registercompanyinfo_1_end"/>
      <w:bookmarkEnd w:id="65"/>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Style w:val="a4"/>
          <w:rFonts w:hint="eastAsia"/>
          <w:sz w:val="21"/>
          <w:szCs w:val="21"/>
        </w:rPr>
        <w:t>三、出具法律意见书的律师事务所</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名称：上海市通力律师事务所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注册地址：</w:t>
      </w:r>
      <w:r w:rsidR="00284027">
        <w:rPr>
          <w:sz w:val="21"/>
          <w:szCs w:val="21"/>
        </w:rPr>
        <w:t xml:space="preserve"> </w:t>
      </w:r>
      <w:r w:rsidRPr="000A08E3">
        <w:rPr>
          <w:rFonts w:hint="eastAsia"/>
          <w:sz w:val="21"/>
          <w:szCs w:val="21"/>
        </w:rPr>
        <w:t xml:space="preserve">上海市银城中路68号时代金融中心19楼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办公地址：上海市银城中路68号时代金融中心19楼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电话：</w:t>
      </w:r>
      <w:r w:rsidR="00284027">
        <w:rPr>
          <w:sz w:val="21"/>
          <w:szCs w:val="21"/>
        </w:rPr>
        <w:t xml:space="preserve"> </w:t>
      </w:r>
      <w:r w:rsidRPr="000A08E3">
        <w:rPr>
          <w:rFonts w:hint="eastAsia"/>
          <w:sz w:val="21"/>
          <w:szCs w:val="21"/>
        </w:rPr>
        <w:t>021-</w:t>
      </w:r>
      <w:r w:rsidR="00284027">
        <w:rPr>
          <w:sz w:val="21"/>
          <w:szCs w:val="21"/>
        </w:rPr>
        <w:t xml:space="preserve"> </w:t>
      </w:r>
      <w:r w:rsidRPr="000A08E3">
        <w:rPr>
          <w:rFonts w:hint="eastAsia"/>
          <w:sz w:val="21"/>
          <w:szCs w:val="21"/>
        </w:rPr>
        <w:t xml:space="preserve">31358666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传真：021-</w:t>
      </w:r>
      <w:r w:rsidR="00284027">
        <w:rPr>
          <w:sz w:val="21"/>
          <w:szCs w:val="21"/>
        </w:rPr>
        <w:t xml:space="preserve"> </w:t>
      </w:r>
      <w:r w:rsidRPr="000A08E3">
        <w:rPr>
          <w:rFonts w:hint="eastAsia"/>
          <w:sz w:val="21"/>
          <w:szCs w:val="21"/>
        </w:rPr>
        <w:t xml:space="preserve">31358600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lastRenderedPageBreak/>
        <w:t xml:space="preserve">联系人：安冬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 xml:space="preserve">经办律师：吕红、安冬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Style w:val="a4"/>
          <w:rFonts w:hint="eastAsia"/>
          <w:sz w:val="21"/>
          <w:szCs w:val="21"/>
        </w:rPr>
        <w:t>四、审计基金财产的会计师事务所</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bookmarkStart w:id="66" w:name="field_0_accountingcompanyinfo_1_start"/>
      <w:bookmarkEnd w:id="66"/>
      <w:r w:rsidRPr="000A08E3">
        <w:rPr>
          <w:rFonts w:hint="eastAsia"/>
          <w:sz w:val="21"/>
          <w:szCs w:val="21"/>
        </w:rPr>
        <w:t>名称：普华永道中天会计师事务所(特殊普通合伙）</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住所：中国（上海）自由贸易试验区陆家嘴环路1318号星展银行大厦507单元01室</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办公地址：上海市湖滨路202号普华永道中心11楼</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执行事务合伙人：李丹</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联系电话：（021）23238888</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传真：（021）23238800</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r w:rsidRPr="000A08E3">
        <w:rPr>
          <w:rFonts w:hint="eastAsia"/>
          <w:sz w:val="21"/>
          <w:szCs w:val="21"/>
        </w:rPr>
        <w:t>联系人：沈兆杰</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30619407"/>
        <w:rPr>
          <w:sz w:val="21"/>
          <w:szCs w:val="21"/>
        </w:rPr>
      </w:pPr>
      <w:bookmarkStart w:id="67" w:name="chapter_level1_7_56_section_3_end"/>
      <w:bookmarkEnd w:id="67"/>
      <w:r w:rsidRPr="000A08E3">
        <w:rPr>
          <w:rFonts w:hint="eastAsia"/>
          <w:sz w:val="21"/>
          <w:szCs w:val="21"/>
        </w:rPr>
        <w:t>经办注册会计师：张振波、沈兆杰</w:t>
      </w:r>
      <w:r w:rsidR="00284027">
        <w:rPr>
          <w:sz w:val="21"/>
          <w:szCs w:val="21"/>
        </w:rPr>
        <w:t xml:space="preserve"> </w:t>
      </w:r>
      <w:r w:rsidRPr="000A08E3">
        <w:rPr>
          <w:rFonts w:hint="eastAsia"/>
          <w:sz w:val="21"/>
          <w:szCs w:val="21"/>
        </w:rPr>
        <w:t xml:space="preserve"> </w:t>
      </w:r>
      <w:bookmarkStart w:id="68" w:name="field_0_accountingcompanyinfo_1_end"/>
      <w:bookmarkEnd w:id="68"/>
      <w:r w:rsidR="00284027">
        <w:rPr>
          <w:sz w:val="21"/>
          <w:szCs w:val="21"/>
        </w:rPr>
        <w:t xml:space="preserve"> </w:t>
      </w:r>
      <w:r w:rsidRPr="000A08E3">
        <w:rPr>
          <w:rFonts w:hint="eastAsia"/>
          <w:sz w:val="21"/>
          <w:szCs w:val="21"/>
        </w:rPr>
        <w:t xml:space="preserve">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69" w:name="chapter_level1_8_22097"/>
      <w:bookmarkStart w:id="70" w:name="_Toc26382910"/>
      <w:r w:rsidRPr="000A08E3">
        <w:rPr>
          <w:rFonts w:ascii="宋体" w:eastAsia="宋体" w:hAnsi="宋体" w:hint="eastAsia"/>
          <w:sz w:val="30"/>
        </w:rPr>
        <w:lastRenderedPageBreak/>
        <w:t>第六部分  基金的募集</w:t>
      </w:r>
      <w:bookmarkEnd w:id="69"/>
      <w:bookmarkEnd w:id="70"/>
    </w:p>
    <w:p w:rsidR="000A08E3" w:rsidRPr="000A08E3" w:rsidRDefault="000A08E3">
      <w:pPr>
        <w:pStyle w:val="a3"/>
        <w:spacing w:before="0" w:beforeAutospacing="0" w:after="0" w:afterAutospacing="0" w:line="360" w:lineRule="auto"/>
        <w:ind w:firstLine="420"/>
        <w:divId w:val="109129079"/>
        <w:rPr>
          <w:sz w:val="21"/>
          <w:szCs w:val="21"/>
        </w:rPr>
      </w:pPr>
      <w:bookmarkStart w:id="71" w:name="chapter_level1_8_22097_section_1"/>
      <w:bookmarkEnd w:id="71"/>
      <w:r w:rsidRPr="000A08E3">
        <w:rPr>
          <w:rFonts w:hint="eastAsia"/>
          <w:sz w:val="21"/>
          <w:szCs w:val="21"/>
        </w:rPr>
        <w:t>基金管理人按照《基金法》、《运作办法》、《销售办法》、基金合同及其他有关规定募集本基金，并于</w:t>
      </w:r>
      <w:bookmarkStart w:id="72" w:name="field_2343_approveddate_2"/>
      <w:r w:rsidR="00284027">
        <w:rPr>
          <w:sz w:val="21"/>
          <w:szCs w:val="21"/>
        </w:rPr>
        <w:t>2015年03月31日</w:t>
      </w:r>
      <w:bookmarkEnd w:id="72"/>
      <w:r w:rsidRPr="000A08E3">
        <w:rPr>
          <w:rFonts w:hint="eastAsia"/>
          <w:sz w:val="21"/>
          <w:szCs w:val="21"/>
        </w:rPr>
        <w:t>经中国证监会证监许可</w:t>
      </w:r>
      <w:bookmarkStart w:id="73" w:name="field_2343_lotnumber_2"/>
      <w:r w:rsidR="00284027">
        <w:rPr>
          <w:sz w:val="21"/>
          <w:szCs w:val="21"/>
        </w:rPr>
        <w:t>[2015]509</w:t>
      </w:r>
      <w:bookmarkEnd w:id="73"/>
      <w:r w:rsidRPr="000A08E3">
        <w:rPr>
          <w:rFonts w:hint="eastAsia"/>
          <w:sz w:val="21"/>
          <w:szCs w:val="21"/>
        </w:rPr>
        <w:t>号文准予募集注册。</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09129079"/>
        <w:rPr>
          <w:sz w:val="21"/>
          <w:szCs w:val="21"/>
        </w:rPr>
      </w:pPr>
      <w:r w:rsidRPr="000A08E3">
        <w:rPr>
          <w:rFonts w:hint="eastAsia"/>
          <w:sz w:val="21"/>
          <w:szCs w:val="21"/>
        </w:rPr>
        <w:t>本基金募集期从</w:t>
      </w:r>
      <w:bookmarkStart w:id="74" w:name="field_58_raisebegindate_1"/>
      <w:r w:rsidR="00284027">
        <w:rPr>
          <w:sz w:val="21"/>
          <w:szCs w:val="21"/>
        </w:rPr>
        <w:t>2015年05月05日</w:t>
      </w:r>
      <w:bookmarkEnd w:id="74"/>
      <w:r w:rsidRPr="000A08E3">
        <w:rPr>
          <w:rFonts w:hint="eastAsia"/>
          <w:sz w:val="21"/>
          <w:szCs w:val="21"/>
        </w:rPr>
        <w:t>起至</w:t>
      </w:r>
      <w:bookmarkStart w:id="75" w:name="field_58_raiseenddate_1"/>
      <w:r w:rsidR="00284027">
        <w:rPr>
          <w:sz w:val="21"/>
          <w:szCs w:val="21"/>
        </w:rPr>
        <w:t>2015年05月25日</w:t>
      </w:r>
      <w:bookmarkEnd w:id="75"/>
      <w:r w:rsidRPr="000A08E3">
        <w:rPr>
          <w:rFonts w:hint="eastAsia"/>
          <w:sz w:val="21"/>
          <w:szCs w:val="21"/>
        </w:rPr>
        <w:t>止，共募集</w:t>
      </w:r>
      <w:bookmarkStart w:id="76" w:name="field_58_raisetotal_1"/>
      <w:r w:rsidR="00284027">
        <w:rPr>
          <w:sz w:val="21"/>
          <w:szCs w:val="21"/>
        </w:rPr>
        <w:t>249,425,040.29</w:t>
      </w:r>
      <w:bookmarkEnd w:id="76"/>
      <w:r w:rsidRPr="000A08E3">
        <w:rPr>
          <w:rFonts w:hint="eastAsia"/>
          <w:sz w:val="21"/>
          <w:szCs w:val="21"/>
        </w:rPr>
        <w:t>份基金份额，有效认购户数为</w:t>
      </w:r>
      <w:bookmarkStart w:id="77" w:name="field_58_effectivetotal_1"/>
      <w:r w:rsidR="00284027">
        <w:rPr>
          <w:sz w:val="21"/>
          <w:szCs w:val="21"/>
        </w:rPr>
        <w:t>1,936</w:t>
      </w:r>
      <w:bookmarkEnd w:id="77"/>
      <w:r w:rsidRPr="000A08E3">
        <w:rPr>
          <w:rFonts w:hint="eastAsia"/>
          <w:sz w:val="21"/>
          <w:szCs w:val="21"/>
        </w:rPr>
        <w:t xml:space="preserve">户。 </w:t>
      </w:r>
    </w:p>
    <w:p w:rsidR="000A08E3" w:rsidRPr="000A08E3" w:rsidRDefault="000A08E3">
      <w:pPr>
        <w:pStyle w:val="a3"/>
        <w:spacing w:before="0" w:beforeAutospacing="0" w:after="0" w:afterAutospacing="0" w:line="360" w:lineRule="auto"/>
        <w:ind w:firstLine="420"/>
        <w:divId w:val="109129079"/>
        <w:rPr>
          <w:sz w:val="21"/>
          <w:szCs w:val="21"/>
        </w:rPr>
      </w:pPr>
      <w:bookmarkStart w:id="78" w:name="chapter_level1_8_22097_section_1_end"/>
      <w:bookmarkEnd w:id="78"/>
      <w:r w:rsidRPr="000A08E3">
        <w:rPr>
          <w:rFonts w:hint="eastAsia"/>
          <w:sz w:val="21"/>
          <w:szCs w:val="21"/>
        </w:rPr>
        <w:t>本基金运作方式为</w:t>
      </w:r>
      <w:bookmarkStart w:id="79" w:name="field_58_operation_1"/>
      <w:r w:rsidR="00284027">
        <w:rPr>
          <w:rFonts w:hint="eastAsia"/>
          <w:sz w:val="21"/>
          <w:szCs w:val="21"/>
        </w:rPr>
        <w:t>契约型开放式</w:t>
      </w:r>
      <w:bookmarkEnd w:id="79"/>
      <w:r w:rsidRPr="000A08E3">
        <w:rPr>
          <w:rFonts w:hint="eastAsia"/>
          <w:sz w:val="21"/>
          <w:szCs w:val="21"/>
        </w:rPr>
        <w:t>，存续期间为</w:t>
      </w:r>
      <w:bookmarkStart w:id="80" w:name="field_58_duration_1"/>
      <w:r w:rsidR="00284027">
        <w:rPr>
          <w:rFonts w:hint="eastAsia"/>
          <w:sz w:val="21"/>
          <w:szCs w:val="21"/>
        </w:rPr>
        <w:t>不定期</w:t>
      </w:r>
      <w:bookmarkEnd w:id="80"/>
      <w:r w:rsidRPr="000A08E3">
        <w:rPr>
          <w:rFonts w:hint="eastAsia"/>
          <w:sz w:val="21"/>
          <w:szCs w:val="21"/>
        </w:rPr>
        <w:t xml:space="preserve">。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81" w:name="chapter_level1_10_58"/>
      <w:bookmarkStart w:id="82" w:name="_Toc26382911"/>
      <w:r w:rsidRPr="000A08E3">
        <w:rPr>
          <w:rFonts w:ascii="宋体" w:eastAsia="宋体" w:hAnsi="宋体" w:hint="eastAsia"/>
          <w:sz w:val="30"/>
        </w:rPr>
        <w:lastRenderedPageBreak/>
        <w:t>第七部分 基金合同的生效</w:t>
      </w:r>
      <w:bookmarkEnd w:id="81"/>
      <w:bookmarkEnd w:id="82"/>
    </w:p>
    <w:p w:rsidR="000A08E3" w:rsidRPr="000A08E3" w:rsidRDefault="000A08E3">
      <w:pPr>
        <w:pStyle w:val="a3"/>
        <w:spacing w:before="0" w:beforeAutospacing="0" w:after="0" w:afterAutospacing="0" w:line="360" w:lineRule="auto"/>
        <w:ind w:firstLine="420"/>
        <w:divId w:val="1377269656"/>
        <w:rPr>
          <w:sz w:val="21"/>
          <w:szCs w:val="21"/>
        </w:rPr>
      </w:pPr>
      <w:bookmarkStart w:id="83" w:name="chapter_level1_10_58_section_1"/>
      <w:bookmarkEnd w:id="83"/>
      <w:r w:rsidRPr="000A08E3">
        <w:rPr>
          <w:rFonts w:hint="eastAsia"/>
          <w:sz w:val="21"/>
          <w:szCs w:val="21"/>
        </w:rPr>
        <w:t>一、基金合同的生效</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77269656"/>
        <w:rPr>
          <w:sz w:val="21"/>
          <w:szCs w:val="21"/>
        </w:rPr>
      </w:pPr>
      <w:bookmarkStart w:id="84" w:name="chapter_level1_10_58_section_1_end"/>
      <w:bookmarkEnd w:id="84"/>
      <w:r w:rsidRPr="000A08E3">
        <w:rPr>
          <w:rFonts w:hint="eastAsia"/>
          <w:sz w:val="21"/>
          <w:szCs w:val="21"/>
        </w:rPr>
        <w:t>本基金的基金合同已于</w:t>
      </w:r>
      <w:bookmarkStart w:id="85" w:name="field_58_foundday_1"/>
      <w:r w:rsidR="00284027">
        <w:rPr>
          <w:sz w:val="21"/>
          <w:szCs w:val="21"/>
        </w:rPr>
        <w:t>2015年05月27日</w:t>
      </w:r>
      <w:bookmarkEnd w:id="85"/>
      <w:r w:rsidRPr="000A08E3">
        <w:rPr>
          <w:rFonts w:hint="eastAsia"/>
          <w:sz w:val="21"/>
          <w:szCs w:val="21"/>
        </w:rPr>
        <w:t xml:space="preserve">正式生效。 </w:t>
      </w:r>
    </w:p>
    <w:p w:rsidR="000A08E3" w:rsidRPr="000A08E3" w:rsidRDefault="000A08E3">
      <w:pPr>
        <w:pStyle w:val="a3"/>
        <w:spacing w:before="0" w:beforeAutospacing="0" w:after="0" w:afterAutospacing="0" w:line="360" w:lineRule="auto"/>
        <w:ind w:firstLine="420"/>
        <w:divId w:val="2045131154"/>
        <w:rPr>
          <w:sz w:val="21"/>
          <w:szCs w:val="21"/>
        </w:rPr>
      </w:pPr>
      <w:bookmarkStart w:id="86" w:name="chapter_level1_10_58_section_2"/>
      <w:bookmarkEnd w:id="86"/>
      <w:r w:rsidRPr="000A08E3">
        <w:rPr>
          <w:rFonts w:hint="eastAsia"/>
          <w:sz w:val="21"/>
          <w:szCs w:val="21"/>
        </w:rPr>
        <w:t>二、基金存续期内的基金份额持有人数量和资产规模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045131154"/>
        <w:rPr>
          <w:sz w:val="21"/>
          <w:szCs w:val="21"/>
        </w:rPr>
      </w:pPr>
      <w:r w:rsidRPr="000A08E3">
        <w:rPr>
          <w:rFonts w:hint="eastAsia"/>
          <w:sz w:val="21"/>
          <w:szCs w:val="21"/>
        </w:rPr>
        <w:t xml:space="preserve">基金合同生效后，若连续二十个工作日出现基金份额持有人数量不满二百人或者基金资产净值低于五千万元情形的，基金管理人应当在定期报告中予以披露；连续六十个工作日出现前述情形的，基金管理人应当向中国证监会报告并提出解决方案，如转换运作方式、与其他基金合并或者终止基金合同等，并召开基金份额持有人大会进行表决。 </w:t>
      </w:r>
    </w:p>
    <w:p w:rsidR="000A08E3" w:rsidRPr="000A08E3" w:rsidRDefault="000A08E3">
      <w:pPr>
        <w:pStyle w:val="a3"/>
        <w:spacing w:before="0" w:beforeAutospacing="0" w:after="0" w:afterAutospacing="0" w:line="360" w:lineRule="auto"/>
        <w:ind w:firstLine="420"/>
        <w:divId w:val="2045131154"/>
        <w:rPr>
          <w:sz w:val="21"/>
          <w:szCs w:val="21"/>
        </w:rPr>
      </w:pPr>
      <w:bookmarkStart w:id="87" w:name="chapter_level1_10_58_section_2_end"/>
      <w:bookmarkEnd w:id="87"/>
      <w:r w:rsidRPr="000A08E3">
        <w:rPr>
          <w:rFonts w:hint="eastAsia"/>
          <w:sz w:val="21"/>
          <w:szCs w:val="21"/>
        </w:rPr>
        <w:t xml:space="preserve">法律法规另有规定时，从其规定。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88" w:name="chapter_level1_11_59"/>
      <w:bookmarkStart w:id="89" w:name="_Toc26382912"/>
      <w:r w:rsidRPr="000A08E3">
        <w:rPr>
          <w:rFonts w:ascii="宋体" w:eastAsia="宋体" w:hAnsi="宋体" w:hint="eastAsia"/>
          <w:sz w:val="30"/>
        </w:rPr>
        <w:lastRenderedPageBreak/>
        <w:t>第八部分  基金份额的申购与赎回</w:t>
      </w:r>
      <w:bookmarkEnd w:id="88"/>
      <w:bookmarkEnd w:id="89"/>
    </w:p>
    <w:p w:rsidR="000A08E3" w:rsidRPr="000A08E3" w:rsidRDefault="000A08E3">
      <w:pPr>
        <w:pStyle w:val="a3"/>
        <w:spacing w:before="0" w:beforeAutospacing="0" w:after="0" w:afterAutospacing="0" w:line="360" w:lineRule="auto"/>
        <w:ind w:firstLine="420"/>
        <w:divId w:val="868757413"/>
        <w:rPr>
          <w:sz w:val="21"/>
          <w:szCs w:val="21"/>
        </w:rPr>
      </w:pPr>
      <w:bookmarkStart w:id="90" w:name="chapter_level1_11_59_section_1"/>
      <w:bookmarkEnd w:id="90"/>
      <w:r w:rsidRPr="000A08E3">
        <w:rPr>
          <w:rStyle w:val="a4"/>
          <w:rFonts w:hint="eastAsia"/>
          <w:sz w:val="21"/>
          <w:szCs w:val="21"/>
        </w:rPr>
        <w:t>一、申购与赎回的场所</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68757413"/>
        <w:rPr>
          <w:sz w:val="21"/>
          <w:szCs w:val="21"/>
        </w:rPr>
      </w:pPr>
      <w:r w:rsidRPr="000A08E3">
        <w:rPr>
          <w:rFonts w:hint="eastAsia"/>
          <w:sz w:val="21"/>
          <w:szCs w:val="21"/>
        </w:rPr>
        <w:t>本基金的申购与赎回将通过销售机构进行。本基金的销售机构包括基金管理人和基金管理人委托的其他销售机构。基金管理人可根据情况变更或增减销售机构，</w:t>
      </w:r>
      <w:r w:rsidR="004F1DC3" w:rsidRPr="004F1DC3">
        <w:rPr>
          <w:rFonts w:hint="eastAsia"/>
          <w:sz w:val="21"/>
          <w:szCs w:val="21"/>
        </w:rPr>
        <w:t>并在管理人网站公示</w:t>
      </w:r>
      <w:r w:rsidRPr="000A08E3">
        <w:rPr>
          <w:rFonts w:hint="eastAsia"/>
          <w:sz w:val="21"/>
          <w:szCs w:val="21"/>
        </w:rPr>
        <w:t>。基金投资者应当在销售机构办理基金销售业务的营业场所或按销售机构提供的其他方式办理基</w:t>
      </w:r>
      <w:bookmarkStart w:id="91" w:name="chapter_level1_11_59_section_1_end"/>
      <w:bookmarkEnd w:id="91"/>
      <w:r w:rsidRPr="000A08E3">
        <w:rPr>
          <w:rFonts w:hint="eastAsia"/>
          <w:sz w:val="21"/>
          <w:szCs w:val="21"/>
        </w:rPr>
        <w:t xml:space="preserve">金份额的申购与赎回。 </w:t>
      </w:r>
    </w:p>
    <w:p w:rsidR="000A08E3" w:rsidRPr="000A08E3" w:rsidRDefault="000A08E3">
      <w:pPr>
        <w:pStyle w:val="a3"/>
        <w:spacing w:before="0" w:beforeAutospacing="0" w:after="0" w:afterAutospacing="0" w:line="360" w:lineRule="auto"/>
        <w:ind w:firstLine="420"/>
        <w:divId w:val="390814052"/>
        <w:rPr>
          <w:sz w:val="21"/>
          <w:szCs w:val="21"/>
        </w:rPr>
      </w:pPr>
      <w:bookmarkStart w:id="92" w:name="chapter_level1_11_59_section_2"/>
      <w:bookmarkEnd w:id="92"/>
      <w:r w:rsidRPr="000A08E3">
        <w:rPr>
          <w:rStyle w:val="a4"/>
          <w:rFonts w:hint="eastAsia"/>
          <w:sz w:val="21"/>
          <w:szCs w:val="21"/>
        </w:rPr>
        <w:t>二、申购、赎回开始日及业务办理时间</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90814052"/>
        <w:rPr>
          <w:sz w:val="21"/>
          <w:szCs w:val="21"/>
        </w:rPr>
      </w:pPr>
      <w:r w:rsidRPr="000A08E3">
        <w:rPr>
          <w:rFonts w:hint="eastAsia"/>
          <w:sz w:val="21"/>
          <w:szCs w:val="21"/>
        </w:rPr>
        <w:t xml:space="preserve">1、开放日及开放时间 </w:t>
      </w:r>
    </w:p>
    <w:p w:rsidR="000A08E3" w:rsidRPr="000A08E3" w:rsidRDefault="000A08E3">
      <w:pPr>
        <w:pStyle w:val="a3"/>
        <w:spacing w:before="0" w:beforeAutospacing="0" w:after="0" w:afterAutospacing="0" w:line="360" w:lineRule="auto"/>
        <w:ind w:firstLine="420"/>
        <w:divId w:val="390814052"/>
        <w:rPr>
          <w:sz w:val="21"/>
          <w:szCs w:val="21"/>
        </w:rPr>
      </w:pPr>
      <w:r w:rsidRPr="000A08E3">
        <w:rPr>
          <w:rFonts w:hint="eastAsia"/>
          <w:sz w:val="21"/>
          <w:szCs w:val="21"/>
        </w:rPr>
        <w:t xml:space="preserve">投资人在开放日办理基金份额的申购和赎回，具体办理时间为上海证券交易所、深圳证券交易所的正常交易日的交易时间，但基金管理人根据法律法规、中国证监会的要求或基金合同的规定公告暂停申购、赎回时除外。 </w:t>
      </w:r>
    </w:p>
    <w:p w:rsidR="000A08E3" w:rsidRPr="000A08E3" w:rsidRDefault="000A08E3">
      <w:pPr>
        <w:pStyle w:val="a3"/>
        <w:spacing w:before="0" w:beforeAutospacing="0" w:after="0" w:afterAutospacing="0" w:line="360" w:lineRule="auto"/>
        <w:ind w:firstLine="420"/>
        <w:divId w:val="390814052"/>
        <w:rPr>
          <w:sz w:val="21"/>
          <w:szCs w:val="21"/>
        </w:rPr>
      </w:pPr>
      <w:r w:rsidRPr="000A08E3">
        <w:rPr>
          <w:rFonts w:hint="eastAsia"/>
          <w:sz w:val="21"/>
          <w:szCs w:val="21"/>
        </w:rPr>
        <w:t xml:space="preserve">基金合同生效后，若出现新的证券交易市场，证券交易所交易时间变更或其他特殊情况，基金管理人将视情况对前述开放日及开放时间进行相应的调整，但应在实施日前依照《信息披露办法》的有关规定进行公告。 </w:t>
      </w:r>
    </w:p>
    <w:p w:rsidR="000A08E3" w:rsidRPr="000A08E3" w:rsidRDefault="000A08E3">
      <w:pPr>
        <w:pStyle w:val="a3"/>
        <w:spacing w:before="0" w:beforeAutospacing="0" w:after="0" w:afterAutospacing="0" w:line="360" w:lineRule="auto"/>
        <w:ind w:firstLine="420"/>
        <w:divId w:val="390814052"/>
        <w:rPr>
          <w:sz w:val="21"/>
          <w:szCs w:val="21"/>
        </w:rPr>
      </w:pPr>
      <w:r w:rsidRPr="000A08E3">
        <w:rPr>
          <w:rFonts w:hint="eastAsia"/>
          <w:sz w:val="21"/>
          <w:szCs w:val="21"/>
        </w:rPr>
        <w:t xml:space="preserve">2、申购、赎回开始日及业务办理时间 </w:t>
      </w:r>
    </w:p>
    <w:p w:rsidR="000A08E3" w:rsidRPr="000A08E3" w:rsidRDefault="000A08E3">
      <w:pPr>
        <w:pStyle w:val="a3"/>
        <w:spacing w:before="0" w:beforeAutospacing="0" w:after="0" w:afterAutospacing="0" w:line="360" w:lineRule="auto"/>
        <w:ind w:firstLine="420"/>
        <w:divId w:val="390814052"/>
        <w:rPr>
          <w:sz w:val="21"/>
          <w:szCs w:val="21"/>
        </w:rPr>
      </w:pPr>
      <w:bookmarkStart w:id="93" w:name="chapter_level1_11_59_section_2_end"/>
      <w:bookmarkEnd w:id="93"/>
      <w:r w:rsidRPr="000A08E3">
        <w:rPr>
          <w:rFonts w:hint="eastAsia"/>
          <w:sz w:val="21"/>
          <w:szCs w:val="21"/>
        </w:rPr>
        <w:t xml:space="preserve">本基金已于2015年6月3日开放申购、赎回业务。 </w:t>
      </w:r>
    </w:p>
    <w:p w:rsidR="000A08E3" w:rsidRPr="000A08E3" w:rsidRDefault="000A08E3">
      <w:pPr>
        <w:pStyle w:val="a3"/>
        <w:spacing w:before="0" w:beforeAutospacing="0" w:after="0" w:afterAutospacing="0" w:line="360" w:lineRule="auto"/>
        <w:ind w:firstLine="420"/>
        <w:divId w:val="572593292"/>
        <w:rPr>
          <w:sz w:val="21"/>
          <w:szCs w:val="21"/>
        </w:rPr>
      </w:pPr>
      <w:bookmarkStart w:id="94" w:name="chapter_level1_11_59_section_3"/>
      <w:bookmarkEnd w:id="94"/>
      <w:r w:rsidRPr="000A08E3">
        <w:rPr>
          <w:rStyle w:val="a4"/>
          <w:rFonts w:hint="eastAsia"/>
          <w:sz w:val="21"/>
          <w:szCs w:val="21"/>
        </w:rPr>
        <w:t>三、申购与赎回的数额限制</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1、投资人首次申购本基金A类基金份额或C类基金份额的最低金额为</w:t>
      </w:r>
      <w:bookmarkStart w:id="95" w:name="field_59_dealerfirstpurminamount_1"/>
      <w:r w:rsidR="00284027">
        <w:rPr>
          <w:sz w:val="21"/>
          <w:szCs w:val="21"/>
        </w:rPr>
        <w:t>10</w:t>
      </w:r>
      <w:bookmarkEnd w:id="95"/>
      <w:r w:rsidRPr="000A08E3">
        <w:rPr>
          <w:rFonts w:hint="eastAsia"/>
          <w:sz w:val="21"/>
          <w:szCs w:val="21"/>
        </w:rPr>
        <w:t>元（含申购费），追加申购单笔最低金额为</w:t>
      </w:r>
      <w:bookmarkStart w:id="96" w:name="field_59_dealerlaterpurminamount_1"/>
      <w:r w:rsidR="00284027">
        <w:rPr>
          <w:sz w:val="21"/>
          <w:szCs w:val="21"/>
        </w:rPr>
        <w:t>10</w:t>
      </w:r>
      <w:bookmarkEnd w:id="96"/>
      <w:r w:rsidRPr="000A08E3">
        <w:rPr>
          <w:rFonts w:hint="eastAsia"/>
          <w:sz w:val="21"/>
          <w:szCs w:val="21"/>
        </w:rPr>
        <w:t xml:space="preserve">元（含申购费）；详情请见当地销售机构公告；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2、每个交易账户最低持有基金份额余额为</w:t>
      </w:r>
      <w:bookmarkStart w:id="97" w:name="field_59_minholdshare_1"/>
      <w:r w:rsidR="00284027">
        <w:rPr>
          <w:sz w:val="21"/>
          <w:szCs w:val="21"/>
        </w:rPr>
        <w:t>10</w:t>
      </w:r>
      <w:bookmarkEnd w:id="97"/>
      <w:r w:rsidRPr="000A08E3">
        <w:rPr>
          <w:rFonts w:hint="eastAsia"/>
          <w:sz w:val="21"/>
          <w:szCs w:val="21"/>
        </w:rPr>
        <w:t>份，若某笔赎回导致单个交易账户的某一类别基金份额余额少于</w:t>
      </w:r>
      <w:bookmarkStart w:id="98" w:name="field_59_minholdshare_2"/>
      <w:r w:rsidR="00284027">
        <w:rPr>
          <w:sz w:val="21"/>
          <w:szCs w:val="21"/>
        </w:rPr>
        <w:t>10</w:t>
      </w:r>
      <w:bookmarkEnd w:id="98"/>
      <w:r w:rsidRPr="000A08E3">
        <w:rPr>
          <w:rFonts w:hint="eastAsia"/>
          <w:sz w:val="21"/>
          <w:szCs w:val="21"/>
        </w:rPr>
        <w:t xml:space="preserve">份时，该类份额余额部分基金份额必须一同赎回；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3、基金管理人可以规定单个投资人累计持有的基金份额上限，具体规定请参见定期更新的招募说明书或相关公告；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4、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更新招募说明书或相关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5、基金管理人可在法律法规允许的情况下，调整上述规定申购金额和赎回份额的数量限制。基金管理人必须在调整实施前依照《信息披露办法》的有关规定在指定媒介上公告。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lastRenderedPageBreak/>
        <w:t>四、申购与赎回的原则</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1、“未知价”原则，即申购、赎回价格以申请当日收市后计算的该类别基金份额净值为基准进行计算；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2、“金额申购、份额赎回”原则，即申购以金额申请，赎回以份额申请；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3、当日的申购与赎回申请可以在基金管理人规定的时间以内撤销；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4、赎回遵循“先进先出”原则，即按照投资人认购、申购的先后次序进行顺序赎回。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基金管理人可在法律法规允许的情况下，对上述原则进行调整。基金管理人必须在新规则开始实施前依照《信息披露办法》的有关规定在指定媒介上公告。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五、申购与赎回的程序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1、申购和赎回的申请方式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投资人必须根据销售机构规定的程序，在开放日的具体业务办理时间内提出申购或赎回的申请。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2、申购和赎回的款项支付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投资人申购基金份额时，必须全额交付申购款项，投资人交付申购款项，申购成立；登记机构确认基金份额时，申购生效。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基金份额持有人递交赎回申请，赎回成立；登记机构确认赎回时，赎回生效。投资人赎回申请成功后，基金管理人将在T＋7日(包括该日)内支付赎回款项。在发生巨额赎回时，款项的支付办法参照基金合同有关条款处理。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3、申购和赎回申请的确认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销售机构对申购、赎回申请的受理并不代表该申请一定成功，而仅代表销售机构确实接收到该申请。申购、赎回的确认以登记机构的确认结果为准。对于申购、赎回申请的确认情况，投资人可及时查询并妥善行使合法权利。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六、申购费率、赎回费率</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1、申购和赎回费率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lastRenderedPageBreak/>
        <w:t xml:space="preserve">本基金A类基金份额在申购时收取基金申购费用；C类基金份额不收取申购费用。本基金申购费用用于本基金的市场推广、销售、登记等募集期间发生的各项费用，不列入基金财产。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表1：本基金的申购费率表 </w:t>
      </w:r>
    </w:p>
    <w:tbl>
      <w:tblPr>
        <w:tblStyle w:val="a8"/>
        <w:tblW w:w="4500" w:type="pct"/>
        <w:tblLook w:val="04A0" w:firstRow="1" w:lastRow="0" w:firstColumn="1" w:lastColumn="0" w:noHBand="0" w:noVBand="1"/>
      </w:tblPr>
      <w:tblGrid>
        <w:gridCol w:w="2670"/>
        <w:gridCol w:w="2497"/>
        <w:gridCol w:w="2497"/>
      </w:tblGrid>
      <w:tr w:rsidR="000A08E3" w:rsidRPr="000A08E3" w:rsidTr="000A08E3">
        <w:trPr>
          <w:divId w:val="1362053502"/>
        </w:trPr>
        <w:tc>
          <w:tcPr>
            <w:tcW w:w="0" w:type="auto"/>
            <w:shd w:val="clear" w:color="auto" w:fill="auto"/>
            <w:hideMark/>
          </w:tcPr>
          <w:p w:rsidR="000A08E3" w:rsidRPr="000A08E3" w:rsidRDefault="000A08E3">
            <w:pPr>
              <w:pStyle w:val="a3"/>
              <w:rPr>
                <w:sz w:val="21"/>
              </w:rPr>
            </w:pPr>
            <w:r w:rsidRPr="000A08E3">
              <w:rPr>
                <w:rFonts w:hint="eastAsia"/>
                <w:sz w:val="21"/>
              </w:rPr>
              <w:t xml:space="preserve">申购金额（M）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A类基金份额申购费率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C类基金份额申购费率 </w:t>
            </w:r>
          </w:p>
        </w:tc>
      </w:tr>
      <w:tr w:rsidR="000A08E3" w:rsidRPr="000A08E3" w:rsidTr="000A08E3">
        <w:trPr>
          <w:divId w:val="1362053502"/>
        </w:trPr>
        <w:tc>
          <w:tcPr>
            <w:tcW w:w="0" w:type="auto"/>
            <w:shd w:val="clear" w:color="auto" w:fill="auto"/>
            <w:hideMark/>
          </w:tcPr>
          <w:p w:rsidR="000A08E3" w:rsidRPr="000A08E3" w:rsidRDefault="000A08E3">
            <w:pPr>
              <w:pStyle w:val="a3"/>
              <w:rPr>
                <w:sz w:val="21"/>
              </w:rPr>
            </w:pPr>
            <w:r w:rsidRPr="000A08E3">
              <w:rPr>
                <w:rFonts w:hint="eastAsia"/>
                <w:sz w:val="21"/>
              </w:rPr>
              <w:t xml:space="preserve">M＜100万元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1.20% </w:t>
            </w:r>
          </w:p>
        </w:tc>
        <w:tc>
          <w:tcPr>
            <w:tcW w:w="0" w:type="auto"/>
            <w:vMerge w:val="restart"/>
            <w:shd w:val="clear" w:color="auto" w:fill="auto"/>
            <w:hideMark/>
          </w:tcPr>
          <w:p w:rsidR="000A08E3" w:rsidRPr="000A08E3" w:rsidRDefault="000A08E3">
            <w:pPr>
              <w:pStyle w:val="a3"/>
              <w:rPr>
                <w:sz w:val="21"/>
              </w:rPr>
            </w:pPr>
            <w:r w:rsidRPr="000A08E3">
              <w:rPr>
                <w:rFonts w:hint="eastAsia"/>
                <w:sz w:val="21"/>
              </w:rPr>
              <w:t xml:space="preserve">0.00% </w:t>
            </w:r>
          </w:p>
        </w:tc>
      </w:tr>
      <w:tr w:rsidR="000A08E3" w:rsidRPr="000A08E3" w:rsidTr="000A08E3">
        <w:trPr>
          <w:divId w:val="1362053502"/>
        </w:trPr>
        <w:tc>
          <w:tcPr>
            <w:tcW w:w="0" w:type="auto"/>
            <w:shd w:val="clear" w:color="auto" w:fill="auto"/>
            <w:hideMark/>
          </w:tcPr>
          <w:p w:rsidR="000A08E3" w:rsidRPr="000A08E3" w:rsidRDefault="000A08E3">
            <w:pPr>
              <w:pStyle w:val="a3"/>
              <w:rPr>
                <w:sz w:val="21"/>
              </w:rPr>
            </w:pPr>
            <w:r w:rsidRPr="000A08E3">
              <w:rPr>
                <w:rFonts w:hint="eastAsia"/>
                <w:sz w:val="21"/>
              </w:rPr>
              <w:t xml:space="preserve">100万元≤M＜500万元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0.80% </w:t>
            </w:r>
          </w:p>
        </w:tc>
        <w:tc>
          <w:tcPr>
            <w:tcW w:w="0" w:type="auto"/>
            <w:vMerge/>
            <w:shd w:val="clear" w:color="auto" w:fill="auto"/>
            <w:hideMark/>
          </w:tcPr>
          <w:p w:rsidR="000A08E3" w:rsidRPr="000A08E3" w:rsidRDefault="000A08E3">
            <w:pPr>
              <w:rPr>
                <w:rFonts w:ascii="宋体" w:eastAsia="宋体" w:hAnsi="宋体" w:cs="宋体"/>
                <w:szCs w:val="24"/>
              </w:rPr>
            </w:pPr>
          </w:p>
        </w:tc>
      </w:tr>
      <w:tr w:rsidR="000A08E3" w:rsidRPr="000A08E3" w:rsidTr="000A08E3">
        <w:trPr>
          <w:divId w:val="1362053502"/>
        </w:trPr>
        <w:tc>
          <w:tcPr>
            <w:tcW w:w="0" w:type="auto"/>
            <w:shd w:val="clear" w:color="auto" w:fill="auto"/>
            <w:hideMark/>
          </w:tcPr>
          <w:p w:rsidR="000A08E3" w:rsidRPr="000A08E3" w:rsidRDefault="000A08E3">
            <w:pPr>
              <w:pStyle w:val="a3"/>
              <w:rPr>
                <w:sz w:val="21"/>
              </w:rPr>
            </w:pPr>
            <w:r w:rsidRPr="000A08E3">
              <w:rPr>
                <w:rFonts w:hint="eastAsia"/>
                <w:sz w:val="21"/>
              </w:rPr>
              <w:t xml:space="preserve">500万元≤M＜1000万元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0.30% </w:t>
            </w:r>
          </w:p>
        </w:tc>
        <w:tc>
          <w:tcPr>
            <w:tcW w:w="0" w:type="auto"/>
            <w:vMerge/>
            <w:shd w:val="clear" w:color="auto" w:fill="auto"/>
            <w:hideMark/>
          </w:tcPr>
          <w:p w:rsidR="000A08E3" w:rsidRPr="000A08E3" w:rsidRDefault="000A08E3">
            <w:pPr>
              <w:rPr>
                <w:rFonts w:ascii="宋体" w:eastAsia="宋体" w:hAnsi="宋体" w:cs="宋体"/>
                <w:szCs w:val="24"/>
              </w:rPr>
            </w:pPr>
          </w:p>
        </w:tc>
      </w:tr>
      <w:tr w:rsidR="000A08E3" w:rsidRPr="000A08E3" w:rsidTr="000A08E3">
        <w:trPr>
          <w:divId w:val="1362053502"/>
        </w:trPr>
        <w:tc>
          <w:tcPr>
            <w:tcW w:w="0" w:type="auto"/>
            <w:shd w:val="clear" w:color="auto" w:fill="auto"/>
            <w:hideMark/>
          </w:tcPr>
          <w:p w:rsidR="000A08E3" w:rsidRPr="000A08E3" w:rsidRDefault="000A08E3">
            <w:pPr>
              <w:pStyle w:val="a3"/>
              <w:rPr>
                <w:sz w:val="21"/>
              </w:rPr>
            </w:pPr>
            <w:r w:rsidRPr="000A08E3">
              <w:rPr>
                <w:rFonts w:hint="eastAsia"/>
                <w:sz w:val="21"/>
              </w:rPr>
              <w:t xml:space="preserve">M≥1000万元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收取固定费用1000元 </w:t>
            </w:r>
          </w:p>
        </w:tc>
        <w:tc>
          <w:tcPr>
            <w:tcW w:w="0" w:type="auto"/>
            <w:vMerge/>
            <w:shd w:val="clear" w:color="auto" w:fill="auto"/>
            <w:hideMark/>
          </w:tcPr>
          <w:p w:rsidR="000A08E3" w:rsidRPr="000A08E3" w:rsidRDefault="000A08E3">
            <w:pPr>
              <w:rPr>
                <w:rFonts w:ascii="宋体" w:eastAsia="宋体" w:hAnsi="宋体" w:cs="宋体"/>
                <w:szCs w:val="24"/>
              </w:rPr>
            </w:pPr>
          </w:p>
        </w:tc>
      </w:tr>
    </w:tbl>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来源：博时基金 </w:t>
      </w:r>
    </w:p>
    <w:p w:rsidR="000A08E3" w:rsidRPr="000A08E3" w:rsidRDefault="000A08E3">
      <w:pPr>
        <w:pStyle w:val="a3"/>
        <w:spacing w:before="0" w:beforeAutospacing="0" w:after="0" w:afterAutospacing="0" w:line="360" w:lineRule="auto"/>
        <w:ind w:firstLine="420"/>
        <w:divId w:val="572593292"/>
        <w:rPr>
          <w:sz w:val="21"/>
          <w:szCs w:val="21"/>
        </w:rPr>
      </w:pP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表2：本基金的赎回费率表 </w:t>
      </w:r>
    </w:p>
    <w:tbl>
      <w:tblPr>
        <w:tblStyle w:val="a8"/>
        <w:tblW w:w="4500" w:type="pct"/>
        <w:tblLook w:val="04A0" w:firstRow="1" w:lastRow="0" w:firstColumn="1" w:lastColumn="0" w:noHBand="0" w:noVBand="1"/>
      </w:tblPr>
      <w:tblGrid>
        <w:gridCol w:w="2670"/>
        <w:gridCol w:w="2497"/>
        <w:gridCol w:w="2497"/>
      </w:tblGrid>
      <w:tr w:rsidR="000A08E3" w:rsidRPr="000A08E3" w:rsidTr="000A08E3">
        <w:trPr>
          <w:divId w:val="131292538"/>
        </w:trPr>
        <w:tc>
          <w:tcPr>
            <w:tcW w:w="0" w:type="auto"/>
            <w:shd w:val="clear" w:color="auto" w:fill="auto"/>
            <w:hideMark/>
          </w:tcPr>
          <w:p w:rsidR="000A08E3" w:rsidRPr="000A08E3" w:rsidRDefault="000A08E3">
            <w:pPr>
              <w:pStyle w:val="a3"/>
              <w:rPr>
                <w:sz w:val="21"/>
              </w:rPr>
            </w:pPr>
            <w:r w:rsidRPr="000A08E3">
              <w:rPr>
                <w:rFonts w:hint="eastAsia"/>
                <w:sz w:val="21"/>
              </w:rPr>
              <w:t xml:space="preserve">持有基金份额期限（Y）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A类基金份额赎回费率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C类基金份额赎回费率 </w:t>
            </w:r>
          </w:p>
        </w:tc>
      </w:tr>
      <w:tr w:rsidR="000A08E3" w:rsidRPr="000A08E3" w:rsidTr="000A08E3">
        <w:trPr>
          <w:divId w:val="131292538"/>
        </w:trPr>
        <w:tc>
          <w:tcPr>
            <w:tcW w:w="0" w:type="auto"/>
            <w:shd w:val="clear" w:color="auto" w:fill="auto"/>
            <w:hideMark/>
          </w:tcPr>
          <w:p w:rsidR="000A08E3" w:rsidRPr="000A08E3" w:rsidRDefault="000A08E3">
            <w:pPr>
              <w:pStyle w:val="a3"/>
              <w:rPr>
                <w:sz w:val="21"/>
              </w:rPr>
            </w:pPr>
            <w:r w:rsidRPr="000A08E3">
              <w:rPr>
                <w:rFonts w:hint="eastAsia"/>
                <w:sz w:val="21"/>
              </w:rPr>
              <w:t xml:space="preserve">Y＜7天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1.50%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1.5% </w:t>
            </w:r>
          </w:p>
        </w:tc>
      </w:tr>
      <w:tr w:rsidR="000A08E3" w:rsidRPr="000A08E3" w:rsidTr="000A08E3">
        <w:trPr>
          <w:divId w:val="131292538"/>
        </w:trPr>
        <w:tc>
          <w:tcPr>
            <w:tcW w:w="0" w:type="auto"/>
            <w:shd w:val="clear" w:color="auto" w:fill="auto"/>
            <w:hideMark/>
          </w:tcPr>
          <w:p w:rsidR="000A08E3" w:rsidRPr="000A08E3" w:rsidRDefault="000A08E3">
            <w:pPr>
              <w:pStyle w:val="a3"/>
              <w:rPr>
                <w:sz w:val="21"/>
              </w:rPr>
            </w:pPr>
            <w:r w:rsidRPr="000A08E3">
              <w:rPr>
                <w:rFonts w:hint="eastAsia"/>
                <w:sz w:val="21"/>
              </w:rPr>
              <w:t xml:space="preserve">7天≤Y＜两年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0.50% </w:t>
            </w:r>
          </w:p>
        </w:tc>
        <w:tc>
          <w:tcPr>
            <w:tcW w:w="0" w:type="auto"/>
            <w:vMerge w:val="restart"/>
            <w:shd w:val="clear" w:color="auto" w:fill="auto"/>
            <w:hideMark/>
          </w:tcPr>
          <w:p w:rsidR="000A08E3" w:rsidRPr="000A08E3" w:rsidRDefault="000A08E3">
            <w:pPr>
              <w:pStyle w:val="a3"/>
              <w:rPr>
                <w:sz w:val="21"/>
              </w:rPr>
            </w:pPr>
            <w:r w:rsidRPr="000A08E3">
              <w:rPr>
                <w:rFonts w:hint="eastAsia"/>
                <w:sz w:val="21"/>
              </w:rPr>
              <w:t xml:space="preserve">0.00% </w:t>
            </w:r>
          </w:p>
        </w:tc>
      </w:tr>
      <w:tr w:rsidR="000A08E3" w:rsidRPr="000A08E3" w:rsidTr="000A08E3">
        <w:trPr>
          <w:divId w:val="131292538"/>
        </w:trPr>
        <w:tc>
          <w:tcPr>
            <w:tcW w:w="0" w:type="auto"/>
            <w:shd w:val="clear" w:color="auto" w:fill="auto"/>
            <w:hideMark/>
          </w:tcPr>
          <w:p w:rsidR="000A08E3" w:rsidRPr="000A08E3" w:rsidRDefault="000A08E3">
            <w:pPr>
              <w:pStyle w:val="a3"/>
              <w:rPr>
                <w:sz w:val="21"/>
              </w:rPr>
            </w:pPr>
            <w:r w:rsidRPr="000A08E3">
              <w:rPr>
                <w:rFonts w:hint="eastAsia"/>
                <w:sz w:val="21"/>
              </w:rPr>
              <w:t xml:space="preserve">两年≤Y＜三年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0.25% </w:t>
            </w:r>
          </w:p>
        </w:tc>
        <w:tc>
          <w:tcPr>
            <w:tcW w:w="0" w:type="auto"/>
            <w:vMerge/>
            <w:shd w:val="clear" w:color="auto" w:fill="auto"/>
            <w:hideMark/>
          </w:tcPr>
          <w:p w:rsidR="000A08E3" w:rsidRPr="000A08E3" w:rsidRDefault="000A08E3">
            <w:pPr>
              <w:rPr>
                <w:rFonts w:ascii="宋体" w:eastAsia="宋体" w:hAnsi="宋体" w:cs="宋体"/>
                <w:szCs w:val="24"/>
              </w:rPr>
            </w:pPr>
          </w:p>
        </w:tc>
      </w:tr>
      <w:tr w:rsidR="000A08E3" w:rsidRPr="000A08E3" w:rsidTr="000A08E3">
        <w:trPr>
          <w:divId w:val="131292538"/>
        </w:trPr>
        <w:tc>
          <w:tcPr>
            <w:tcW w:w="0" w:type="auto"/>
            <w:shd w:val="clear" w:color="auto" w:fill="auto"/>
            <w:hideMark/>
          </w:tcPr>
          <w:p w:rsidR="000A08E3" w:rsidRPr="000A08E3" w:rsidRDefault="000A08E3">
            <w:pPr>
              <w:pStyle w:val="a3"/>
              <w:rPr>
                <w:sz w:val="21"/>
              </w:rPr>
            </w:pPr>
            <w:r w:rsidRPr="000A08E3">
              <w:rPr>
                <w:rFonts w:hint="eastAsia"/>
                <w:sz w:val="21"/>
              </w:rPr>
              <w:t xml:space="preserve">Y≥三年 </w:t>
            </w:r>
          </w:p>
        </w:tc>
        <w:tc>
          <w:tcPr>
            <w:tcW w:w="0" w:type="auto"/>
            <w:shd w:val="clear" w:color="auto" w:fill="auto"/>
            <w:hideMark/>
          </w:tcPr>
          <w:p w:rsidR="000A08E3" w:rsidRPr="000A08E3" w:rsidRDefault="000A08E3">
            <w:pPr>
              <w:pStyle w:val="a3"/>
              <w:rPr>
                <w:sz w:val="21"/>
              </w:rPr>
            </w:pPr>
            <w:r w:rsidRPr="000A08E3">
              <w:rPr>
                <w:rFonts w:hint="eastAsia"/>
                <w:sz w:val="21"/>
              </w:rPr>
              <w:t xml:space="preserve">0% </w:t>
            </w:r>
          </w:p>
        </w:tc>
        <w:tc>
          <w:tcPr>
            <w:tcW w:w="0" w:type="auto"/>
            <w:vMerge/>
            <w:shd w:val="clear" w:color="auto" w:fill="auto"/>
            <w:hideMark/>
          </w:tcPr>
          <w:p w:rsidR="000A08E3" w:rsidRPr="000A08E3" w:rsidRDefault="000A08E3">
            <w:pPr>
              <w:rPr>
                <w:rFonts w:ascii="宋体" w:eastAsia="宋体" w:hAnsi="宋体" w:cs="宋体"/>
                <w:szCs w:val="24"/>
              </w:rPr>
            </w:pPr>
          </w:p>
        </w:tc>
      </w:tr>
    </w:tbl>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注：1年指365天</w:t>
      </w:r>
      <w:r w:rsidR="00284027">
        <w:rPr>
          <w:sz w:val="21"/>
          <w:szCs w:val="21"/>
        </w:rPr>
        <w:t xml:space="preserve">    </w:t>
      </w:r>
      <w:r w:rsidRPr="000A08E3">
        <w:rPr>
          <w:rFonts w:hint="eastAsia"/>
          <w:sz w:val="21"/>
          <w:szCs w:val="21"/>
        </w:rPr>
        <w:t xml:space="preserve">来源：博时基金 </w:t>
      </w:r>
    </w:p>
    <w:p w:rsidR="000A08E3" w:rsidRPr="000A08E3" w:rsidRDefault="000A08E3">
      <w:pPr>
        <w:pStyle w:val="a3"/>
        <w:spacing w:before="0" w:beforeAutospacing="0" w:after="0" w:afterAutospacing="0" w:line="360" w:lineRule="auto"/>
        <w:ind w:firstLine="420"/>
        <w:divId w:val="572593292"/>
        <w:rPr>
          <w:sz w:val="21"/>
          <w:szCs w:val="21"/>
        </w:rPr>
      </w:pP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费用由赎回基金份额的基金份额持有人承担，在基金份额持有人赎回基金份额时收取。其中，对持续持有期少于7日的投资者收取收取不低于1.5%的赎回费，并将上述赎回费全额计入基金财产，对其他投资者收取的赎回费中不低于赎回费总额的25%应归基金财产，其余用于支付登记费和其他必要的手续费。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2、基金管理人可以在履行相关手续后，在基金合同约定的范围内调整费率或收费方式，并最迟应于新的费率或收费方式实施日前依照《信息披露办法》的有关规定在指定媒介公告。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基金管理人可以在不违反法律法规规定及基金合同约定的情形下根据市场情况制定基金促销计划，在基金促销活动期间，按相关监管部门要求履行必要手续后，基金管理人可以对促销活动范围内的基金投资者调低基金申购费率和基金赎回费率。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七、申购份额与赎回金额的计算方式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1、申购份额的计算方式：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（1）A类基金份额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1）申购费用适用比例费率的情形下：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净申购金额＝申购金额/（1＋申购费率）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lastRenderedPageBreak/>
        <w:t xml:space="preserve">申购费用＝申购金额－净申购金额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申购份额＝净申购金额/申购当日A类基金份额净值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2）申购费用适用固定金额的情形下：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申购费用=固定金额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净申购金额=申购金额-固定金额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申购份额=净申购金额/申购当日A类基金份额净值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申购份额的计算结果均按照四舍五入方法，保留小数点后两位，由此误差产生的损失由基金财产承担，产生的收益归基金财产所有。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（2）C类基金份额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申购份额=申购金额/申购当日C类基金份额净值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申购份额的计算结果均按照四舍五入方法，保留到小数点后两位，由此误差产生的损失由基金财产承担，产生的收益归基金财产所有。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例1：假定T日A类基金份额净值为1.0560元，某投资人本次申购本基金A类基金份额50万元，对应的本次申购费率为1.20%，该投资人可得到的A类基金份额为：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净申购金额＝500,000÷（1+1.20%）＝494,071.15元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申购费用=500,000-494,071.15=5,928.85元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申购份额＝494,071.15/1.0560＝467,870.41份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即：投资人投资50万元申购本基金A类基金份额，假定申购当日A类基金份额净值为1.0560元，可得到467,870.41份A类基金份额。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例2：假设某投资者投资10万元申购本基金C类基金份额，申购当日本基金C类基金份额净值为1.0600元，则可得到的C类基金份额为：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申购份额＝100,000/1.0600＝94,339.62份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即：投资者投资10万元申购本基金C类基金份额，假设申购当日本基金C类基金份额净值为1.0600元，则其可得到94,339.62份C类基金份额。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2、赎回金额的计算方式：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赎回总金额=赎回份额′T日该类基金份额净值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赎回费用=赎回总金额′赎回费率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净赎回金额=赎回总金额-赎回费用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赎回费用、赎回金额均按四舍五入方法，保留到小数点后两位，由此误差产生的损失由基金财产承担，产生的收益归基金财产所有。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lastRenderedPageBreak/>
        <w:t xml:space="preserve">例3：某投资人赎回本基金30万份A类基金份额，持有时间为一年两个月，对应的赎回费率为0.50%，假设赎回当日A类基金份额净值是1.1060元，则其可得到的赎回金额计算过程为：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赎回总金额=300,000×1.1060=331,800.00元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赎回费用＝331,800.00×0.50%＝1,659.00元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赎回金额＝331,800.00</w:t>
      </w:r>
      <w:r w:rsidR="00284027">
        <w:rPr>
          <w:sz w:val="21"/>
          <w:szCs w:val="21"/>
        </w:rPr>
        <w:t xml:space="preserve"> </w:t>
      </w:r>
      <w:r w:rsidRPr="000A08E3">
        <w:rPr>
          <w:rFonts w:hint="eastAsia"/>
          <w:sz w:val="21"/>
          <w:szCs w:val="21"/>
        </w:rPr>
        <w:t xml:space="preserve">－1,659.00＝330,141.00元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即：投资人赎回本基金30万份A类基金份额，假设赎回当日A类基金份额净值是1.1060元，持有期所对应的赎回费率为0.50%，则其可得到的赎回金额为330,141.00元。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例4：假设某投资者赎回C类基金份额100,000份，持有时间为1年，则对应的赎回费率为0，假设赎回当日C类基金份额净值是1.0600元，则可得到的赎回金额为：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赎回总金额＝100,000×1.0600＝106,000.00(元)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赎回费用＝100,000×1.0600×0＝0 (元)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净赎回金额＝106,000.00-0＝106,000.00 (元)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即：投资者赎回本基金10万份C类基金份额，持有时间为1年，假设赎回当日C类基金份额净值是1.0600元，则其可得到的赎回金额为106,000.00元。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3、本基金T日的各类基金份额净值在当天收市后计算，</w:t>
      </w:r>
      <w:r w:rsidR="004F1DC3" w:rsidRPr="004F1DC3">
        <w:rPr>
          <w:rFonts w:hint="eastAsia"/>
          <w:sz w:val="21"/>
          <w:szCs w:val="21"/>
        </w:rPr>
        <w:t>并按照基金合同约定公告</w:t>
      </w:r>
      <w:r w:rsidRPr="000A08E3">
        <w:rPr>
          <w:rFonts w:hint="eastAsia"/>
          <w:sz w:val="21"/>
          <w:szCs w:val="21"/>
        </w:rPr>
        <w:t xml:space="preserve">。遇特殊情况，经中国证监会同意，可以适当延迟计算或公告。本基金的各类基金份额净值精确到0.0001元，小数点后第五位四舍五入，由此产生的收益或损失由基金财产承担。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八、申购与赎回的登记</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1、投资人申购基金成功后，基金登记机构在T＋1日为投资人增加权益并办理登记手续，投资人自T＋2日起有权赎回该部分基金份额。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2、投资人赎回基金成功后，基金登记机构在T＋1日为投资人扣除权益并办理相应的登记手续。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3、基金管理人可在法律法规允许的范围内，对上述登记办理时间进行调整，并最迟于开始实施前在指定媒介上予以公告。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九、拒绝或暂停申购的情形</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发生下列情况时，基金管理人可拒绝或暂停接受投资人的申购申请：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1、因不可抗力导致基金无法正常运作或基金管理人无法接受投资人的申购申请。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2、发生基金合同规定的暂停基金资产估值情况时，基金管理人可暂停接受投资人的申购申请。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lastRenderedPageBreak/>
        <w:t xml:space="preserve">3、证券/期货交易所交易时间非正常停市，导致基金管理人无法计算当日基金资产净值。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4、基金管理人接受某笔或某些申购申请会损害现有基金份额持有人利益或对存量基金份额持有人利益构成潜在重大不利影响时。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5、基金资产规模过大，使基金管理人无法找到合适的投资品种，或其他可能对基金业绩产生负面影响，或发生其他损害现有基金份额持有人利益的情形。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6、所投资的目标ETF暂停估值，导致基金管理人无法计算当日基金资产净值。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7、所投资的目标ETF暂停申购或二级市场交易停牌。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8、所投资的目标ETF暂停赎回时。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9、当前一估值日基金资产净值50%以上的资产出现无可参考的活跃市场价格且采用估值技术仍导致公允价值存在重大不确定性时，经与基金托管人协商确认后，基金管理人应当暂停接受基金申购申请。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10、法律法规规定或中国证监会认定的其他情形。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发生上述（第4项除外）暂停申购情形之一且基金管理人决定暂停申购时，基金管理人应当根据有关规定在指定媒介上刊登暂停申购公告。如果投资人的申购申请被拒绝，被拒绝的申购款项将退还给投资人。在暂停申购的情况消除时，基金管理人应及时恢复申购业务的办理。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十、暂停赎回或延缓支付赎回款项的情形</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发生下列情形时，基金管理人可暂停接受投资人的赎回申请或延缓支付赎回款项：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1、因不可抗力导致基金管理人不能支付赎回款项。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2、发生基金合同规定的暂停基金资产估值情况时，基金管理人可暂停接受投资人的赎回申请或延缓支付赎回款项。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3、证券/期货交易所交易时间非正常停市，导致基金管理人无法计算当日基金资产净值。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4、连续两个或两个以上开放日发生巨额赎回。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5、所投资的目标ETF暂停估值，导致基金管理人无法计算当日基金资产净值。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6、所投资的目标ETF暂停赎回或二级市场交易停牌，或延缓支付赎回对价时。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延缓支付赎回款项或暂停接受基金赎回申请。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8、法律法规规定或中国证监会认定的其他情形。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lastRenderedPageBreak/>
        <w:t>发生上述情形之一且基金管理人决定暂停赎回时，基金管理人应在</w:t>
      </w:r>
      <w:r w:rsidR="005F7B8F" w:rsidRPr="005F7B8F">
        <w:rPr>
          <w:rFonts w:hint="eastAsia"/>
          <w:sz w:val="21"/>
          <w:szCs w:val="21"/>
        </w:rPr>
        <w:t>按规定</w:t>
      </w:r>
      <w:r w:rsidRPr="000A08E3">
        <w:rPr>
          <w:rFonts w:hint="eastAsia"/>
          <w:sz w:val="21"/>
          <w:szCs w:val="21"/>
        </w:rPr>
        <w:t xml:space="preserve">报中国证监会备案，已确认的赎回申请，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十一、巨额赎回的情形及处理方式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1、巨额赎回的认定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99" w:name="field_49_mintredeemscale_2"/>
      <w:r w:rsidR="00284027">
        <w:rPr>
          <w:sz w:val="21"/>
          <w:szCs w:val="21"/>
        </w:rPr>
        <w:t>10</w:t>
      </w:r>
      <w:bookmarkEnd w:id="99"/>
      <w:r w:rsidRPr="000A08E3">
        <w:rPr>
          <w:rFonts w:hint="eastAsia"/>
          <w:sz w:val="21"/>
          <w:szCs w:val="21"/>
        </w:rPr>
        <w:t xml:space="preserve">%，即认为是发生了巨额赎回。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2、巨额赎回的处理方式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当基金出现巨额赎回时，基金管理人可以根据基金当时的资产组合状况决定全额赎回或部分延期赎回。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（1）全额赎回：当基金管理人认为有能力支付投资人的全部赎回申请时，按正常赎回程序执行。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bookmarkStart w:id="100" w:name="field_49_mintredeemscale_3"/>
      <w:r w:rsidR="00284027">
        <w:rPr>
          <w:sz w:val="21"/>
          <w:szCs w:val="21"/>
        </w:rPr>
        <w:t>10</w:t>
      </w:r>
      <w:bookmarkEnd w:id="100"/>
      <w:r w:rsidRPr="000A08E3">
        <w:rPr>
          <w:rFonts w:hint="eastAsia"/>
          <w:sz w:val="21"/>
          <w:szCs w:val="21"/>
        </w:rPr>
        <w:t xml:space="preserve">%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该类别基金份额净值为基础计算赎回金额，以此类推，直到全部赎回为止。如投资人在提交赎回申请时未作明确选择，投资人未能赎回部分作自动延期赎回处理。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（3）本基金发生巨额赎回时，对于单个基金份额持有人当日赎回申请超过上一开放日基金总份额</w:t>
      </w:r>
      <w:bookmarkStart w:id="101" w:name="field_49_mintredeemscale_4"/>
      <w:r w:rsidR="00284027">
        <w:rPr>
          <w:sz w:val="21"/>
          <w:szCs w:val="21"/>
        </w:rPr>
        <w:t>10</w:t>
      </w:r>
      <w:bookmarkEnd w:id="101"/>
      <w:r w:rsidRPr="000A08E3">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的该类别基金份额净值为基础计算赎回金额，以此类推，直到全部赎回为止）；对于该基金份额持有人申请赎回的份额中未超过上一开放日基金总份额</w:t>
      </w:r>
      <w:bookmarkStart w:id="102" w:name="field_49_mintredeemscale_5"/>
      <w:r w:rsidR="00284027">
        <w:rPr>
          <w:sz w:val="21"/>
          <w:szCs w:val="21"/>
        </w:rPr>
        <w:t>10</w:t>
      </w:r>
      <w:bookmarkEnd w:id="102"/>
      <w:r w:rsidRPr="000A08E3">
        <w:rPr>
          <w:rFonts w:hint="eastAsia"/>
          <w:sz w:val="21"/>
          <w:szCs w:val="21"/>
        </w:rPr>
        <w:t>％的部</w:t>
      </w:r>
      <w:r w:rsidRPr="000A08E3">
        <w:rPr>
          <w:rFonts w:hint="eastAsia"/>
          <w:sz w:val="21"/>
          <w:szCs w:val="21"/>
        </w:rPr>
        <w:lastRenderedPageBreak/>
        <w:t xml:space="preserve">分，基金管理人根据前段“（1）全额赎回”或“（2）部分延期赎回”的约定方式与其他基金份额持有人的赎回申请一并办理。但是，如该持有人在提交赎回申请时选择取消赎回，则其当日未获受理的部分赎回申请将被撤销。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4）暂停赎回：连续2个开放日以上(含本数)发生巨额赎回，如基金管理人认为有必要，可暂停接受基金的赎回申请；已经接受的赎回申请可以延缓支付赎回款项，但不得超过20个工作日，并应当在指定媒介上进行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3、巨额赎回的公告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当发生上述巨额赎回并延期办理时，基金管理人应当通过邮寄、传真或者招募说明书规定的其他方式在3个交易日内通知基金份额持有人，说明有关处理方法，</w:t>
      </w:r>
      <w:r w:rsidR="002314EC" w:rsidRPr="002314EC">
        <w:rPr>
          <w:rFonts w:hint="eastAsia"/>
          <w:sz w:val="21"/>
          <w:szCs w:val="21"/>
        </w:rPr>
        <w:t>并在2日内在</w:t>
      </w:r>
      <w:r w:rsidRPr="000A08E3">
        <w:rPr>
          <w:rFonts w:hint="eastAsia"/>
          <w:sz w:val="21"/>
          <w:szCs w:val="21"/>
        </w:rPr>
        <w:t xml:space="preserve">指定媒介上刊登公告。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Style w:val="a4"/>
          <w:rFonts w:hint="eastAsia"/>
          <w:sz w:val="21"/>
          <w:szCs w:val="21"/>
        </w:rPr>
        <w:t>十二、暂停申购或赎回的公告和重新开放申购或赎回的公告</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1、发生上述暂停申购或赎回情况的，</w:t>
      </w:r>
      <w:r w:rsidR="002314EC" w:rsidRPr="002314EC">
        <w:rPr>
          <w:rFonts w:hint="eastAsia"/>
          <w:sz w:val="21"/>
          <w:szCs w:val="21"/>
        </w:rPr>
        <w:t>基金管理人应在规定期限内在指定媒介上刊登暂停公告</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2、如发生暂停的时间为1日，基金管理人应于重新开放日，在指定媒介上刊登基金重新开放申购或赎回公告，并公布最近1个开放日各类基金份额的基金份额净值。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 xml:space="preserve">3、如果发生暂停的时间超过1日，基金管理人自行确定公告次数，并根据《信息披露办法》的规定在指定媒介刊登公告。 </w:t>
      </w:r>
    </w:p>
    <w:p w:rsidR="000A08E3" w:rsidRPr="000A08E3" w:rsidRDefault="000A08E3">
      <w:pPr>
        <w:pStyle w:val="a3"/>
        <w:spacing w:before="0" w:beforeAutospacing="0" w:after="0" w:afterAutospacing="0" w:line="360" w:lineRule="auto"/>
        <w:ind w:firstLine="420"/>
        <w:divId w:val="572593292"/>
        <w:rPr>
          <w:sz w:val="21"/>
          <w:szCs w:val="21"/>
        </w:rPr>
      </w:pPr>
      <w:r w:rsidRPr="000A08E3">
        <w:rPr>
          <w:rFonts w:hint="eastAsia"/>
          <w:sz w:val="21"/>
          <w:szCs w:val="21"/>
        </w:rPr>
        <w:t>4、基金管理人可以根据暂停申购或赎回的时间，依照《信息披露办法》的有关规定，最迟于重新开放日在指定媒介上刊登重新开放申购或赎回的公告；也可以根据实际情况在暂</w:t>
      </w:r>
      <w:bookmarkStart w:id="103" w:name="chapter_level1_11_59_section_3_end"/>
      <w:bookmarkEnd w:id="103"/>
      <w:r w:rsidRPr="000A08E3">
        <w:rPr>
          <w:rFonts w:hint="eastAsia"/>
          <w:sz w:val="21"/>
          <w:szCs w:val="21"/>
        </w:rPr>
        <w:t xml:space="preserve">停公告中明确重新开放申购或赎回的时间，届时不再另行发布重新开放的公告。 </w:t>
      </w:r>
    </w:p>
    <w:p w:rsidR="000A08E3" w:rsidRPr="000A08E3" w:rsidRDefault="000A08E3">
      <w:pPr>
        <w:pStyle w:val="a3"/>
        <w:spacing w:before="0" w:beforeAutospacing="0" w:after="0" w:afterAutospacing="0" w:line="360" w:lineRule="auto"/>
        <w:ind w:firstLine="420"/>
        <w:divId w:val="1836334976"/>
        <w:rPr>
          <w:sz w:val="21"/>
          <w:szCs w:val="21"/>
        </w:rPr>
      </w:pPr>
      <w:bookmarkStart w:id="104" w:name="chapter_level1_11_59_section_4"/>
      <w:bookmarkEnd w:id="104"/>
      <w:r w:rsidRPr="000A08E3">
        <w:rPr>
          <w:rStyle w:val="a4"/>
          <w:rFonts w:hint="eastAsia"/>
          <w:sz w:val="21"/>
          <w:szCs w:val="21"/>
        </w:rPr>
        <w:t>十三、基金转换</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自2015年6月3日起，本基金管理人和销售机构共同推出本基金的基金转换业务。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（一）转换费用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（二）业务规则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1、基金转换只能在同一销售机构进行。转换的两只基金必须都是该销售机构代理的同一基金管理人管理的、在同一登记机构处注册登记的基金。</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lastRenderedPageBreak/>
        <w:t xml:space="preserve">2、前端收费模式的开放式基金只能转换到前端收费模式的其它基金（申购费为零的基金视同为前端收费模式），后端收费模式的基金可以转换到前端或后端收费模式的其它基金。QDII基金不能与非QDII基金进行互换。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3、基金转换的目标基金份额按新交易计算持有时间。基金转出视为赎回，转入视为申购。基金转换后可赎回的时间为T＋2日。</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4、基金分红时再投资的份额可在权益登记日的T＋2日提交基金转换申请。</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5、基金转换以申请当日基金份额净值为基础计算。投资者采用“份额转换”的原则提交申请。转出基金份额必须是可用份额，并遵循“先进先出”的原则。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（三）暂停基金转换的情形及处理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基金转换视同为转出基金的赎回和转入基金的申购，因此有关转出基金和转入基金暂停或拒绝申购、暂停赎回的有关规定适用于基金转换。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（四）重要提示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1、本基金转换业务适用于可以销售包括博时上证50交易型开放式证券投资基金联接基金在内的两只以上（含两只），且基金登记机构为同一机构的博时旗下基金的销售机构。</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2、转换业务的收费计算公式及举例参见2010年3月16日刊登于本公司网站的《</w:t>
      </w:r>
      <w:bookmarkStart w:id="105" w:name="field_49_managerorgfullname_6"/>
      <w:r w:rsidR="00284027">
        <w:rPr>
          <w:rFonts w:hint="eastAsia"/>
          <w:sz w:val="21"/>
          <w:szCs w:val="21"/>
        </w:rPr>
        <w:t>博时基金管理有限公司</w:t>
      </w:r>
      <w:bookmarkEnd w:id="105"/>
      <w:r w:rsidRPr="000A08E3">
        <w:rPr>
          <w:rFonts w:hint="eastAsia"/>
          <w:sz w:val="21"/>
          <w:szCs w:val="21"/>
        </w:rPr>
        <w:t xml:space="preserve">关于旗下开放式基金转换业务的公告》。 </w:t>
      </w:r>
    </w:p>
    <w:p w:rsidR="000A08E3" w:rsidRPr="000A08E3" w:rsidRDefault="000A08E3">
      <w:pPr>
        <w:pStyle w:val="a3"/>
        <w:spacing w:before="0" w:beforeAutospacing="0" w:after="0" w:afterAutospacing="0" w:line="360" w:lineRule="auto"/>
        <w:ind w:firstLine="420"/>
        <w:divId w:val="1836334976"/>
        <w:rPr>
          <w:sz w:val="21"/>
          <w:szCs w:val="21"/>
        </w:rPr>
      </w:pPr>
      <w:r w:rsidRPr="000A08E3">
        <w:rPr>
          <w:rFonts w:hint="eastAsia"/>
          <w:sz w:val="21"/>
          <w:szCs w:val="21"/>
        </w:rPr>
        <w:t xml:space="preserve">3、转换业务适用基金详见相关公告。 </w:t>
      </w:r>
    </w:p>
    <w:p w:rsidR="000A08E3" w:rsidRPr="000A08E3" w:rsidRDefault="000A08E3">
      <w:pPr>
        <w:pStyle w:val="a3"/>
        <w:spacing w:before="0" w:beforeAutospacing="0" w:after="0" w:afterAutospacing="0" w:line="360" w:lineRule="auto"/>
        <w:ind w:firstLine="420"/>
        <w:divId w:val="1836334976"/>
        <w:rPr>
          <w:sz w:val="21"/>
          <w:szCs w:val="21"/>
        </w:rPr>
      </w:pPr>
      <w:bookmarkStart w:id="106" w:name="chapter_level1_11_59_section_4_end"/>
      <w:bookmarkEnd w:id="106"/>
      <w:r w:rsidRPr="000A08E3">
        <w:rPr>
          <w:rFonts w:hint="eastAsia"/>
          <w:sz w:val="21"/>
          <w:szCs w:val="21"/>
        </w:rPr>
        <w:t xml:space="preserve">4、本公司管理基金的转换业务的解释权归本公司。 </w:t>
      </w:r>
    </w:p>
    <w:p w:rsidR="000A08E3" w:rsidRPr="000A08E3" w:rsidRDefault="000A08E3">
      <w:pPr>
        <w:pStyle w:val="a3"/>
        <w:spacing w:before="0" w:beforeAutospacing="0" w:after="0" w:afterAutospacing="0" w:line="360" w:lineRule="auto"/>
        <w:ind w:firstLine="420"/>
        <w:divId w:val="643969481"/>
        <w:rPr>
          <w:sz w:val="21"/>
          <w:szCs w:val="21"/>
        </w:rPr>
      </w:pPr>
      <w:bookmarkStart w:id="107" w:name="chapter_level1_11_59_section_5"/>
      <w:bookmarkEnd w:id="107"/>
      <w:r w:rsidRPr="000A08E3">
        <w:rPr>
          <w:rStyle w:val="a4"/>
          <w:rFonts w:hint="eastAsia"/>
          <w:sz w:val="21"/>
          <w:szCs w:val="21"/>
        </w:rPr>
        <w:t>十四、基金的非交易过户</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43969481"/>
        <w:rPr>
          <w:sz w:val="21"/>
          <w:szCs w:val="21"/>
        </w:rPr>
      </w:pPr>
      <w:r w:rsidRPr="000A08E3">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rsidR="000A08E3" w:rsidRPr="000A08E3" w:rsidRDefault="000A08E3">
      <w:pPr>
        <w:pStyle w:val="a3"/>
        <w:spacing w:before="0" w:beforeAutospacing="0" w:after="0" w:afterAutospacing="0" w:line="360" w:lineRule="auto"/>
        <w:ind w:firstLine="420"/>
        <w:divId w:val="643969481"/>
        <w:rPr>
          <w:sz w:val="21"/>
          <w:szCs w:val="21"/>
        </w:rPr>
      </w:pPr>
      <w:r w:rsidRPr="000A08E3">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0A08E3" w:rsidRPr="000A08E3" w:rsidRDefault="000A08E3">
      <w:pPr>
        <w:pStyle w:val="a3"/>
        <w:spacing w:before="0" w:beforeAutospacing="0" w:after="0" w:afterAutospacing="0" w:line="360" w:lineRule="auto"/>
        <w:ind w:firstLine="420"/>
        <w:divId w:val="643969481"/>
        <w:rPr>
          <w:sz w:val="21"/>
          <w:szCs w:val="21"/>
        </w:rPr>
      </w:pPr>
      <w:r w:rsidRPr="000A08E3">
        <w:rPr>
          <w:rStyle w:val="a4"/>
          <w:rFonts w:hint="eastAsia"/>
          <w:sz w:val="21"/>
          <w:szCs w:val="21"/>
        </w:rPr>
        <w:t>十五、基金的转托管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43969481"/>
        <w:rPr>
          <w:sz w:val="21"/>
          <w:szCs w:val="21"/>
        </w:rPr>
      </w:pPr>
      <w:r w:rsidRPr="000A08E3">
        <w:rPr>
          <w:rFonts w:hint="eastAsia"/>
          <w:sz w:val="21"/>
          <w:szCs w:val="21"/>
        </w:rPr>
        <w:lastRenderedPageBreak/>
        <w:t>基金份额持有人可办理已持有基金份额在不同销售机构之间的转托管，基金销售机构可</w:t>
      </w:r>
      <w:bookmarkStart w:id="108" w:name="chapter_level1_11_59_section_5_end"/>
      <w:bookmarkEnd w:id="108"/>
      <w:r w:rsidRPr="000A08E3">
        <w:rPr>
          <w:rFonts w:hint="eastAsia"/>
          <w:sz w:val="21"/>
          <w:szCs w:val="21"/>
        </w:rPr>
        <w:t xml:space="preserve">以按照规定的标准收取转托管费。 </w:t>
      </w:r>
    </w:p>
    <w:p w:rsidR="000A08E3" w:rsidRPr="000A08E3" w:rsidRDefault="000A08E3">
      <w:pPr>
        <w:pStyle w:val="a3"/>
        <w:spacing w:before="0" w:beforeAutospacing="0" w:after="0" w:afterAutospacing="0" w:line="360" w:lineRule="auto"/>
        <w:ind w:firstLine="420"/>
        <w:divId w:val="1431003783"/>
        <w:rPr>
          <w:sz w:val="21"/>
          <w:szCs w:val="21"/>
        </w:rPr>
      </w:pPr>
      <w:bookmarkStart w:id="109" w:name="chapter_level1_11_59_section_6"/>
      <w:bookmarkEnd w:id="109"/>
      <w:r w:rsidRPr="000A08E3">
        <w:rPr>
          <w:rStyle w:val="a4"/>
          <w:rFonts w:hint="eastAsia"/>
          <w:sz w:val="21"/>
          <w:szCs w:val="21"/>
        </w:rPr>
        <w:t>十六、定期定额投资计划</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本基金于2015年6月3日起开始办理基金定期定额投资业务。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（1）适用投资者范围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个人投资者、机构投资者、合格境外机构投资者以及法律法规或中国证监会规定允许购买证券投资基金的其他投资者。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（2）申购费率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本基金定期定额投资的申购费率与普通申购业务的费率相同。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（3）扣款日期和扣款金额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本基金定期定额投资最低每次扣款金额不少于人民币10元（含10元）。投资者须遵循各销售机构有关扣款日期的规定，并与销售机构约定每月扣款金额。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（4）重要提示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 xml:space="preserve">1）凡申请办理本基金“定期定额投资计划”的投资者须首先开立本公司开放式基金基金账户。 </w:t>
      </w:r>
    </w:p>
    <w:p w:rsidR="000A08E3" w:rsidRPr="000A08E3" w:rsidRDefault="000A08E3">
      <w:pPr>
        <w:pStyle w:val="a3"/>
        <w:spacing w:before="0" w:beforeAutospacing="0" w:after="0" w:afterAutospacing="0" w:line="360" w:lineRule="auto"/>
        <w:ind w:firstLine="420"/>
        <w:divId w:val="1431003783"/>
        <w:rPr>
          <w:sz w:val="21"/>
          <w:szCs w:val="21"/>
        </w:rPr>
      </w:pPr>
      <w:r w:rsidRPr="000A08E3">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10" w:name="chapter_level1_11_59_section_6_end"/>
      <w:bookmarkEnd w:id="110"/>
      <w:r w:rsidRPr="000A08E3">
        <w:rPr>
          <w:rFonts w:hint="eastAsia"/>
          <w:sz w:val="21"/>
          <w:szCs w:val="21"/>
        </w:rPr>
        <w:t xml:space="preserve">在确认成功后直接计入投资者的基金账户。 </w:t>
      </w:r>
    </w:p>
    <w:p w:rsidR="000A08E3" w:rsidRPr="000A08E3" w:rsidRDefault="000A08E3">
      <w:pPr>
        <w:pStyle w:val="a3"/>
        <w:spacing w:before="0" w:beforeAutospacing="0" w:after="0" w:afterAutospacing="0" w:line="360" w:lineRule="auto"/>
        <w:ind w:firstLine="420"/>
        <w:divId w:val="70394171"/>
        <w:rPr>
          <w:sz w:val="21"/>
          <w:szCs w:val="21"/>
        </w:rPr>
      </w:pPr>
      <w:bookmarkStart w:id="111" w:name="chapter_level1_11_59_section_7"/>
      <w:bookmarkEnd w:id="111"/>
      <w:r w:rsidRPr="000A08E3">
        <w:rPr>
          <w:rStyle w:val="a4"/>
          <w:rFonts w:hint="eastAsia"/>
          <w:sz w:val="21"/>
          <w:szCs w:val="21"/>
        </w:rPr>
        <w:t>十七、基金的冻结和解冻</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0394171"/>
        <w:rPr>
          <w:sz w:val="21"/>
          <w:szCs w:val="21"/>
        </w:rPr>
      </w:pPr>
      <w:r w:rsidRPr="000A08E3">
        <w:rPr>
          <w:rFonts w:hint="eastAsia"/>
          <w:sz w:val="21"/>
          <w:szCs w:val="21"/>
        </w:rPr>
        <w:t xml:space="preserve">基金登记机构只受理国家有权机关依法要求的基金份额的冻结与解冻，以及登记机构认可、符合法律法规的其他情况下的冻结与解冻。 </w:t>
      </w:r>
    </w:p>
    <w:p w:rsidR="000A08E3" w:rsidRPr="000A08E3" w:rsidRDefault="000A08E3">
      <w:pPr>
        <w:pStyle w:val="a3"/>
        <w:spacing w:before="0" w:beforeAutospacing="0" w:after="0" w:afterAutospacing="0" w:line="360" w:lineRule="auto"/>
        <w:ind w:firstLine="420"/>
        <w:divId w:val="70394171"/>
        <w:rPr>
          <w:sz w:val="21"/>
          <w:szCs w:val="21"/>
        </w:rPr>
      </w:pPr>
      <w:r w:rsidRPr="000A08E3">
        <w:rPr>
          <w:rStyle w:val="a4"/>
          <w:rFonts w:hint="eastAsia"/>
          <w:sz w:val="21"/>
          <w:szCs w:val="21"/>
        </w:rPr>
        <w:t>十八、基金份额的转让</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0394171"/>
        <w:rPr>
          <w:sz w:val="21"/>
          <w:szCs w:val="21"/>
        </w:rPr>
      </w:pPr>
      <w:r w:rsidRPr="000A08E3">
        <w:rPr>
          <w:rFonts w:hint="eastAsia"/>
          <w:sz w:val="21"/>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w:t>
      </w:r>
      <w:bookmarkStart w:id="112" w:name="chapter_level1_11_59_section_7_end"/>
      <w:bookmarkEnd w:id="112"/>
      <w:r w:rsidRPr="000A08E3">
        <w:rPr>
          <w:rFonts w:hint="eastAsia"/>
          <w:sz w:val="21"/>
          <w:szCs w:val="21"/>
        </w:rPr>
        <w:t xml:space="preserve">人公告的业务规则办理基金份额转让业务。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13" w:name="chapter_level1_12_60"/>
      <w:bookmarkStart w:id="114" w:name="_Toc26382913"/>
      <w:r w:rsidRPr="000A08E3">
        <w:rPr>
          <w:rFonts w:ascii="宋体" w:eastAsia="宋体" w:hAnsi="宋体" w:hint="eastAsia"/>
          <w:sz w:val="30"/>
        </w:rPr>
        <w:lastRenderedPageBreak/>
        <w:t>第九部分  基金的投资</w:t>
      </w:r>
      <w:bookmarkEnd w:id="113"/>
      <w:bookmarkEnd w:id="114"/>
    </w:p>
    <w:p w:rsidR="000A08E3" w:rsidRPr="000A08E3" w:rsidRDefault="000A08E3">
      <w:pPr>
        <w:pStyle w:val="a3"/>
        <w:spacing w:before="0" w:beforeAutospacing="0" w:after="0" w:afterAutospacing="0" w:line="360" w:lineRule="auto"/>
        <w:ind w:firstLine="420"/>
        <w:divId w:val="1337155335"/>
        <w:rPr>
          <w:sz w:val="21"/>
          <w:szCs w:val="21"/>
        </w:rPr>
      </w:pPr>
      <w:bookmarkStart w:id="115" w:name="chapter_level1_12_60_section_1"/>
      <w:bookmarkEnd w:id="115"/>
      <w:r w:rsidRPr="000A08E3">
        <w:rPr>
          <w:rStyle w:val="a4"/>
          <w:rFonts w:hint="eastAsia"/>
          <w:sz w:val="21"/>
          <w:szCs w:val="21"/>
        </w:rPr>
        <w:t>一、投资目标</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bookmarkStart w:id="116" w:name="field_60_investmenttarget_1_start"/>
      <w:bookmarkEnd w:id="116"/>
      <w:r w:rsidRPr="000A08E3">
        <w:rPr>
          <w:rFonts w:hint="eastAsia"/>
          <w:sz w:val="21"/>
          <w:szCs w:val="21"/>
        </w:rPr>
        <w:t xml:space="preserve">通过主要投资于目标ETF，紧密跟踪标的指数，追求跟踪偏离度和跟踪误差的最小化。 </w:t>
      </w:r>
      <w:bookmarkStart w:id="117" w:name="field_60_investmenttarget_1_end"/>
      <w:bookmarkEnd w:id="117"/>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Style w:val="a4"/>
          <w:rFonts w:hint="eastAsia"/>
          <w:sz w:val="21"/>
          <w:szCs w:val="21"/>
        </w:rPr>
        <w:t>二、投资范围</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bookmarkStart w:id="118" w:name="field_60_investmentrange_1_start"/>
      <w:bookmarkEnd w:id="118"/>
      <w:r w:rsidRPr="000A08E3">
        <w:rPr>
          <w:rFonts w:hint="eastAsia"/>
          <w:sz w:val="21"/>
          <w:szCs w:val="21"/>
        </w:rPr>
        <w:t xml:space="preserve">本基金主要投资于目标ETF、标的指数成份股和备选成份股票、国内依法发行上市的非成份股（包括中小板、创业板及其他经中国证监会核准上市的股票）、债券、货币市场工具、权证、股指期货、资产支持证券以及法律法规或中国证监会允许基金投资的其他金融工具（但须符合中国证监会的相关规定）。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本基金投资于目标ETF的资产比例不低于基金资产净值的90%；权证、股指期货及其他金融工具的投资比例依照法律法规或监管机构的规定执行。每个交易日日终在扣除股指期货合约需缴纳的交易保证金后，对现金或者到期日在一年以内的政府债券的投资比例不低于基金资产净值的5%，其中，现金不包括结算备付金、存出保证金、应收申购款等。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如法律法规或监管机构以后允许基金投资的其他品种，基金管理人在履行适当程序后，可以将其纳入投资范围。 </w:t>
      </w:r>
      <w:bookmarkStart w:id="119" w:name="field_60_investmentrange_1_end"/>
      <w:bookmarkEnd w:id="119"/>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Style w:val="a4"/>
          <w:rFonts w:hint="eastAsia"/>
          <w:sz w:val="21"/>
          <w:szCs w:val="21"/>
        </w:rPr>
        <w:t>三、标的指数</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上证50指数。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该指数属于价格指数。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如果博时上证50交易型开放式指数证券投资基金变更其标的指数，或者上海证券交易所变更或停止上证50指数的编制及发布，或者上证50指数被其他指数所替代，或者由于指数编制方法等重大变更导致上证50指数不宜继续作为目标基金的标的指数，或者证券市场有其他代表性更强、更适合于本基金投资的指数推出，本基金管理人可以依据审慎性原则和维护基金份额持有人合法权益的原则，在取得基金托管人的同意并履行适当程序后，更换本基金的标的指数和投资对象，并依据目标ETF的标的指数、市场代表性、流动性、与原指数的相关性等诸多因素选择确定新的标的指数。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Style w:val="a4"/>
          <w:rFonts w:hint="eastAsia"/>
          <w:sz w:val="21"/>
          <w:szCs w:val="21"/>
        </w:rPr>
        <w:t>四、投资策略</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337155335"/>
        <w:rPr>
          <w:sz w:val="21"/>
          <w:szCs w:val="21"/>
        </w:rPr>
      </w:pPr>
      <w:bookmarkStart w:id="120" w:name="field_60_investmentstrategy_1_start"/>
      <w:bookmarkEnd w:id="120"/>
      <w:r w:rsidRPr="000A08E3">
        <w:rPr>
          <w:rFonts w:hint="eastAsia"/>
          <w:sz w:val="21"/>
          <w:szCs w:val="21"/>
        </w:rPr>
        <w:t xml:space="preserve">本基金主要投资于目标ETF，方便特定的客户群通过本基金投资目标ETF。本基金不参与目标ETF的投资管理。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1、资产配置策略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lastRenderedPageBreak/>
        <w:t xml:space="preserve">为实现投资目标，本基金将以不低于基金资产净值90%的资产投资于目标ETF，其余资产可投资于标的指数成份股、备选成份股、国内依法发行上市的非成份股（包括中小板、创业板及其他经中国证监会核准上市的股票）、债券、货币市场工具、权证、股指期货、资产支持证券以及法律法规或中国证监会允许基金投资的其他金融工具（但须符合中国证监会的相关规定），其目的是为了使本基金在保障日常申购赎回的前提下，更好地跟踪标的指数。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在正常市场情况下，本基金力争净值增长率与业绩比较基准收益率之间的日均跟踪偏离度不超过0.3%，年跟踪误差不超过4%。如因指数编制规则调整或其他因素导致跟踪偏离度和跟踪误差超过上述范围，基金管理人应采取合理措施避免跟踪偏离度、跟踪误差进一步扩大。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2、基金投资策略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（1）投资组合的构建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基金合同生效后，本基金将主要按照标的指数成份股的基准权重构建股票组合，并在建仓期内将股票组合换购成目标ETF，使本基金投资于目标ETF的比例不低于基金资产净值的90%。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（2）投资组合的投资方式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本基金投资目标ETF的两种方式如下：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1）申购和赎回：目标ETF开放申购赎回后，以组合证券进行申购赎回；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2）二级市场方式：目标ETF上市交易后，在二级市场进行目标ETF的交易。本基金投资于目标ETF的方式以申购和赎回为主，但在目标ETF二级市场流动性较好的情况下，为了更好地实现本基金的投资目标，减小与标的指数的跟踪偏离度和跟踪误差，也可以通过二级市场交易买卖目标ETF。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当目标ETF申购、赎回或交易模式进行了变更或调整，本基金也将作相应的变更或调整，无须召开基金份额持有人大会。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3、成份股、备选成份股投资策略投资管理程序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本基金对成份股、备选成份股的投资目的是为准备构建股票组合以申购目标ETF。因此对可投资于成份股、备选成份股的资金头寸，主要采取完全复制策略，即完全按照标的指数的成份股组成及其权重构建基金股票投资组合，并根据标的指数成份股及其权重的变动而进行相应调整。但在因特殊情况（如流动性不足等）导致无法获得足够数量的股票时，基金管理人将搭配使用其他合理方法进行适当的替代。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4、债券投资策略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lastRenderedPageBreak/>
        <w:t xml:space="preserve">本基金债券投资组合将着重考虑基金的流动性管理及策略性投资的需要，选取到期日在一年以内的政府债券进行配置。债券投资者的目的是保证基金资产流动性，有效利用基金资产，提高基金资产的投资收益。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5、股指期货及其他金融衍生品的投资策略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本基金在股指期货投资中主要遵循有效管理投资策略，根据风险管理的原则，以套期保值为目的进行操作。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 xml:space="preserve">6、权证及资产支持证券的投资策略 </w:t>
      </w:r>
    </w:p>
    <w:p w:rsidR="000A08E3" w:rsidRPr="000A08E3" w:rsidRDefault="000A08E3">
      <w:pPr>
        <w:pStyle w:val="a3"/>
        <w:spacing w:before="0" w:beforeAutospacing="0" w:after="0" w:afterAutospacing="0" w:line="360" w:lineRule="auto"/>
        <w:ind w:firstLine="420"/>
        <w:divId w:val="1337155335"/>
        <w:rPr>
          <w:sz w:val="21"/>
          <w:szCs w:val="21"/>
        </w:rPr>
      </w:pPr>
      <w:r w:rsidRPr="000A08E3">
        <w:rPr>
          <w:rFonts w:hint="eastAsia"/>
          <w:sz w:val="21"/>
          <w:szCs w:val="21"/>
        </w:rPr>
        <w:t>本基金将通过对权证标的证券的基本面以及资产支持证券基础资产及结构设计的研究，</w:t>
      </w:r>
      <w:bookmarkStart w:id="121" w:name="chapter_level1_12_60_section_1_end"/>
      <w:bookmarkEnd w:id="121"/>
      <w:r w:rsidRPr="000A08E3">
        <w:rPr>
          <w:rFonts w:hint="eastAsia"/>
          <w:sz w:val="21"/>
          <w:szCs w:val="21"/>
        </w:rPr>
        <w:t xml:space="preserve">结合多种定价模型，根据基金资产组合情况适度进行权证及资产支持证券的投资。 </w:t>
      </w:r>
      <w:bookmarkStart w:id="122" w:name="field_60_investmentstrategy_1_end"/>
      <w:bookmarkEnd w:id="122"/>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79642958"/>
        <w:rPr>
          <w:sz w:val="21"/>
          <w:szCs w:val="21"/>
        </w:rPr>
      </w:pPr>
      <w:bookmarkStart w:id="123" w:name="chapter_level1_12_60_section_2"/>
      <w:bookmarkEnd w:id="123"/>
      <w:r w:rsidRPr="000A08E3">
        <w:rPr>
          <w:rStyle w:val="a4"/>
          <w:rFonts w:hint="eastAsia"/>
          <w:sz w:val="21"/>
          <w:szCs w:val="21"/>
        </w:rPr>
        <w:t>五、投资管理程序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研究支持、投资决策、组合构建、交易执行、投资绩效评估、组合监控与调整各环节的相互协调与配合，构成了本基金的投资管理程序。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1、研究支持。基金管理人的研究部依托公司整体研究平台，整合外部信息包括券商等外部研究力量的研究成果，开展标的指数跟踪、成份股公司行为等相关信息的搜集与分析、目标ETF二级市场的流动性和折溢价分析、成份股流动性分析、误差及其归因分析等工作，并撰写相关的研究报告，作为本基金投资决策的重要依据。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2、投资决策。基金管理人的投资决策委员会依据研究部提供的研究报告，定期或遇重大事件时临时召开投资决策委员会议，对相关事项做出决策。基金经理根据投资决策委员会的决议，做出基金投资管理的日常决策。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3、组合构建。根据标的指数情况，结合研究报告，基金经理做出日常标的指数跟踪维护过程中的组合构建、组合调整等决策，构建以目标ETF为主的投资组合。在追求跟踪误差和跟踪偏离度最小化的前提下，基金经理可采取适当的方法，提高投资效率，降低交易成本，控制投资风险。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4、交易执行。基金管理人的交易部负责本基金的具体交易执行，交易部同时履行一线监控的职责。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5、投资绩效评估。本基金管理人定期和不定期对本基金的投资绩效进行评估，并撰写相关的绩效评估报告，确认基金组合是否实现了投资预期，投资策略是否成功，并对基金组合误差的来源进行归因分析等。基金经理依据绩效评估报告总结或检讨以往的投资策略，如果需要，亦对投资组合进行相应的调整。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lastRenderedPageBreak/>
        <w:t xml:space="preserve">6、组合监控与调整。基金经理根据标的指数的每日变动情况，结合成份股等的基本面情况、流动性状况、基金申购赎回的现金流量情况，以及基金投资绩效评估结果等，对基金投资组合进行动态监控和调整，密切跟踪标的指数。 </w:t>
      </w:r>
    </w:p>
    <w:p w:rsidR="000A08E3" w:rsidRPr="000A08E3" w:rsidRDefault="000A08E3">
      <w:pPr>
        <w:pStyle w:val="a3"/>
        <w:spacing w:before="0" w:beforeAutospacing="0" w:after="0" w:afterAutospacing="0" w:line="360" w:lineRule="auto"/>
        <w:ind w:firstLine="420"/>
        <w:divId w:val="779642958"/>
        <w:rPr>
          <w:sz w:val="21"/>
          <w:szCs w:val="21"/>
        </w:rPr>
      </w:pPr>
      <w:r w:rsidRPr="000A08E3">
        <w:rPr>
          <w:rFonts w:hint="eastAsia"/>
          <w:sz w:val="21"/>
          <w:szCs w:val="21"/>
        </w:rPr>
        <w:t xml:space="preserve">基金管理人在确保基金份额持有人利益的前提下，根据环境的变化和基金实际投资的需要，有权对上述投资程序做出调整，并将调整内容在招募说明书更新中予以公告。 </w:t>
      </w:r>
    </w:p>
    <w:p w:rsidR="000A08E3" w:rsidRPr="000A08E3" w:rsidRDefault="000A08E3">
      <w:pPr>
        <w:pStyle w:val="a3"/>
        <w:spacing w:before="0" w:beforeAutospacing="0" w:after="0" w:afterAutospacing="0" w:line="360" w:lineRule="auto"/>
        <w:ind w:firstLine="420"/>
        <w:divId w:val="779642958"/>
        <w:rPr>
          <w:sz w:val="21"/>
          <w:szCs w:val="21"/>
        </w:rPr>
      </w:pPr>
      <w:bookmarkStart w:id="124" w:name="chapter_level1_12_60_section_2_end"/>
      <w:bookmarkEnd w:id="124"/>
      <w:r w:rsidRPr="000A08E3">
        <w:rPr>
          <w:rStyle w:val="a4"/>
          <w:rFonts w:hint="eastAsia"/>
          <w:sz w:val="21"/>
          <w:szCs w:val="21"/>
        </w:rPr>
        <w:t>六、业绩比较基准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092703408"/>
        <w:rPr>
          <w:sz w:val="21"/>
          <w:szCs w:val="21"/>
        </w:rPr>
      </w:pPr>
      <w:bookmarkStart w:id="125" w:name="chapter_level1_12_60_section_3"/>
      <w:bookmarkStart w:id="126" w:name="field_60_benchmark_1_start"/>
      <w:bookmarkEnd w:id="125"/>
      <w:bookmarkEnd w:id="126"/>
      <w:r w:rsidRPr="000A08E3">
        <w:rPr>
          <w:rFonts w:hint="eastAsia"/>
          <w:sz w:val="21"/>
          <w:szCs w:val="21"/>
        </w:rPr>
        <w:t xml:space="preserve">上证50指数收益率×95%+银行活期存款税后利率×5% </w:t>
      </w:r>
    </w:p>
    <w:p w:rsidR="000A08E3" w:rsidRPr="000A08E3" w:rsidRDefault="000A08E3">
      <w:pPr>
        <w:pStyle w:val="a3"/>
        <w:spacing w:before="0" w:beforeAutospacing="0" w:after="0" w:afterAutospacing="0" w:line="360" w:lineRule="auto"/>
        <w:ind w:firstLine="420"/>
        <w:divId w:val="2092703408"/>
        <w:rPr>
          <w:sz w:val="21"/>
          <w:szCs w:val="21"/>
        </w:rPr>
      </w:pPr>
      <w:r w:rsidRPr="000A08E3">
        <w:rPr>
          <w:rFonts w:hint="eastAsia"/>
          <w:sz w:val="21"/>
          <w:szCs w:val="21"/>
        </w:rPr>
        <w:t>如上海证券交易所变更或者停止上述标的指数编制及发布，或者上述标的指数由其他指数代替，或由于指数编制方法等重大变更导致上述指数不宜继续作为标的指数，或证券市场有其他代表性更强、更适合投资的指数推出时，本基金管理人可以依据维护基金份额持有人合法权益的原则，通过适当的程序变更本基金的标的指数，并同时更换本基金的基金名称与业绩比较基准。若标的指数变更对基金投资无实质性影响（包括但不限于编制机构变更、指数更名等），则无需召开基金份额持有人大会，基金管理人可在取得基金托管人同意后变更</w:t>
      </w:r>
      <w:bookmarkStart w:id="127" w:name="chapter_level1_12_60_section_3_end"/>
      <w:bookmarkEnd w:id="127"/>
      <w:r w:rsidRPr="000A08E3">
        <w:rPr>
          <w:rFonts w:hint="eastAsia"/>
          <w:sz w:val="21"/>
          <w:szCs w:val="21"/>
        </w:rPr>
        <w:t xml:space="preserve">标的指数和业绩比较基准，报中国证监会备案并及时公告。 </w:t>
      </w:r>
      <w:bookmarkStart w:id="128" w:name="field_60_benchmark_1_end"/>
      <w:bookmarkEnd w:id="128"/>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bookmarkStart w:id="129" w:name="chapter_level1_12_60_section_4"/>
      <w:bookmarkEnd w:id="129"/>
      <w:r w:rsidRPr="000A08E3">
        <w:rPr>
          <w:rStyle w:val="a4"/>
          <w:rFonts w:hint="eastAsia"/>
          <w:sz w:val="21"/>
          <w:szCs w:val="21"/>
        </w:rPr>
        <w:t>七、风险收益特征</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bookmarkStart w:id="130" w:name="field_60_riskyield_1_start"/>
      <w:bookmarkEnd w:id="130"/>
      <w:r w:rsidRPr="000A08E3">
        <w:rPr>
          <w:rFonts w:hint="eastAsia"/>
          <w:sz w:val="21"/>
          <w:szCs w:val="21"/>
        </w:rPr>
        <w:t xml:space="preserve">本基金为ETF联接基金，通过投资于目标ETF跟踪标的指数表现，具有与标的指数以及标的指数所代表的证券市场相似的风险收益特征。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同时，本基金为被动式投资的股票型指数基金，跟踪上证50指数，其预期风险与预期收益高于债券型基金、混合型基金、货币市场基金，其风险收益特征与标的指数所表征的市场组合的风险收益特征相似。 </w:t>
      </w:r>
      <w:bookmarkStart w:id="131" w:name="field_60_riskyield_1_end"/>
      <w:bookmarkEnd w:id="131"/>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Style w:val="a4"/>
          <w:rFonts w:hint="eastAsia"/>
          <w:sz w:val="21"/>
          <w:szCs w:val="21"/>
        </w:rPr>
        <w:t>八、投资限制</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1、组合限制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基金的投资组合应遵循以下限制：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（1）本基金投资于目标ETF的资产比例不低于基金资产净值的90%；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（3）本基金持有的全部权证，其市值不得超过基金资产净值的3％；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（4）本基金管理人管理的全部基金持有的同一权证，不得超过该权证的</w:t>
      </w:r>
      <w:r w:rsidR="00284027">
        <w:rPr>
          <w:sz w:val="21"/>
          <w:szCs w:val="21"/>
        </w:rPr>
        <w:t xml:space="preserve">   </w:t>
      </w:r>
      <w:r w:rsidRPr="000A08E3">
        <w:rPr>
          <w:rFonts w:hint="eastAsia"/>
          <w:sz w:val="21"/>
          <w:szCs w:val="21"/>
        </w:rPr>
        <w:t xml:space="preserve">10％；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lastRenderedPageBreak/>
        <w:t xml:space="preserve">（5）本基金在任何交易日买入权证的总金额，不得超过上一交易日基金资产净值的0.5％；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（6）本基金投资于同一原始权益人的各类资产支持证券的比例，不得超过基金资产净值的10％；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（7）本基金持有的全部资产支持证券，其市值不得超过基金资产净值的20％；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（8）本基金持有的同一(指同一信用级别)资产支持证券的比例，不得超过该资产支持证券规模的10％；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（9）本基金管理人管理的全部基金投资于同一原始权益人的各类资产支持证券，不得超过其各类资产支持证券合计规模的10％；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（10）本基金应投资于信用级别评级为BBB以上(含BBB)的资产支持证券。基金持有资产支持证券期间，如果其信用等级下降、不再符合投资标准，应在评级报告发布之日起3个月内予以全部卖出；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（11）基金财产参与股票发行申购，本基金所申报的金额不超过本基金的总资产，本基金所申报的股票数量不超过拟发行股票公司本次发行股票的总量；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（12）基金资产总值不得超过基金资产净值的140%；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（13）本基金参与股指期货交易依据下列标准建构组合：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日终，持有的卖出期货合约价值不得超过基金持有的股票总市值的20%；在任何交易日内交易（不包括平仓）的股指期货合约的成交金额不得超过上一交易日基金资产净值的20%；本基金所持有的股票市值和买入、卖出股指期货合约价值，合计（轧差计算）应当符合基金合同关于股票投资比例的有关约定；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14）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（15）本基金主动投资于流动性受限资产的市值合计不得超过基金资产净值的15%；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lastRenderedPageBreak/>
        <w:t xml:space="preserve">（16）本基金与私募类证券资管产品及中国证监会认定的其他主体为交易对手开展逆回购交易的，可接受质押品的资质要求应当与基金合同约定的投资范围保持一致；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（17）法律法规及中国证监会规定的和《基金合同》约定的其他投资限制。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除上述第（2）、（10）、（15）、（16）项外，因证券/期货市场波动、上市公司合并、基金规模变动、标的指数成份股调整、标的指数成份股流动性限制、目标ETF暂停申购、赎回或二级市场交易停牌等基金管理人之外的因素致使基金投资比例不符合上述规定投资比例的，基金管理人应当在10个交易日内进行调整，但中国证监会规定的特殊情形除外。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如果法律法规对上述投资组合比例限制进行变更的，以变更后的规定为准。法律法规或监管部门取消上述限制，如适用于本基金，基金管理人在履行适当程序后，则本基金投资不再受相关限制。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2、禁止行为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为维护基金份额持有人的合法权益，基金财产不得用于下列投资或者活动：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（1）承销证券；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（2）违反规定向他人贷款或者提供担保；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（3）从事承担无限责任的投资；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（4）买卖除目标ETF以外的其他基金份额，但是中国证监会另有规定的除外；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（5）向其基金管理人、基金托管人出资；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（6）从事内幕交易、操纵证券交易价格及其他不正当的证券交易活动；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（7）法律、行政法规和中国证监会规定禁止的其他活动。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基金管理人运用基金财产买卖基金管理人、基金托管人及其控股股东、实际控制人或者与其有其他重大利害关系的公司发行的证券或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lastRenderedPageBreak/>
        <w:t xml:space="preserve">法律、行政法规或监管部门取消上述限制，如适用于本基金，则本基金投资不再受相关限制。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Style w:val="a4"/>
          <w:rFonts w:hint="eastAsia"/>
          <w:sz w:val="21"/>
          <w:szCs w:val="21"/>
        </w:rPr>
        <w:t>九、基金管理人代表基金行使股东权利及债权人权利的处理原则及方法</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1、基金管理人按照国家有关规定代表基金独立行使股东权利及债权人权利，保护基金份额持有人的利益；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2、不谋求对上市公司的控股，不参与所投资上市公司的经营管理；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3、有利于基金财产的安全与增值；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 xml:space="preserve">4、不通过关联交易为自身、雇员、授权代理人或任何存在利害关系的第三人牟取任何不当利益。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Style w:val="a4"/>
          <w:rFonts w:hint="eastAsia"/>
          <w:sz w:val="21"/>
          <w:szCs w:val="21"/>
        </w:rPr>
        <w:t>十、基金的融资、融券和转融通</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00189273"/>
        <w:rPr>
          <w:sz w:val="21"/>
          <w:szCs w:val="21"/>
        </w:rPr>
      </w:pPr>
      <w:r w:rsidRPr="000A08E3">
        <w:rPr>
          <w:rFonts w:hint="eastAsia"/>
          <w:sz w:val="21"/>
          <w:szCs w:val="21"/>
        </w:rPr>
        <w:t>本基金可以根据届时有效的有关法律法规和政策的规定进行融资融券和转融通业务。待基金参与融资融券和转融通业务的相关规定颁布后，基金管理人可以在不改变本基金既有投资策略和风险收益特征并在控制风险的前提下，参与融资融券业务以及通过证券金融公司办理转融通业务，以提高投资效率及进行风险管理。届时基金参与融资融券、转融通等业务的风险控制原则、具体参与比例限制、费用收支、信息披露、估值方法及其他相关事项按照中</w:t>
      </w:r>
      <w:bookmarkStart w:id="132" w:name="chapter_level1_12_60_section_4_end"/>
      <w:bookmarkEnd w:id="132"/>
      <w:r w:rsidRPr="000A08E3">
        <w:rPr>
          <w:rFonts w:hint="eastAsia"/>
          <w:sz w:val="21"/>
          <w:szCs w:val="21"/>
        </w:rPr>
        <w:t xml:space="preserve">国证监会的规定及其他相关法律法规的要求执行，无需召开基金份额持有人大会。 </w:t>
      </w:r>
    </w:p>
    <w:p w:rsidR="000A08E3" w:rsidRPr="000A08E3" w:rsidRDefault="000A08E3">
      <w:pPr>
        <w:pStyle w:val="a3"/>
        <w:spacing w:before="0" w:beforeAutospacing="0" w:after="0" w:afterAutospacing="0" w:line="360" w:lineRule="auto"/>
        <w:ind w:firstLine="420"/>
        <w:divId w:val="643314128"/>
        <w:rPr>
          <w:sz w:val="21"/>
          <w:szCs w:val="21"/>
        </w:rPr>
      </w:pPr>
      <w:bookmarkStart w:id="133" w:name="chapter_level1_12_60_section_5"/>
      <w:bookmarkStart w:id="134" w:name="chapter_level1_12_60_section_5_end"/>
      <w:bookmarkEnd w:id="133"/>
      <w:bookmarkEnd w:id="134"/>
      <w:r w:rsidRPr="000A08E3">
        <w:rPr>
          <w:rStyle w:val="a4"/>
          <w:rFonts w:hint="eastAsia"/>
          <w:sz w:val="21"/>
          <w:szCs w:val="21"/>
        </w:rPr>
        <w:t>十一、基金投资组合报告</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90964778"/>
        <w:rPr>
          <w:sz w:val="21"/>
          <w:szCs w:val="21"/>
        </w:rPr>
      </w:pPr>
      <w:bookmarkStart w:id="135" w:name="chapter_level1_12_60_section_6"/>
      <w:bookmarkEnd w:id="135"/>
      <w:r w:rsidRPr="000A08E3">
        <w:rPr>
          <w:rFonts w:hint="eastAsia"/>
          <w:sz w:val="21"/>
          <w:szCs w:val="21"/>
        </w:rPr>
        <w:t>基金管理人的董事会及董事保证本报告所载资料不存在虚假记载、误导性陈述或重大遗漏，并对其内容的真实性、准确性和完整性承担个别及连带责任。</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基金托管人</w:t>
      </w:r>
      <w:bookmarkStart w:id="136" w:name="field_49_trustorgfullname_2"/>
      <w:r w:rsidR="00284027">
        <w:rPr>
          <w:rFonts w:hint="eastAsia"/>
          <w:sz w:val="21"/>
          <w:szCs w:val="21"/>
        </w:rPr>
        <w:t>招商银行股份有限公司</w:t>
      </w:r>
      <w:bookmarkEnd w:id="136"/>
      <w:r w:rsidRPr="000A08E3">
        <w:rPr>
          <w:rFonts w:hint="eastAsia"/>
          <w:sz w:val="21"/>
          <w:szCs w:val="21"/>
        </w:rPr>
        <w:t xml:space="preserve">根据基金合同规定复核了本报告中的财务指标、净值表现和投资组合报告等内容，保证复核内容不存在虚假记载、误导性陈述或者重大遗漏。 </w:t>
      </w:r>
    </w:p>
    <w:p w:rsidR="000A08E3" w:rsidRPr="000A08E3" w:rsidRDefault="000A08E3" w:rsidP="006540CF">
      <w:pPr>
        <w:pStyle w:val="a3"/>
        <w:spacing w:before="0" w:beforeAutospacing="0" w:after="0" w:afterAutospacing="0" w:line="360" w:lineRule="auto"/>
        <w:ind w:firstLine="420"/>
        <w:divId w:val="1590964778"/>
        <w:rPr>
          <w:sz w:val="21"/>
          <w:szCs w:val="21"/>
        </w:rPr>
      </w:pPr>
      <w:r w:rsidRPr="000A08E3">
        <w:rPr>
          <w:rFonts w:hint="eastAsia"/>
          <w:sz w:val="21"/>
          <w:szCs w:val="21"/>
        </w:rPr>
        <w:t>本投资组合报告所载数据截至</w:t>
      </w:r>
      <w:bookmarkStart w:id="137" w:name="field_2343_financeendday_2"/>
      <w:r w:rsidR="00284027">
        <w:rPr>
          <w:sz w:val="21"/>
          <w:szCs w:val="21"/>
        </w:rPr>
        <w:t>2019年09月30日</w:t>
      </w:r>
      <w:bookmarkEnd w:id="137"/>
      <w:r w:rsidRPr="000A08E3">
        <w:rPr>
          <w:rFonts w:hint="eastAsia"/>
          <w:sz w:val="21"/>
          <w:szCs w:val="21"/>
        </w:rPr>
        <w:t xml:space="preserve">，本报告中所列财务数据未经审计。 </w:t>
      </w:r>
    </w:p>
    <w:p w:rsidR="000A08E3" w:rsidRPr="006540CF" w:rsidRDefault="000A08E3" w:rsidP="006540CF">
      <w:pPr>
        <w:pStyle w:val="xx"/>
        <w:divId w:val="1590964778"/>
      </w:pPr>
      <w:r w:rsidRPr="006540CF">
        <w:rPr>
          <w:rFonts w:hint="eastAsia"/>
        </w:rPr>
        <w:t>1</w:t>
      </w:r>
      <w:r w:rsidR="00284027" w:rsidRPr="006540CF">
        <w:t xml:space="preserve"> </w:t>
      </w:r>
      <w:r w:rsidRPr="006540CF">
        <w:rPr>
          <w:rFonts w:hint="eastAsia"/>
        </w:rPr>
        <w:t xml:space="preserve">报告期末基金资产组合情况 </w:t>
      </w:r>
    </w:p>
    <w:tbl>
      <w:tblPr>
        <w:tblStyle w:val="a8"/>
        <w:tblW w:w="0" w:type="auto"/>
        <w:tblLook w:val="04A0" w:firstRow="1" w:lastRow="0" w:firstColumn="1" w:lastColumn="0" w:noHBand="0" w:noVBand="1"/>
      </w:tblPr>
      <w:tblGrid>
        <w:gridCol w:w="690"/>
        <w:gridCol w:w="3621"/>
        <w:gridCol w:w="1829"/>
        <w:gridCol w:w="2376"/>
      </w:tblGrid>
      <w:tr w:rsidR="000A08E3" w:rsidRPr="000A08E3" w:rsidTr="000A08E3">
        <w:trPr>
          <w:divId w:val="1590964778"/>
        </w:trPr>
        <w:tc>
          <w:tcPr>
            <w:tcW w:w="720" w:type="dxa"/>
            <w:shd w:val="clear" w:color="auto" w:fill="auto"/>
            <w:hideMark/>
          </w:tcPr>
          <w:p w:rsidR="000A08E3" w:rsidRPr="000A08E3" w:rsidRDefault="000A08E3">
            <w:pPr>
              <w:pStyle w:val="a3"/>
              <w:rPr>
                <w:sz w:val="21"/>
              </w:rPr>
            </w:pPr>
            <w:r w:rsidRPr="000A08E3">
              <w:rPr>
                <w:rFonts w:hint="eastAsia"/>
                <w:sz w:val="21"/>
              </w:rPr>
              <w:t xml:space="preserve">序号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项目 </w:t>
            </w:r>
          </w:p>
        </w:tc>
        <w:tc>
          <w:tcPr>
            <w:tcW w:w="1845" w:type="dxa"/>
            <w:shd w:val="clear" w:color="auto" w:fill="auto"/>
            <w:hideMark/>
          </w:tcPr>
          <w:p w:rsidR="000A08E3" w:rsidRPr="000A08E3" w:rsidRDefault="000A08E3">
            <w:pPr>
              <w:pStyle w:val="a3"/>
              <w:jc w:val="center"/>
              <w:rPr>
                <w:sz w:val="21"/>
              </w:rPr>
            </w:pPr>
            <w:r w:rsidRPr="000A08E3">
              <w:rPr>
                <w:rFonts w:hint="eastAsia"/>
                <w:sz w:val="21"/>
              </w:rPr>
              <w:t xml:space="preserve">金额(元) </w:t>
            </w:r>
          </w:p>
        </w:tc>
        <w:tc>
          <w:tcPr>
            <w:tcW w:w="2550" w:type="dxa"/>
            <w:shd w:val="clear" w:color="auto" w:fill="auto"/>
            <w:hideMark/>
          </w:tcPr>
          <w:p w:rsidR="000A08E3" w:rsidRPr="000A08E3" w:rsidRDefault="000A08E3">
            <w:pPr>
              <w:pStyle w:val="a3"/>
              <w:jc w:val="center"/>
              <w:rPr>
                <w:sz w:val="21"/>
              </w:rPr>
            </w:pPr>
            <w:r w:rsidRPr="000A08E3">
              <w:rPr>
                <w:rFonts w:hint="eastAsia"/>
                <w:sz w:val="21"/>
              </w:rPr>
              <w:t xml:space="preserve">占基金总资产的比例(%)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1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权益投资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193,962.00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0.07 </w:t>
            </w:r>
          </w:p>
        </w:tc>
      </w:tr>
      <w:tr w:rsidR="000A08E3" w:rsidRPr="000A08E3" w:rsidTr="000A08E3">
        <w:trPr>
          <w:divId w:val="1590964778"/>
        </w:trPr>
        <w:tc>
          <w:tcPr>
            <w:tcW w:w="720" w:type="dxa"/>
            <w:shd w:val="clear" w:color="auto" w:fill="auto"/>
            <w:hideMark/>
          </w:tcPr>
          <w:p w:rsidR="000A08E3" w:rsidRPr="000A08E3" w:rsidRDefault="00284027">
            <w:pPr>
              <w:pStyle w:val="a3"/>
              <w:jc w:val="center"/>
              <w:rPr>
                <w:sz w:val="21"/>
              </w:rPr>
            </w:pPr>
            <w:r>
              <w:rPr>
                <w:sz w:val="21"/>
              </w:rPr>
              <w:t xml:space="preserve"> </w:t>
            </w:r>
            <w:r w:rsidR="000A08E3" w:rsidRPr="000A08E3">
              <w:rPr>
                <w:rFonts w:hint="eastAsia"/>
                <w:sz w:val="21"/>
              </w:rPr>
              <w:t xml:space="preserve">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其中：股票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193,962.00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0.07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2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基金投资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252,196,005.33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92.35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3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固定收益投资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284027">
            <w:pPr>
              <w:pStyle w:val="a3"/>
              <w:jc w:val="center"/>
              <w:rPr>
                <w:sz w:val="21"/>
              </w:rPr>
            </w:pPr>
            <w:r>
              <w:rPr>
                <w:sz w:val="21"/>
              </w:rPr>
              <w:t xml:space="preserve"> </w:t>
            </w:r>
            <w:r w:rsidR="000A08E3" w:rsidRPr="000A08E3">
              <w:rPr>
                <w:rFonts w:hint="eastAsia"/>
                <w:sz w:val="21"/>
              </w:rPr>
              <w:t xml:space="preserve">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其中：债券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284027">
            <w:pPr>
              <w:pStyle w:val="a3"/>
              <w:jc w:val="center"/>
              <w:rPr>
                <w:sz w:val="21"/>
              </w:rPr>
            </w:pPr>
            <w:r>
              <w:rPr>
                <w:sz w:val="21"/>
              </w:rPr>
              <w:t xml:space="preserve"> </w:t>
            </w:r>
            <w:r w:rsidR="000A08E3" w:rsidRPr="000A08E3">
              <w:rPr>
                <w:rFonts w:hint="eastAsia"/>
                <w:sz w:val="21"/>
              </w:rPr>
              <w:t xml:space="preserve">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资产支持证券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lastRenderedPageBreak/>
              <w:t xml:space="preserve">4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贵金属投资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5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金融衍生品投资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6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买入返售金融资产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284027">
            <w:pPr>
              <w:pStyle w:val="a3"/>
              <w:jc w:val="center"/>
              <w:rPr>
                <w:sz w:val="21"/>
              </w:rPr>
            </w:pPr>
            <w:r>
              <w:rPr>
                <w:sz w:val="21"/>
              </w:rPr>
              <w:t xml:space="preserve"> </w:t>
            </w:r>
            <w:r w:rsidR="000A08E3" w:rsidRPr="000A08E3">
              <w:rPr>
                <w:rFonts w:hint="eastAsia"/>
                <w:sz w:val="21"/>
              </w:rPr>
              <w:t xml:space="preserve">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其中：买断式回购的买入返售金融资产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7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银行存款和结算备付金合计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19,863,714.05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7.27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8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其他各项资产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819,926.37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0.30 </w:t>
            </w:r>
          </w:p>
        </w:tc>
      </w:tr>
      <w:tr w:rsidR="000A08E3" w:rsidRPr="000A08E3" w:rsidTr="000A08E3">
        <w:trPr>
          <w:divId w:val="1590964778"/>
        </w:trPr>
        <w:tc>
          <w:tcPr>
            <w:tcW w:w="720" w:type="dxa"/>
            <w:shd w:val="clear" w:color="auto" w:fill="auto"/>
            <w:hideMark/>
          </w:tcPr>
          <w:p w:rsidR="000A08E3" w:rsidRPr="000A08E3" w:rsidRDefault="000A08E3">
            <w:pPr>
              <w:pStyle w:val="a3"/>
              <w:jc w:val="center"/>
              <w:rPr>
                <w:sz w:val="21"/>
              </w:rPr>
            </w:pPr>
            <w:r w:rsidRPr="000A08E3">
              <w:rPr>
                <w:rFonts w:hint="eastAsia"/>
                <w:sz w:val="21"/>
              </w:rPr>
              <w:t xml:space="preserve">9 </w:t>
            </w:r>
          </w:p>
        </w:tc>
        <w:tc>
          <w:tcPr>
            <w:tcW w:w="3960" w:type="dxa"/>
            <w:shd w:val="clear" w:color="auto" w:fill="auto"/>
            <w:hideMark/>
          </w:tcPr>
          <w:p w:rsidR="000A08E3" w:rsidRPr="000A08E3" w:rsidRDefault="000A08E3">
            <w:pPr>
              <w:pStyle w:val="a3"/>
              <w:rPr>
                <w:sz w:val="21"/>
              </w:rPr>
            </w:pPr>
            <w:r w:rsidRPr="000A08E3">
              <w:rPr>
                <w:rFonts w:hint="eastAsia"/>
                <w:sz w:val="21"/>
              </w:rPr>
              <w:t xml:space="preserve">合计 </w:t>
            </w:r>
          </w:p>
        </w:tc>
        <w:tc>
          <w:tcPr>
            <w:tcW w:w="1845" w:type="dxa"/>
            <w:shd w:val="clear" w:color="auto" w:fill="auto"/>
            <w:hideMark/>
          </w:tcPr>
          <w:p w:rsidR="000A08E3" w:rsidRPr="000A08E3" w:rsidRDefault="000A08E3">
            <w:pPr>
              <w:pStyle w:val="a3"/>
              <w:jc w:val="right"/>
              <w:rPr>
                <w:sz w:val="21"/>
              </w:rPr>
            </w:pPr>
            <w:r w:rsidRPr="000A08E3">
              <w:rPr>
                <w:rFonts w:hint="eastAsia"/>
                <w:sz w:val="21"/>
              </w:rPr>
              <w:t xml:space="preserve">273,073,607.75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100.00 </w:t>
            </w:r>
          </w:p>
        </w:tc>
      </w:tr>
    </w:tbl>
    <w:p w:rsidR="000A08E3" w:rsidRPr="006540CF" w:rsidRDefault="000A08E3" w:rsidP="006540CF">
      <w:pPr>
        <w:pStyle w:val="xx"/>
        <w:divId w:val="1590964778"/>
      </w:pPr>
      <w:r w:rsidRPr="006540CF">
        <w:rPr>
          <w:rFonts w:hint="eastAsia"/>
        </w:rPr>
        <w:t>2</w:t>
      </w:r>
      <w:r w:rsidR="00284027" w:rsidRPr="006540CF">
        <w:t xml:space="preserve"> </w:t>
      </w:r>
      <w:r w:rsidRPr="006540CF">
        <w:rPr>
          <w:rFonts w:hint="eastAsia"/>
        </w:rPr>
        <w:t xml:space="preserve">期末投资目标基金明细 </w:t>
      </w:r>
    </w:p>
    <w:tbl>
      <w:tblPr>
        <w:tblStyle w:val="a8"/>
        <w:tblW w:w="0" w:type="auto"/>
        <w:tblLook w:val="04A0" w:firstRow="1" w:lastRow="0" w:firstColumn="1" w:lastColumn="0" w:noHBand="0" w:noVBand="1"/>
      </w:tblPr>
      <w:tblGrid>
        <w:gridCol w:w="553"/>
        <w:gridCol w:w="1298"/>
        <w:gridCol w:w="1167"/>
        <w:gridCol w:w="1050"/>
        <w:gridCol w:w="1167"/>
        <w:gridCol w:w="1943"/>
        <w:gridCol w:w="1338"/>
      </w:tblGrid>
      <w:tr w:rsidR="000A08E3" w:rsidRPr="000A08E3" w:rsidTr="000A08E3">
        <w:trPr>
          <w:divId w:val="1590964778"/>
        </w:trPr>
        <w:tc>
          <w:tcPr>
            <w:tcW w:w="570" w:type="dxa"/>
            <w:shd w:val="clear" w:color="auto" w:fill="auto"/>
            <w:hideMark/>
          </w:tcPr>
          <w:p w:rsidR="000A08E3" w:rsidRPr="000A08E3" w:rsidRDefault="000A08E3">
            <w:pPr>
              <w:pStyle w:val="a3"/>
              <w:jc w:val="center"/>
              <w:rPr>
                <w:sz w:val="21"/>
              </w:rPr>
            </w:pPr>
            <w:r w:rsidRPr="000A08E3">
              <w:rPr>
                <w:rFonts w:hint="eastAsia"/>
                <w:sz w:val="21"/>
              </w:rPr>
              <w:t xml:space="preserve">序号 </w:t>
            </w:r>
          </w:p>
        </w:tc>
        <w:tc>
          <w:tcPr>
            <w:tcW w:w="1425" w:type="dxa"/>
            <w:shd w:val="clear" w:color="auto" w:fill="auto"/>
            <w:hideMark/>
          </w:tcPr>
          <w:p w:rsidR="000A08E3" w:rsidRPr="000A08E3" w:rsidRDefault="000A08E3">
            <w:pPr>
              <w:pStyle w:val="a3"/>
              <w:jc w:val="center"/>
              <w:rPr>
                <w:sz w:val="21"/>
              </w:rPr>
            </w:pPr>
            <w:r w:rsidRPr="000A08E3">
              <w:rPr>
                <w:rFonts w:hint="eastAsia"/>
                <w:sz w:val="21"/>
              </w:rPr>
              <w:t xml:space="preserve">基金名称 </w:t>
            </w:r>
          </w:p>
        </w:tc>
        <w:tc>
          <w:tcPr>
            <w:tcW w:w="1275" w:type="dxa"/>
            <w:shd w:val="clear" w:color="auto" w:fill="auto"/>
            <w:hideMark/>
          </w:tcPr>
          <w:p w:rsidR="000A08E3" w:rsidRPr="000A08E3" w:rsidRDefault="000A08E3">
            <w:pPr>
              <w:pStyle w:val="a3"/>
              <w:jc w:val="center"/>
              <w:rPr>
                <w:sz w:val="21"/>
              </w:rPr>
            </w:pPr>
            <w:r w:rsidRPr="000A08E3">
              <w:rPr>
                <w:rFonts w:hint="eastAsia"/>
                <w:sz w:val="21"/>
              </w:rPr>
              <w:t xml:space="preserve">基金类型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运作方式 </w:t>
            </w:r>
          </w:p>
        </w:tc>
        <w:tc>
          <w:tcPr>
            <w:tcW w:w="1275" w:type="dxa"/>
            <w:shd w:val="clear" w:color="auto" w:fill="auto"/>
            <w:hideMark/>
          </w:tcPr>
          <w:p w:rsidR="000A08E3" w:rsidRPr="000A08E3" w:rsidRDefault="000A08E3">
            <w:pPr>
              <w:pStyle w:val="a3"/>
              <w:jc w:val="center"/>
              <w:rPr>
                <w:sz w:val="21"/>
              </w:rPr>
            </w:pPr>
            <w:r w:rsidRPr="000A08E3">
              <w:rPr>
                <w:rFonts w:hint="eastAsia"/>
                <w:sz w:val="21"/>
              </w:rPr>
              <w:t xml:space="preserve">管理人 </w:t>
            </w:r>
          </w:p>
        </w:tc>
        <w:tc>
          <w:tcPr>
            <w:tcW w:w="1980" w:type="dxa"/>
            <w:shd w:val="clear" w:color="auto" w:fill="auto"/>
            <w:hideMark/>
          </w:tcPr>
          <w:p w:rsidR="000A08E3" w:rsidRPr="000A08E3" w:rsidRDefault="000A08E3">
            <w:pPr>
              <w:pStyle w:val="a3"/>
              <w:jc w:val="center"/>
              <w:rPr>
                <w:sz w:val="21"/>
              </w:rPr>
            </w:pPr>
            <w:r w:rsidRPr="000A08E3">
              <w:rPr>
                <w:rFonts w:hint="eastAsia"/>
                <w:sz w:val="21"/>
              </w:rPr>
              <w:t xml:space="preserve">公允价值 </w:t>
            </w:r>
          </w:p>
        </w:tc>
        <w:tc>
          <w:tcPr>
            <w:tcW w:w="1425" w:type="dxa"/>
            <w:shd w:val="clear" w:color="auto" w:fill="auto"/>
            <w:hideMark/>
          </w:tcPr>
          <w:p w:rsidR="000A08E3" w:rsidRPr="000A08E3" w:rsidRDefault="000A08E3">
            <w:pPr>
              <w:pStyle w:val="a3"/>
              <w:jc w:val="center"/>
              <w:rPr>
                <w:sz w:val="21"/>
              </w:rPr>
            </w:pPr>
            <w:r w:rsidRPr="000A08E3">
              <w:rPr>
                <w:rFonts w:hint="eastAsia"/>
                <w:sz w:val="21"/>
              </w:rPr>
              <w:t xml:space="preserve">占基金资产净值比例（%） </w:t>
            </w:r>
          </w:p>
        </w:tc>
      </w:tr>
      <w:tr w:rsidR="000A08E3" w:rsidRPr="000A08E3" w:rsidTr="000A08E3">
        <w:trPr>
          <w:divId w:val="1590964778"/>
        </w:trPr>
        <w:tc>
          <w:tcPr>
            <w:tcW w:w="570" w:type="dxa"/>
            <w:shd w:val="clear" w:color="auto" w:fill="auto"/>
            <w:hideMark/>
          </w:tcPr>
          <w:p w:rsidR="000A08E3" w:rsidRPr="000A08E3" w:rsidRDefault="000A08E3">
            <w:pPr>
              <w:pStyle w:val="a3"/>
              <w:jc w:val="center"/>
              <w:rPr>
                <w:sz w:val="21"/>
              </w:rPr>
            </w:pPr>
            <w:r w:rsidRPr="000A08E3">
              <w:rPr>
                <w:rFonts w:hint="eastAsia"/>
                <w:sz w:val="21"/>
              </w:rPr>
              <w:t xml:space="preserve">1 </w:t>
            </w:r>
          </w:p>
        </w:tc>
        <w:tc>
          <w:tcPr>
            <w:tcW w:w="1425" w:type="dxa"/>
            <w:shd w:val="clear" w:color="auto" w:fill="auto"/>
            <w:hideMark/>
          </w:tcPr>
          <w:p w:rsidR="000A08E3" w:rsidRPr="000A08E3" w:rsidRDefault="000A08E3">
            <w:pPr>
              <w:pStyle w:val="a3"/>
              <w:jc w:val="center"/>
              <w:rPr>
                <w:sz w:val="21"/>
              </w:rPr>
            </w:pPr>
            <w:r w:rsidRPr="000A08E3">
              <w:rPr>
                <w:rFonts w:hint="eastAsia"/>
                <w:sz w:val="21"/>
              </w:rPr>
              <w:t xml:space="preserve">博时上证50交易型开放式指数证券投资基金 </w:t>
            </w:r>
          </w:p>
        </w:tc>
        <w:tc>
          <w:tcPr>
            <w:tcW w:w="1275" w:type="dxa"/>
            <w:shd w:val="clear" w:color="auto" w:fill="auto"/>
            <w:hideMark/>
          </w:tcPr>
          <w:p w:rsidR="000A08E3" w:rsidRPr="000A08E3" w:rsidRDefault="000A08E3">
            <w:pPr>
              <w:pStyle w:val="a3"/>
              <w:jc w:val="center"/>
              <w:rPr>
                <w:sz w:val="21"/>
              </w:rPr>
            </w:pPr>
            <w:r w:rsidRPr="000A08E3">
              <w:rPr>
                <w:rFonts w:hint="eastAsia"/>
                <w:sz w:val="21"/>
              </w:rPr>
              <w:t xml:space="preserve">股票指数型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交易型开放式指数基金 </w:t>
            </w:r>
          </w:p>
        </w:tc>
        <w:tc>
          <w:tcPr>
            <w:tcW w:w="1275" w:type="dxa"/>
            <w:shd w:val="clear" w:color="auto" w:fill="auto"/>
            <w:hideMark/>
          </w:tcPr>
          <w:p w:rsidR="000A08E3" w:rsidRPr="000A08E3" w:rsidRDefault="000A08E3">
            <w:pPr>
              <w:pStyle w:val="a3"/>
              <w:jc w:val="center"/>
              <w:rPr>
                <w:sz w:val="21"/>
              </w:rPr>
            </w:pPr>
            <w:r w:rsidRPr="000A08E3">
              <w:rPr>
                <w:rFonts w:hint="eastAsia"/>
                <w:sz w:val="21"/>
              </w:rPr>
              <w:t xml:space="preserve">博时基金管理有限公司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252,196,005.33 </w:t>
            </w:r>
          </w:p>
        </w:tc>
        <w:tc>
          <w:tcPr>
            <w:tcW w:w="1425" w:type="dxa"/>
            <w:shd w:val="clear" w:color="auto" w:fill="auto"/>
            <w:hideMark/>
          </w:tcPr>
          <w:p w:rsidR="000A08E3" w:rsidRPr="000A08E3" w:rsidRDefault="000A08E3">
            <w:pPr>
              <w:pStyle w:val="a3"/>
              <w:jc w:val="right"/>
              <w:rPr>
                <w:sz w:val="21"/>
              </w:rPr>
            </w:pPr>
            <w:r w:rsidRPr="000A08E3">
              <w:rPr>
                <w:rFonts w:hint="eastAsia"/>
                <w:sz w:val="21"/>
              </w:rPr>
              <w:t xml:space="preserve">93.33 </w:t>
            </w:r>
          </w:p>
        </w:tc>
      </w:tr>
    </w:tbl>
    <w:p w:rsidR="000A08E3" w:rsidRPr="006540CF" w:rsidRDefault="000A08E3" w:rsidP="006540CF">
      <w:pPr>
        <w:pStyle w:val="xx"/>
        <w:divId w:val="1590964778"/>
      </w:pPr>
      <w:r w:rsidRPr="006540CF">
        <w:rPr>
          <w:rFonts w:hint="eastAsia"/>
        </w:rPr>
        <w:t>3</w:t>
      </w:r>
      <w:r w:rsidR="00284027" w:rsidRPr="006540CF">
        <w:t xml:space="preserve"> </w:t>
      </w:r>
      <w:r w:rsidRPr="006540CF">
        <w:rPr>
          <w:rFonts w:hint="eastAsia"/>
        </w:rPr>
        <w:t xml:space="preserve">报告期末按行业分类的股票投资组合 </w:t>
      </w:r>
    </w:p>
    <w:tbl>
      <w:tblPr>
        <w:tblStyle w:val="a8"/>
        <w:tblW w:w="0" w:type="auto"/>
        <w:tblLook w:val="04A0" w:firstRow="1" w:lastRow="0" w:firstColumn="1" w:lastColumn="0" w:noHBand="0" w:noVBand="1"/>
      </w:tblPr>
      <w:tblGrid>
        <w:gridCol w:w="624"/>
        <w:gridCol w:w="3455"/>
        <w:gridCol w:w="2048"/>
        <w:gridCol w:w="2389"/>
      </w:tblGrid>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代码 </w:t>
            </w:r>
          </w:p>
        </w:tc>
        <w:tc>
          <w:tcPr>
            <w:tcW w:w="3750" w:type="dxa"/>
            <w:shd w:val="clear" w:color="auto" w:fill="auto"/>
            <w:hideMark/>
          </w:tcPr>
          <w:p w:rsidR="000A08E3" w:rsidRPr="000A08E3" w:rsidRDefault="000A08E3">
            <w:pPr>
              <w:pStyle w:val="a3"/>
              <w:jc w:val="center"/>
              <w:rPr>
                <w:sz w:val="21"/>
              </w:rPr>
            </w:pPr>
            <w:r w:rsidRPr="000A08E3">
              <w:rPr>
                <w:rFonts w:hint="eastAsia"/>
                <w:sz w:val="21"/>
              </w:rPr>
              <w:t xml:space="preserve">行业类别 </w:t>
            </w:r>
          </w:p>
        </w:tc>
        <w:tc>
          <w:tcPr>
            <w:tcW w:w="2130" w:type="dxa"/>
            <w:shd w:val="clear" w:color="auto" w:fill="auto"/>
            <w:hideMark/>
          </w:tcPr>
          <w:p w:rsidR="000A08E3" w:rsidRPr="000A08E3" w:rsidRDefault="000A08E3">
            <w:pPr>
              <w:pStyle w:val="a3"/>
              <w:jc w:val="center"/>
              <w:rPr>
                <w:sz w:val="21"/>
              </w:rPr>
            </w:pPr>
            <w:r w:rsidRPr="000A08E3">
              <w:rPr>
                <w:rFonts w:hint="eastAsia"/>
                <w:sz w:val="21"/>
              </w:rPr>
              <w:t xml:space="preserve">公允价值（元） </w:t>
            </w:r>
          </w:p>
        </w:tc>
        <w:tc>
          <w:tcPr>
            <w:tcW w:w="2550" w:type="dxa"/>
            <w:shd w:val="clear" w:color="auto" w:fill="auto"/>
            <w:hideMark/>
          </w:tcPr>
          <w:p w:rsidR="000A08E3" w:rsidRPr="000A08E3" w:rsidRDefault="000A08E3">
            <w:pPr>
              <w:pStyle w:val="a3"/>
              <w:jc w:val="center"/>
              <w:rPr>
                <w:sz w:val="21"/>
              </w:rPr>
            </w:pPr>
            <w:r w:rsidRPr="000A08E3">
              <w:rPr>
                <w:rFonts w:hint="eastAsia"/>
                <w:sz w:val="21"/>
              </w:rPr>
              <w:t xml:space="preserve">占基金资产净值比例（％）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A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农、林、牧、渔业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B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采矿业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p w:rsidR="000A08E3" w:rsidRPr="000A08E3" w:rsidRDefault="00284027">
            <w:pPr>
              <w:pStyle w:val="a3"/>
              <w:jc w:val="right"/>
              <w:rPr>
                <w:sz w:val="21"/>
              </w:rPr>
            </w:pPr>
            <w:r>
              <w:rPr>
                <w:sz w:val="21"/>
              </w:rPr>
              <w:t xml:space="preserve"> </w:t>
            </w:r>
            <w:r w:rsidR="000A08E3"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p w:rsidR="000A08E3" w:rsidRPr="000A08E3" w:rsidRDefault="00284027">
            <w:pPr>
              <w:pStyle w:val="a3"/>
              <w:jc w:val="right"/>
              <w:rPr>
                <w:sz w:val="21"/>
              </w:rPr>
            </w:pPr>
            <w:r>
              <w:rPr>
                <w:sz w:val="21"/>
              </w:rPr>
              <w:t xml:space="preserve"> </w:t>
            </w:r>
            <w:r w:rsidR="000A08E3"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C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制造业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115,000.00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0.04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D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电力、热力、燃气及水生产和供应业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E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建筑业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F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批发和零售业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G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交通运输、仓储和邮政业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H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住宿和餐饮业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I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信息传输、软件和信息技术服务业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J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金融业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23,126.00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0.01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K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房地产业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L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租赁和商务服务业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55,836.00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0.02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M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科学研究和技术服务业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N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水利、环境和公共设施管理业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O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居民服务、修理和其他服务业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P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教育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Q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卫生和社会工作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t xml:space="preserve">R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文化、体育和娱乐业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0A08E3">
            <w:pPr>
              <w:pStyle w:val="a3"/>
              <w:jc w:val="center"/>
              <w:rPr>
                <w:sz w:val="21"/>
              </w:rPr>
            </w:pPr>
            <w:r w:rsidRPr="000A08E3">
              <w:rPr>
                <w:rFonts w:hint="eastAsia"/>
                <w:sz w:val="21"/>
              </w:rPr>
              <w:lastRenderedPageBreak/>
              <w:t xml:space="preserve">S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综合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645" w:type="dxa"/>
            <w:shd w:val="clear" w:color="auto" w:fill="auto"/>
            <w:hideMark/>
          </w:tcPr>
          <w:p w:rsidR="000A08E3" w:rsidRPr="000A08E3" w:rsidRDefault="00284027">
            <w:pPr>
              <w:pStyle w:val="a3"/>
              <w:jc w:val="center"/>
              <w:rPr>
                <w:sz w:val="21"/>
              </w:rPr>
            </w:pPr>
            <w:r>
              <w:rPr>
                <w:sz w:val="21"/>
              </w:rPr>
              <w:t xml:space="preserve"> </w:t>
            </w:r>
            <w:r w:rsidR="000A08E3" w:rsidRPr="000A08E3">
              <w:rPr>
                <w:rFonts w:hint="eastAsia"/>
                <w:sz w:val="21"/>
              </w:rPr>
              <w:t xml:space="preserve"> </w:t>
            </w:r>
          </w:p>
        </w:tc>
        <w:tc>
          <w:tcPr>
            <w:tcW w:w="3750" w:type="dxa"/>
            <w:shd w:val="clear" w:color="auto" w:fill="auto"/>
            <w:hideMark/>
          </w:tcPr>
          <w:p w:rsidR="000A08E3" w:rsidRPr="000A08E3" w:rsidRDefault="000A08E3">
            <w:pPr>
              <w:pStyle w:val="a3"/>
              <w:rPr>
                <w:sz w:val="21"/>
              </w:rPr>
            </w:pPr>
            <w:r w:rsidRPr="000A08E3">
              <w:rPr>
                <w:rFonts w:hint="eastAsia"/>
                <w:sz w:val="21"/>
              </w:rPr>
              <w:t xml:space="preserve">合计 </w:t>
            </w:r>
          </w:p>
        </w:tc>
        <w:tc>
          <w:tcPr>
            <w:tcW w:w="2130" w:type="dxa"/>
            <w:shd w:val="clear" w:color="auto" w:fill="auto"/>
            <w:hideMark/>
          </w:tcPr>
          <w:p w:rsidR="000A08E3" w:rsidRPr="000A08E3" w:rsidRDefault="000A08E3">
            <w:pPr>
              <w:pStyle w:val="a3"/>
              <w:jc w:val="right"/>
              <w:rPr>
                <w:sz w:val="21"/>
              </w:rPr>
            </w:pPr>
            <w:r w:rsidRPr="000A08E3">
              <w:rPr>
                <w:rFonts w:hint="eastAsia"/>
                <w:sz w:val="21"/>
              </w:rPr>
              <w:t xml:space="preserve">193,962.00 </w:t>
            </w:r>
          </w:p>
        </w:tc>
        <w:tc>
          <w:tcPr>
            <w:tcW w:w="2550" w:type="dxa"/>
            <w:shd w:val="clear" w:color="auto" w:fill="auto"/>
            <w:hideMark/>
          </w:tcPr>
          <w:p w:rsidR="000A08E3" w:rsidRPr="000A08E3" w:rsidRDefault="000A08E3">
            <w:pPr>
              <w:pStyle w:val="a3"/>
              <w:jc w:val="right"/>
              <w:rPr>
                <w:sz w:val="21"/>
              </w:rPr>
            </w:pPr>
            <w:r w:rsidRPr="000A08E3">
              <w:rPr>
                <w:rFonts w:hint="eastAsia"/>
                <w:sz w:val="21"/>
              </w:rPr>
              <w:t xml:space="preserve">0.07 </w:t>
            </w:r>
          </w:p>
        </w:tc>
      </w:tr>
    </w:tbl>
    <w:p w:rsidR="000A08E3" w:rsidRPr="006540CF" w:rsidRDefault="000A08E3" w:rsidP="006540CF">
      <w:pPr>
        <w:pStyle w:val="xx"/>
        <w:divId w:val="1590964778"/>
      </w:pPr>
      <w:r w:rsidRPr="006540CF">
        <w:rPr>
          <w:rFonts w:hint="eastAsia"/>
        </w:rPr>
        <w:t>4</w:t>
      </w:r>
      <w:r w:rsidR="00284027" w:rsidRPr="006540CF">
        <w:t xml:space="preserve"> </w:t>
      </w:r>
      <w:r w:rsidRPr="006540CF">
        <w:rPr>
          <w:rFonts w:hint="eastAsia"/>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74"/>
        <w:gridCol w:w="1107"/>
        <w:gridCol w:w="1552"/>
        <w:gridCol w:w="1828"/>
        <w:gridCol w:w="1899"/>
        <w:gridCol w:w="1456"/>
      </w:tblGrid>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序号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股票代码 </w:t>
            </w:r>
          </w:p>
        </w:tc>
        <w:tc>
          <w:tcPr>
            <w:tcW w:w="1695" w:type="dxa"/>
            <w:shd w:val="clear" w:color="auto" w:fill="auto"/>
            <w:hideMark/>
          </w:tcPr>
          <w:p w:rsidR="000A08E3" w:rsidRPr="000A08E3" w:rsidRDefault="000A08E3">
            <w:pPr>
              <w:pStyle w:val="a3"/>
              <w:jc w:val="center"/>
              <w:rPr>
                <w:sz w:val="21"/>
              </w:rPr>
            </w:pPr>
            <w:r w:rsidRPr="000A08E3">
              <w:rPr>
                <w:rFonts w:hint="eastAsia"/>
                <w:sz w:val="21"/>
              </w:rPr>
              <w:t xml:space="preserve">股票名称 </w:t>
            </w:r>
          </w:p>
        </w:tc>
        <w:tc>
          <w:tcPr>
            <w:tcW w:w="1980" w:type="dxa"/>
            <w:shd w:val="clear" w:color="auto" w:fill="auto"/>
            <w:hideMark/>
          </w:tcPr>
          <w:p w:rsidR="000A08E3" w:rsidRPr="000A08E3" w:rsidRDefault="000A08E3">
            <w:pPr>
              <w:pStyle w:val="a3"/>
              <w:jc w:val="center"/>
              <w:rPr>
                <w:sz w:val="21"/>
              </w:rPr>
            </w:pPr>
            <w:r w:rsidRPr="000A08E3">
              <w:rPr>
                <w:rFonts w:hint="eastAsia"/>
                <w:sz w:val="21"/>
              </w:rPr>
              <w:t xml:space="preserve">数量(股) </w:t>
            </w:r>
          </w:p>
        </w:tc>
        <w:tc>
          <w:tcPr>
            <w:tcW w:w="1980" w:type="dxa"/>
            <w:shd w:val="clear" w:color="auto" w:fill="auto"/>
            <w:hideMark/>
          </w:tcPr>
          <w:p w:rsidR="000A08E3" w:rsidRPr="000A08E3" w:rsidRDefault="000A08E3">
            <w:pPr>
              <w:pStyle w:val="a3"/>
              <w:jc w:val="center"/>
              <w:rPr>
                <w:sz w:val="21"/>
              </w:rPr>
            </w:pPr>
            <w:r w:rsidRPr="000A08E3">
              <w:rPr>
                <w:rFonts w:hint="eastAsia"/>
                <w:sz w:val="21"/>
              </w:rPr>
              <w:t xml:space="preserve">公允价值(元) </w:t>
            </w:r>
          </w:p>
        </w:tc>
        <w:tc>
          <w:tcPr>
            <w:tcW w:w="1560" w:type="dxa"/>
            <w:shd w:val="clear" w:color="auto" w:fill="auto"/>
            <w:hideMark/>
          </w:tcPr>
          <w:p w:rsidR="000A08E3" w:rsidRPr="000A08E3" w:rsidRDefault="000A08E3">
            <w:pPr>
              <w:pStyle w:val="a3"/>
              <w:jc w:val="center"/>
              <w:rPr>
                <w:sz w:val="21"/>
              </w:rPr>
            </w:pPr>
            <w:r w:rsidRPr="000A08E3">
              <w:rPr>
                <w:rFonts w:hint="eastAsia"/>
                <w:sz w:val="21"/>
              </w:rPr>
              <w:t xml:space="preserve">占基金资产净值比例(％)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1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600519 </w:t>
            </w:r>
          </w:p>
        </w:tc>
        <w:tc>
          <w:tcPr>
            <w:tcW w:w="1695" w:type="dxa"/>
            <w:shd w:val="clear" w:color="auto" w:fill="auto"/>
            <w:hideMark/>
          </w:tcPr>
          <w:p w:rsidR="000A08E3" w:rsidRPr="000A08E3" w:rsidRDefault="000A08E3">
            <w:pPr>
              <w:pStyle w:val="a3"/>
              <w:jc w:val="center"/>
              <w:rPr>
                <w:sz w:val="21"/>
              </w:rPr>
            </w:pPr>
            <w:r w:rsidRPr="000A08E3">
              <w:rPr>
                <w:rFonts w:hint="eastAsia"/>
                <w:sz w:val="21"/>
              </w:rPr>
              <w:t xml:space="preserve">贵州茅台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100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115,000.00 </w:t>
            </w:r>
          </w:p>
        </w:tc>
        <w:tc>
          <w:tcPr>
            <w:tcW w:w="1560" w:type="dxa"/>
            <w:shd w:val="clear" w:color="auto" w:fill="auto"/>
            <w:hideMark/>
          </w:tcPr>
          <w:p w:rsidR="000A08E3" w:rsidRPr="000A08E3" w:rsidRDefault="000A08E3">
            <w:pPr>
              <w:pStyle w:val="a3"/>
              <w:jc w:val="right"/>
              <w:rPr>
                <w:sz w:val="21"/>
              </w:rPr>
            </w:pPr>
            <w:r w:rsidRPr="000A08E3">
              <w:rPr>
                <w:rFonts w:hint="eastAsia"/>
                <w:sz w:val="21"/>
              </w:rPr>
              <w:t xml:space="preserve">0.04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2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601888 </w:t>
            </w:r>
          </w:p>
        </w:tc>
        <w:tc>
          <w:tcPr>
            <w:tcW w:w="1695" w:type="dxa"/>
            <w:shd w:val="clear" w:color="auto" w:fill="auto"/>
            <w:hideMark/>
          </w:tcPr>
          <w:p w:rsidR="000A08E3" w:rsidRPr="000A08E3" w:rsidRDefault="000A08E3">
            <w:pPr>
              <w:pStyle w:val="a3"/>
              <w:jc w:val="center"/>
              <w:rPr>
                <w:sz w:val="21"/>
              </w:rPr>
            </w:pPr>
            <w:r w:rsidRPr="000A08E3">
              <w:rPr>
                <w:rFonts w:hint="eastAsia"/>
                <w:sz w:val="21"/>
              </w:rPr>
              <w:t xml:space="preserve">中国国旅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600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55,836.00 </w:t>
            </w:r>
          </w:p>
        </w:tc>
        <w:tc>
          <w:tcPr>
            <w:tcW w:w="1560" w:type="dxa"/>
            <w:shd w:val="clear" w:color="auto" w:fill="auto"/>
            <w:hideMark/>
          </w:tcPr>
          <w:p w:rsidR="000A08E3" w:rsidRPr="000A08E3" w:rsidRDefault="000A08E3">
            <w:pPr>
              <w:pStyle w:val="a3"/>
              <w:jc w:val="right"/>
              <w:rPr>
                <w:sz w:val="21"/>
              </w:rPr>
            </w:pPr>
            <w:r w:rsidRPr="000A08E3">
              <w:rPr>
                <w:rFonts w:hint="eastAsia"/>
                <w:sz w:val="21"/>
              </w:rPr>
              <w:t xml:space="preserve">0.02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3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601066 </w:t>
            </w:r>
          </w:p>
        </w:tc>
        <w:tc>
          <w:tcPr>
            <w:tcW w:w="1695" w:type="dxa"/>
            <w:shd w:val="clear" w:color="auto" w:fill="auto"/>
            <w:hideMark/>
          </w:tcPr>
          <w:p w:rsidR="000A08E3" w:rsidRPr="000A08E3" w:rsidRDefault="000A08E3">
            <w:pPr>
              <w:pStyle w:val="a3"/>
              <w:jc w:val="center"/>
              <w:rPr>
                <w:sz w:val="21"/>
              </w:rPr>
            </w:pPr>
            <w:r w:rsidRPr="000A08E3">
              <w:rPr>
                <w:rFonts w:hint="eastAsia"/>
                <w:sz w:val="21"/>
              </w:rPr>
              <w:t xml:space="preserve">中信建投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600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13,392.00 </w:t>
            </w:r>
          </w:p>
        </w:tc>
        <w:tc>
          <w:tcPr>
            <w:tcW w:w="1560" w:type="dxa"/>
            <w:shd w:val="clear" w:color="auto" w:fill="auto"/>
            <w:hideMark/>
          </w:tcPr>
          <w:p w:rsidR="000A08E3" w:rsidRPr="000A08E3" w:rsidRDefault="000A08E3">
            <w:pPr>
              <w:pStyle w:val="a3"/>
              <w:jc w:val="right"/>
              <w:rPr>
                <w:sz w:val="21"/>
              </w:rPr>
            </w:pPr>
            <w:r w:rsidRPr="000A08E3">
              <w:rPr>
                <w:rFonts w:hint="eastAsia"/>
                <w:sz w:val="21"/>
              </w:rPr>
              <w:t xml:space="preserve">0.00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4 </w:t>
            </w:r>
          </w:p>
        </w:tc>
        <w:tc>
          <w:tcPr>
            <w:tcW w:w="1140" w:type="dxa"/>
            <w:shd w:val="clear" w:color="auto" w:fill="auto"/>
            <w:hideMark/>
          </w:tcPr>
          <w:p w:rsidR="000A08E3" w:rsidRPr="000A08E3" w:rsidRDefault="000A08E3">
            <w:pPr>
              <w:pStyle w:val="a3"/>
              <w:jc w:val="center"/>
              <w:rPr>
                <w:sz w:val="21"/>
              </w:rPr>
            </w:pPr>
            <w:r w:rsidRPr="000A08E3">
              <w:rPr>
                <w:rFonts w:hint="eastAsia"/>
                <w:sz w:val="21"/>
              </w:rPr>
              <w:t xml:space="preserve">601336 </w:t>
            </w:r>
          </w:p>
        </w:tc>
        <w:tc>
          <w:tcPr>
            <w:tcW w:w="1695" w:type="dxa"/>
            <w:shd w:val="clear" w:color="auto" w:fill="auto"/>
            <w:hideMark/>
          </w:tcPr>
          <w:p w:rsidR="000A08E3" w:rsidRPr="000A08E3" w:rsidRDefault="000A08E3">
            <w:pPr>
              <w:pStyle w:val="a3"/>
              <w:jc w:val="center"/>
              <w:rPr>
                <w:sz w:val="21"/>
              </w:rPr>
            </w:pPr>
            <w:r w:rsidRPr="000A08E3">
              <w:rPr>
                <w:rFonts w:hint="eastAsia"/>
                <w:sz w:val="21"/>
              </w:rPr>
              <w:t xml:space="preserve">新华保险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200 </w:t>
            </w:r>
          </w:p>
        </w:tc>
        <w:tc>
          <w:tcPr>
            <w:tcW w:w="1980" w:type="dxa"/>
            <w:shd w:val="clear" w:color="auto" w:fill="auto"/>
            <w:hideMark/>
          </w:tcPr>
          <w:p w:rsidR="000A08E3" w:rsidRPr="000A08E3" w:rsidRDefault="000A08E3">
            <w:pPr>
              <w:pStyle w:val="a3"/>
              <w:jc w:val="right"/>
              <w:rPr>
                <w:sz w:val="21"/>
              </w:rPr>
            </w:pPr>
            <w:r w:rsidRPr="000A08E3">
              <w:rPr>
                <w:rFonts w:hint="eastAsia"/>
                <w:sz w:val="21"/>
              </w:rPr>
              <w:t xml:space="preserve">9,734.00 </w:t>
            </w:r>
          </w:p>
        </w:tc>
        <w:tc>
          <w:tcPr>
            <w:tcW w:w="1560" w:type="dxa"/>
            <w:shd w:val="clear" w:color="auto" w:fill="auto"/>
            <w:hideMark/>
          </w:tcPr>
          <w:p w:rsidR="000A08E3" w:rsidRPr="000A08E3" w:rsidRDefault="000A08E3">
            <w:pPr>
              <w:pStyle w:val="a3"/>
              <w:jc w:val="right"/>
              <w:rPr>
                <w:sz w:val="21"/>
              </w:rPr>
            </w:pPr>
            <w:r w:rsidRPr="000A08E3">
              <w:rPr>
                <w:rFonts w:hint="eastAsia"/>
                <w:sz w:val="21"/>
              </w:rPr>
              <w:t xml:space="preserve">0.00 </w:t>
            </w:r>
          </w:p>
        </w:tc>
      </w:tr>
    </w:tbl>
    <w:p w:rsidR="000A08E3" w:rsidRPr="006540CF" w:rsidRDefault="000A08E3" w:rsidP="006540CF">
      <w:pPr>
        <w:pStyle w:val="xx"/>
        <w:divId w:val="1590964778"/>
      </w:pPr>
      <w:r w:rsidRPr="006540CF">
        <w:rPr>
          <w:rFonts w:hint="eastAsia"/>
        </w:rPr>
        <w:t>5</w:t>
      </w:r>
      <w:r w:rsidR="00284027" w:rsidRPr="006540CF">
        <w:t xml:space="preserve"> </w:t>
      </w:r>
      <w:r w:rsidRPr="006540CF">
        <w:rPr>
          <w:rFonts w:hint="eastAsia"/>
        </w:rPr>
        <w:t xml:space="preserve">报告期末按债券品种分类的债券投资组合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本基金本报告期末未持有债券。 </w:t>
      </w:r>
    </w:p>
    <w:p w:rsidR="000A08E3" w:rsidRPr="006540CF" w:rsidRDefault="000A08E3" w:rsidP="006540CF">
      <w:pPr>
        <w:pStyle w:val="xx"/>
        <w:divId w:val="1590964778"/>
      </w:pPr>
      <w:r w:rsidRPr="006540CF">
        <w:rPr>
          <w:rFonts w:hint="eastAsia"/>
        </w:rPr>
        <w:t>6</w:t>
      </w:r>
      <w:r w:rsidR="00284027" w:rsidRPr="006540CF">
        <w:t xml:space="preserve"> </w:t>
      </w:r>
      <w:r w:rsidRPr="006540CF">
        <w:rPr>
          <w:rFonts w:hint="eastAsia"/>
        </w:rPr>
        <w:t xml:space="preserve">报告期末按公允价值占基金资产净值比例大小排序的前五名债券投资明细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本基金本报告期末未持有债券。 </w:t>
      </w:r>
    </w:p>
    <w:p w:rsidR="000A08E3" w:rsidRPr="006540CF" w:rsidRDefault="000A08E3" w:rsidP="006540CF">
      <w:pPr>
        <w:pStyle w:val="xx"/>
        <w:divId w:val="1590964778"/>
      </w:pPr>
      <w:r w:rsidRPr="006540CF">
        <w:rPr>
          <w:rFonts w:hint="eastAsia"/>
        </w:rPr>
        <w:t>7</w:t>
      </w:r>
      <w:r w:rsidR="00284027" w:rsidRPr="006540CF">
        <w:t xml:space="preserve"> </w:t>
      </w:r>
      <w:r w:rsidRPr="006540CF">
        <w:rPr>
          <w:rFonts w:hint="eastAsia"/>
        </w:rPr>
        <w:t xml:space="preserve">报告期末按公允价值占基金资产净值比例大小排序的前十名资产支持证券投资明细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本基金本报告期末未持有资产支持证券投资。 </w:t>
      </w:r>
    </w:p>
    <w:p w:rsidR="000A08E3" w:rsidRPr="006540CF" w:rsidRDefault="000A08E3" w:rsidP="006540CF">
      <w:pPr>
        <w:pStyle w:val="xx"/>
        <w:divId w:val="1590964778"/>
      </w:pPr>
      <w:r w:rsidRPr="006540CF">
        <w:rPr>
          <w:rFonts w:hint="eastAsia"/>
        </w:rPr>
        <w:t>8</w:t>
      </w:r>
      <w:r w:rsidR="00284027" w:rsidRPr="006540CF">
        <w:t xml:space="preserve"> </w:t>
      </w:r>
      <w:r w:rsidRPr="006540CF">
        <w:rPr>
          <w:rFonts w:hint="eastAsia"/>
        </w:rPr>
        <w:t xml:space="preserve">报告期末按公允价值占基金资产净值比例大小排序的前五名贵金属投资明细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本基金本报告期末未持有贵金属。 </w:t>
      </w:r>
    </w:p>
    <w:p w:rsidR="000A08E3" w:rsidRPr="006540CF" w:rsidRDefault="000A08E3" w:rsidP="006540CF">
      <w:pPr>
        <w:pStyle w:val="xx"/>
        <w:divId w:val="1590964778"/>
      </w:pPr>
      <w:r w:rsidRPr="006540CF">
        <w:rPr>
          <w:rFonts w:hint="eastAsia"/>
        </w:rPr>
        <w:t>9</w:t>
      </w:r>
      <w:r w:rsidR="00284027" w:rsidRPr="006540CF">
        <w:t xml:space="preserve"> </w:t>
      </w:r>
      <w:r w:rsidRPr="006540CF">
        <w:rPr>
          <w:rFonts w:hint="eastAsia"/>
        </w:rPr>
        <w:t xml:space="preserve">报告期末按公允价值占基金资产净值比例大小排序的前五名权证投资明细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本基金本报告期末未持有权证。 </w:t>
      </w:r>
    </w:p>
    <w:p w:rsidR="000A08E3" w:rsidRPr="006540CF" w:rsidRDefault="000A08E3" w:rsidP="006540CF">
      <w:pPr>
        <w:pStyle w:val="xx"/>
        <w:divId w:val="1590964778"/>
      </w:pPr>
      <w:r w:rsidRPr="006540CF">
        <w:rPr>
          <w:rFonts w:hint="eastAsia"/>
        </w:rPr>
        <w:t>10</w:t>
      </w:r>
      <w:r w:rsidR="00284027" w:rsidRPr="006540CF">
        <w:t xml:space="preserve"> </w:t>
      </w:r>
      <w:r w:rsidRPr="006540CF">
        <w:rPr>
          <w:rFonts w:hint="eastAsia"/>
        </w:rPr>
        <w:t xml:space="preserve">报告期末本基金投资的股指期货交易情况说明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本基金本报告期末未持有股指期货。 </w:t>
      </w:r>
    </w:p>
    <w:p w:rsidR="000A08E3" w:rsidRPr="006540CF" w:rsidRDefault="000A08E3" w:rsidP="006540CF">
      <w:pPr>
        <w:pStyle w:val="xx"/>
        <w:divId w:val="1590964778"/>
      </w:pPr>
      <w:r w:rsidRPr="006540CF">
        <w:rPr>
          <w:rFonts w:hint="eastAsia"/>
        </w:rPr>
        <w:lastRenderedPageBreak/>
        <w:t>11</w:t>
      </w:r>
      <w:r w:rsidR="00284027" w:rsidRPr="006540CF">
        <w:t xml:space="preserve"> </w:t>
      </w:r>
      <w:r w:rsidRPr="006540CF">
        <w:rPr>
          <w:rFonts w:hint="eastAsia"/>
        </w:rPr>
        <w:t xml:space="preserve">报告期末本基金投资的国债期货交易情况说明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本基金本报告期末未持有国债期货。 </w:t>
      </w:r>
    </w:p>
    <w:p w:rsidR="000A08E3" w:rsidRPr="006540CF" w:rsidRDefault="000A08E3" w:rsidP="006540CF">
      <w:pPr>
        <w:pStyle w:val="xx"/>
        <w:divId w:val="1590964778"/>
      </w:pPr>
      <w:r w:rsidRPr="006540CF">
        <w:rPr>
          <w:rFonts w:hint="eastAsia"/>
        </w:rPr>
        <w:t>12</w:t>
      </w:r>
      <w:r w:rsidR="00284027" w:rsidRPr="006540CF">
        <w:t xml:space="preserve"> </w:t>
      </w:r>
      <w:r w:rsidRPr="006540CF">
        <w:rPr>
          <w:rFonts w:hint="eastAsia"/>
        </w:rPr>
        <w:t xml:space="preserve">投资组合报告附注 </w:t>
      </w:r>
    </w:p>
    <w:p w:rsidR="000A08E3" w:rsidRPr="000A08E3" w:rsidRDefault="000A08E3" w:rsidP="006540CF">
      <w:pPr>
        <w:pStyle w:val="xx"/>
        <w:divId w:val="1590964778"/>
        <w:rPr>
          <w:sz w:val="21"/>
          <w:szCs w:val="21"/>
        </w:rPr>
      </w:pPr>
      <w:r w:rsidRPr="000A08E3">
        <w:rPr>
          <w:rFonts w:hint="eastAsia"/>
          <w:sz w:val="21"/>
          <w:szCs w:val="21"/>
        </w:rPr>
        <w:t>12.1</w:t>
      </w:r>
      <w:r w:rsidR="00284027">
        <w:rPr>
          <w:sz w:val="21"/>
          <w:szCs w:val="21"/>
        </w:rPr>
        <w:t xml:space="preserve"> </w:t>
      </w:r>
      <w:r w:rsidRPr="000A08E3">
        <w:rPr>
          <w:rFonts w:hint="eastAsia"/>
          <w:sz w:val="21"/>
          <w:szCs w:val="21"/>
        </w:rPr>
        <w:t xml:space="preserve">本报告期内，本基金投资的前十名证券中除新华保险(601336)的发行主体外，没有出现被监管部门立案调查，或在报告编制日前一年内受到公开谴责、处罚的情形。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2019年3月15日，因存在销售误导违规行为，中国银行保险监督管理委员会广西保监局对新华人寿保险股份有限公司南宁中心支公司处以罚款的行政处罚。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对该证券投资决策程序的说明：根据我司的基金投资管理相关制度，以相应的研究报告为基础，结合其未来增长前景，由基金经理决定具体投资行为。 </w:t>
      </w:r>
    </w:p>
    <w:p w:rsidR="000A08E3" w:rsidRPr="000A08E3" w:rsidRDefault="000A08E3" w:rsidP="006540CF">
      <w:pPr>
        <w:pStyle w:val="xx"/>
        <w:divId w:val="1590964778"/>
        <w:rPr>
          <w:sz w:val="21"/>
          <w:szCs w:val="21"/>
        </w:rPr>
      </w:pPr>
      <w:r w:rsidRPr="000A08E3">
        <w:rPr>
          <w:rFonts w:hint="eastAsia"/>
          <w:sz w:val="21"/>
          <w:szCs w:val="21"/>
        </w:rPr>
        <w:t>12.2</w:t>
      </w:r>
      <w:r w:rsidR="00284027">
        <w:rPr>
          <w:sz w:val="21"/>
          <w:szCs w:val="21"/>
        </w:rPr>
        <w:t xml:space="preserve"> </w:t>
      </w:r>
      <w:r w:rsidRPr="000A08E3">
        <w:rPr>
          <w:rFonts w:hint="eastAsia"/>
          <w:sz w:val="21"/>
          <w:szCs w:val="21"/>
        </w:rPr>
        <w:t xml:space="preserve">基金投资的前十名股票中，没有投资超出基金合同规定备选股票库之外的股票。 </w:t>
      </w:r>
    </w:p>
    <w:p w:rsidR="000A08E3" w:rsidRPr="000A08E3" w:rsidRDefault="000A08E3" w:rsidP="006540CF">
      <w:pPr>
        <w:pStyle w:val="xx"/>
        <w:divId w:val="1590964778"/>
        <w:rPr>
          <w:sz w:val="21"/>
          <w:szCs w:val="21"/>
        </w:rPr>
      </w:pPr>
      <w:r w:rsidRPr="000A08E3">
        <w:rPr>
          <w:rFonts w:hint="eastAsia"/>
          <w:sz w:val="21"/>
          <w:szCs w:val="21"/>
        </w:rPr>
        <w:t>12.3</w:t>
      </w:r>
      <w:r w:rsidR="00284027">
        <w:rPr>
          <w:sz w:val="21"/>
          <w:szCs w:val="21"/>
        </w:rPr>
        <w:t xml:space="preserve"> </w:t>
      </w:r>
      <w:r w:rsidRPr="000A08E3">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904"/>
        <w:gridCol w:w="4930"/>
      </w:tblGrid>
      <w:tr w:rsidR="000A08E3" w:rsidRPr="000A08E3" w:rsidTr="000A08E3">
        <w:trPr>
          <w:divId w:val="1590964778"/>
        </w:trPr>
        <w:tc>
          <w:tcPr>
            <w:tcW w:w="705" w:type="dxa"/>
            <w:shd w:val="clear" w:color="auto" w:fill="auto"/>
            <w:hideMark/>
          </w:tcPr>
          <w:p w:rsidR="000A08E3" w:rsidRPr="000A08E3" w:rsidRDefault="000A08E3">
            <w:pPr>
              <w:pStyle w:val="a3"/>
              <w:rPr>
                <w:sz w:val="21"/>
              </w:rPr>
            </w:pPr>
            <w:r w:rsidRPr="000A08E3">
              <w:rPr>
                <w:rFonts w:hint="eastAsia"/>
                <w:sz w:val="21"/>
              </w:rPr>
              <w:t xml:space="preserve">序号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名称 </w:t>
            </w:r>
          </w:p>
        </w:tc>
        <w:tc>
          <w:tcPr>
            <w:tcW w:w="5250" w:type="dxa"/>
            <w:shd w:val="clear" w:color="auto" w:fill="auto"/>
            <w:hideMark/>
          </w:tcPr>
          <w:p w:rsidR="000A08E3" w:rsidRPr="000A08E3" w:rsidRDefault="000A08E3">
            <w:pPr>
              <w:pStyle w:val="a3"/>
              <w:jc w:val="center"/>
              <w:rPr>
                <w:sz w:val="21"/>
              </w:rPr>
            </w:pPr>
            <w:r w:rsidRPr="000A08E3">
              <w:rPr>
                <w:rFonts w:hint="eastAsia"/>
                <w:sz w:val="21"/>
              </w:rPr>
              <w:t xml:space="preserve">金额(元)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1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存出保证金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78,583.22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2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应收证券清算款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3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应收股利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4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应收利息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3,630.17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5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应收申购款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737,712.98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6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其他应收款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7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待摊费用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8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其他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 </w:t>
            </w:r>
          </w:p>
        </w:tc>
      </w:tr>
      <w:tr w:rsidR="000A08E3" w:rsidRPr="000A08E3" w:rsidTr="000A08E3">
        <w:trPr>
          <w:divId w:val="1590964778"/>
        </w:trPr>
        <w:tc>
          <w:tcPr>
            <w:tcW w:w="705" w:type="dxa"/>
            <w:shd w:val="clear" w:color="auto" w:fill="auto"/>
            <w:hideMark/>
          </w:tcPr>
          <w:p w:rsidR="000A08E3" w:rsidRPr="000A08E3" w:rsidRDefault="000A08E3">
            <w:pPr>
              <w:pStyle w:val="a3"/>
              <w:jc w:val="center"/>
              <w:rPr>
                <w:sz w:val="21"/>
              </w:rPr>
            </w:pPr>
            <w:r w:rsidRPr="000A08E3">
              <w:rPr>
                <w:rFonts w:hint="eastAsia"/>
                <w:sz w:val="21"/>
              </w:rPr>
              <w:t xml:space="preserve">9 </w:t>
            </w:r>
          </w:p>
        </w:tc>
        <w:tc>
          <w:tcPr>
            <w:tcW w:w="3120" w:type="dxa"/>
            <w:shd w:val="clear" w:color="auto" w:fill="auto"/>
            <w:hideMark/>
          </w:tcPr>
          <w:p w:rsidR="000A08E3" w:rsidRPr="000A08E3" w:rsidRDefault="000A08E3">
            <w:pPr>
              <w:pStyle w:val="a3"/>
              <w:rPr>
                <w:sz w:val="21"/>
              </w:rPr>
            </w:pPr>
            <w:r w:rsidRPr="000A08E3">
              <w:rPr>
                <w:rFonts w:hint="eastAsia"/>
                <w:sz w:val="21"/>
              </w:rPr>
              <w:t xml:space="preserve">合计 </w:t>
            </w:r>
          </w:p>
        </w:tc>
        <w:tc>
          <w:tcPr>
            <w:tcW w:w="5250" w:type="dxa"/>
            <w:shd w:val="clear" w:color="auto" w:fill="auto"/>
            <w:hideMark/>
          </w:tcPr>
          <w:p w:rsidR="000A08E3" w:rsidRPr="000A08E3" w:rsidRDefault="000A08E3">
            <w:pPr>
              <w:pStyle w:val="a3"/>
              <w:jc w:val="right"/>
              <w:rPr>
                <w:sz w:val="21"/>
              </w:rPr>
            </w:pPr>
            <w:r w:rsidRPr="000A08E3">
              <w:rPr>
                <w:rFonts w:hint="eastAsia"/>
                <w:sz w:val="21"/>
              </w:rPr>
              <w:t xml:space="preserve">819,926.37 </w:t>
            </w:r>
          </w:p>
        </w:tc>
      </w:tr>
    </w:tbl>
    <w:p w:rsidR="000A08E3" w:rsidRPr="000A08E3" w:rsidRDefault="000A08E3" w:rsidP="006540CF">
      <w:pPr>
        <w:pStyle w:val="xx"/>
        <w:divId w:val="1590964778"/>
        <w:rPr>
          <w:sz w:val="21"/>
          <w:szCs w:val="21"/>
        </w:rPr>
      </w:pPr>
      <w:r w:rsidRPr="000A08E3">
        <w:rPr>
          <w:rFonts w:hint="eastAsia"/>
          <w:sz w:val="21"/>
          <w:szCs w:val="21"/>
        </w:rPr>
        <w:t>12.4</w:t>
      </w:r>
      <w:r w:rsidR="00284027">
        <w:rPr>
          <w:sz w:val="21"/>
          <w:szCs w:val="21"/>
        </w:rPr>
        <w:t xml:space="preserve"> </w:t>
      </w:r>
      <w:r w:rsidRPr="000A08E3">
        <w:rPr>
          <w:rFonts w:hint="eastAsia"/>
          <w:sz w:val="21"/>
          <w:szCs w:val="21"/>
        </w:rPr>
        <w:t xml:space="preserve">报告期末持有的处于转股期的可转换债券明细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本基金本报告期末未持有处于转股期的可转换债券。 </w:t>
      </w:r>
    </w:p>
    <w:p w:rsidR="000A08E3" w:rsidRPr="000A08E3" w:rsidRDefault="000A08E3" w:rsidP="006540CF">
      <w:pPr>
        <w:pStyle w:val="xx"/>
        <w:divId w:val="1590964778"/>
        <w:rPr>
          <w:sz w:val="21"/>
          <w:szCs w:val="21"/>
        </w:rPr>
      </w:pPr>
      <w:r w:rsidRPr="000A08E3">
        <w:rPr>
          <w:rFonts w:hint="eastAsia"/>
          <w:sz w:val="21"/>
          <w:szCs w:val="21"/>
        </w:rPr>
        <w:t>12.5</w:t>
      </w:r>
      <w:r w:rsidR="00284027">
        <w:rPr>
          <w:sz w:val="21"/>
          <w:szCs w:val="21"/>
        </w:rPr>
        <w:t xml:space="preserve"> </w:t>
      </w:r>
      <w:r w:rsidRPr="000A08E3">
        <w:rPr>
          <w:rFonts w:hint="eastAsia"/>
          <w:sz w:val="21"/>
          <w:szCs w:val="21"/>
        </w:rPr>
        <w:t xml:space="preserve">报告期末前十名股票中存在流通受限情况的说明 </w:t>
      </w:r>
    </w:p>
    <w:p w:rsidR="000A08E3" w:rsidRPr="000A08E3" w:rsidRDefault="000A08E3">
      <w:pPr>
        <w:pStyle w:val="a3"/>
        <w:spacing w:before="0" w:beforeAutospacing="0" w:after="0" w:afterAutospacing="0" w:line="360" w:lineRule="auto"/>
        <w:ind w:firstLine="420"/>
        <w:divId w:val="1590964778"/>
        <w:rPr>
          <w:sz w:val="21"/>
          <w:szCs w:val="21"/>
        </w:rPr>
      </w:pPr>
      <w:r w:rsidRPr="000A08E3">
        <w:rPr>
          <w:rFonts w:hint="eastAsia"/>
          <w:sz w:val="21"/>
          <w:szCs w:val="21"/>
        </w:rPr>
        <w:t xml:space="preserve">本基金本报告期末前十名股票中不存在流通受限情况。 </w:t>
      </w:r>
    </w:p>
    <w:p w:rsidR="000A08E3" w:rsidRPr="000A08E3" w:rsidRDefault="000A08E3" w:rsidP="006540CF">
      <w:pPr>
        <w:pStyle w:val="xx"/>
        <w:divId w:val="1590964778"/>
        <w:rPr>
          <w:sz w:val="21"/>
          <w:szCs w:val="21"/>
        </w:rPr>
      </w:pPr>
      <w:r w:rsidRPr="000A08E3">
        <w:rPr>
          <w:rFonts w:hint="eastAsia"/>
          <w:sz w:val="21"/>
          <w:szCs w:val="21"/>
        </w:rPr>
        <w:t>12.6</w:t>
      </w:r>
      <w:r w:rsidR="00284027">
        <w:rPr>
          <w:sz w:val="21"/>
          <w:szCs w:val="21"/>
        </w:rPr>
        <w:t xml:space="preserve"> </w:t>
      </w:r>
      <w:r w:rsidRPr="000A08E3">
        <w:rPr>
          <w:rFonts w:hint="eastAsia"/>
          <w:sz w:val="21"/>
          <w:szCs w:val="21"/>
        </w:rPr>
        <w:t xml:space="preserve">投资组合报告附注的其他文字描述部分 </w:t>
      </w:r>
    </w:p>
    <w:p w:rsidR="000A08E3" w:rsidRPr="000A08E3" w:rsidRDefault="000A08E3" w:rsidP="006540CF">
      <w:pPr>
        <w:ind w:firstLineChars="200" w:firstLine="420"/>
        <w:divId w:val="1590964778"/>
        <w:rPr>
          <w:rFonts w:ascii="宋体" w:eastAsia="宋体" w:hAnsi="宋体"/>
          <w:szCs w:val="24"/>
        </w:rPr>
      </w:pPr>
      <w:r w:rsidRPr="000A08E3">
        <w:rPr>
          <w:rFonts w:ascii="宋体" w:eastAsia="宋体" w:hAnsi="宋体"/>
        </w:rPr>
        <w:t xml:space="preserve">由于四舍五入的原因，分项之和与合计项之间可能存在尾差。 </w:t>
      </w:r>
    </w:p>
    <w:p w:rsidR="000A08E3" w:rsidRPr="000A08E3" w:rsidRDefault="000A08E3">
      <w:pPr>
        <w:pStyle w:val="a3"/>
        <w:spacing w:before="0" w:beforeAutospacing="0" w:after="0" w:afterAutospacing="0" w:line="360" w:lineRule="auto"/>
        <w:ind w:firstLine="420"/>
        <w:divId w:val="1590964778"/>
        <w:rPr>
          <w:sz w:val="21"/>
          <w:szCs w:val="21"/>
        </w:rPr>
      </w:pPr>
      <w:bookmarkStart w:id="138" w:name="chapter_level1_12_60_section_6_end"/>
      <w:bookmarkEnd w:id="138"/>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39" w:name="chapter_level1_13_3500"/>
      <w:bookmarkStart w:id="140" w:name="_Toc26382914"/>
      <w:r w:rsidRPr="000A08E3">
        <w:rPr>
          <w:rFonts w:ascii="宋体" w:eastAsia="宋体" w:hAnsi="宋体" w:hint="eastAsia"/>
          <w:sz w:val="30"/>
        </w:rPr>
        <w:lastRenderedPageBreak/>
        <w:t>第十部分 基金的业绩</w:t>
      </w:r>
      <w:bookmarkEnd w:id="139"/>
      <w:bookmarkEnd w:id="140"/>
    </w:p>
    <w:p w:rsidR="000A08E3" w:rsidRPr="000A08E3" w:rsidRDefault="000A08E3">
      <w:pPr>
        <w:pStyle w:val="a3"/>
        <w:spacing w:before="0" w:beforeAutospacing="0" w:after="0" w:afterAutospacing="0" w:line="360" w:lineRule="auto"/>
        <w:ind w:firstLine="420"/>
        <w:divId w:val="495266629"/>
        <w:rPr>
          <w:sz w:val="21"/>
          <w:szCs w:val="21"/>
        </w:rPr>
      </w:pPr>
      <w:bookmarkStart w:id="141" w:name="chapter_level1_13_3500_section_1"/>
      <w:bookmarkEnd w:id="141"/>
      <w:r w:rsidRPr="000A08E3">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0A08E3" w:rsidRPr="000A08E3" w:rsidRDefault="000A08E3">
      <w:pPr>
        <w:pStyle w:val="a3"/>
        <w:spacing w:before="0" w:beforeAutospacing="0" w:after="0" w:afterAutospacing="0" w:line="360" w:lineRule="auto"/>
        <w:ind w:firstLine="420"/>
        <w:divId w:val="495266629"/>
        <w:rPr>
          <w:sz w:val="21"/>
          <w:szCs w:val="21"/>
        </w:rPr>
      </w:pPr>
      <w:r w:rsidRPr="000A08E3">
        <w:rPr>
          <w:rFonts w:hint="eastAsia"/>
          <w:sz w:val="21"/>
          <w:szCs w:val="21"/>
        </w:rPr>
        <w:t xml:space="preserve">自基金合同生效开始基金份额净值增长率及其与同期业绩比较基准收益率的比较： </w:t>
      </w:r>
    </w:p>
    <w:p w:rsidR="000A08E3" w:rsidRPr="000A08E3" w:rsidRDefault="000A08E3">
      <w:pPr>
        <w:pStyle w:val="a3"/>
        <w:spacing w:before="0" w:beforeAutospacing="0" w:after="0" w:afterAutospacing="0" w:line="360" w:lineRule="auto"/>
        <w:ind w:firstLine="420"/>
        <w:divId w:val="495266629"/>
        <w:rPr>
          <w:sz w:val="21"/>
          <w:szCs w:val="21"/>
        </w:rPr>
      </w:pPr>
      <w:bookmarkStart w:id="142" w:name="field_0_indatatable_1_start"/>
      <w:bookmarkEnd w:id="142"/>
      <w:r w:rsidRPr="000A08E3">
        <w:rPr>
          <w:rFonts w:hint="eastAsia"/>
          <w:sz w:val="21"/>
          <w:szCs w:val="21"/>
        </w:rPr>
        <w:t xml:space="preserve">博时上证50ETF联接A </w:t>
      </w:r>
    </w:p>
    <w:tbl>
      <w:tblPr>
        <w:tblStyle w:val="a8"/>
        <w:tblW w:w="0" w:type="auto"/>
        <w:tblLook w:val="04A0" w:firstRow="1" w:lastRow="0" w:firstColumn="1" w:lastColumn="0" w:noHBand="0" w:noVBand="1"/>
      </w:tblPr>
      <w:tblGrid>
        <w:gridCol w:w="2421"/>
        <w:gridCol w:w="1048"/>
        <w:gridCol w:w="996"/>
        <w:gridCol w:w="1206"/>
        <w:gridCol w:w="1153"/>
        <w:gridCol w:w="846"/>
        <w:gridCol w:w="846"/>
      </w:tblGrid>
      <w:tr w:rsidR="000A08E3" w:rsidRPr="000A08E3" w:rsidTr="000A08E3">
        <w:trPr>
          <w:divId w:val="495266629"/>
        </w:trPr>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期间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①净值增长率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②净值增长率标准差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③业绩比较基准收益率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④业绩比较基准收益率标准差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①-③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②-④ </w:t>
            </w:r>
          </w:p>
        </w:tc>
      </w:tr>
      <w:tr w:rsidR="00B86001" w:rsidRPr="000A08E3" w:rsidTr="004F1DC3">
        <w:trPr>
          <w:divId w:val="495266629"/>
        </w:trPr>
        <w:tc>
          <w:tcPr>
            <w:tcW w:w="0" w:type="auto"/>
            <w:shd w:val="clear" w:color="auto" w:fill="auto"/>
            <w:hideMark/>
          </w:tcPr>
          <w:p w:rsidR="00B86001" w:rsidRPr="000A08E3" w:rsidRDefault="00B86001" w:rsidP="00B86001">
            <w:pPr>
              <w:jc w:val="center"/>
              <w:rPr>
                <w:rFonts w:ascii="宋体" w:eastAsia="宋体" w:hAnsi="宋体" w:cs="宋体"/>
                <w:szCs w:val="24"/>
              </w:rPr>
            </w:pPr>
            <w:r w:rsidRPr="000A08E3">
              <w:rPr>
                <w:rFonts w:ascii="宋体" w:eastAsia="宋体" w:hAnsi="宋体" w:hint="eastAsia"/>
              </w:rPr>
              <w:t xml:space="preserve">2015.05.27-2015.12.31 </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szCs w:val="21"/>
              </w:rPr>
              <w:t>-</w:t>
            </w:r>
            <w:r w:rsidRPr="0006551B">
              <w:rPr>
                <w:rFonts w:ascii="宋体" w:hAnsi="宋体" w:hint="eastAsia"/>
                <w:szCs w:val="21"/>
              </w:rPr>
              <w:t>19</w:t>
            </w:r>
            <w:r w:rsidRPr="0006551B">
              <w:rPr>
                <w:rFonts w:ascii="宋体" w:hAnsi="宋体"/>
                <w:szCs w:val="21"/>
              </w:rPr>
              <w:t>.</w:t>
            </w:r>
            <w:r w:rsidRPr="0006551B">
              <w:rPr>
                <w:rFonts w:ascii="宋体" w:hAnsi="宋体" w:hint="eastAsia"/>
                <w:szCs w:val="21"/>
              </w:rPr>
              <w:t>42</w:t>
            </w:r>
            <w:r w:rsidRPr="0006551B">
              <w:rPr>
                <w:rFonts w:ascii="宋体" w:hAnsi="宋体"/>
                <w:szCs w:val="21"/>
              </w:rPr>
              <w:t>%</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szCs w:val="21"/>
              </w:rPr>
              <w:t>2.</w:t>
            </w:r>
            <w:r w:rsidRPr="0006551B">
              <w:rPr>
                <w:rFonts w:ascii="宋体" w:hAnsi="宋体" w:hint="eastAsia"/>
                <w:szCs w:val="21"/>
              </w:rPr>
              <w:t>36</w:t>
            </w:r>
            <w:r w:rsidRPr="0006551B">
              <w:rPr>
                <w:rFonts w:ascii="宋体" w:hAnsi="宋体"/>
                <w:szCs w:val="21"/>
              </w:rPr>
              <w:t>%</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szCs w:val="21"/>
              </w:rPr>
              <w:t>-</w:t>
            </w:r>
            <w:r w:rsidRPr="0006551B">
              <w:rPr>
                <w:rFonts w:ascii="宋体" w:hAnsi="宋体" w:hint="eastAsia"/>
                <w:szCs w:val="21"/>
              </w:rPr>
              <w:t>27</w:t>
            </w:r>
            <w:r w:rsidRPr="0006551B">
              <w:rPr>
                <w:rFonts w:ascii="宋体" w:hAnsi="宋体"/>
                <w:szCs w:val="21"/>
              </w:rPr>
              <w:t>.</w:t>
            </w:r>
            <w:r w:rsidRPr="0006551B">
              <w:rPr>
                <w:rFonts w:ascii="宋体" w:hAnsi="宋体" w:hint="eastAsia"/>
                <w:szCs w:val="21"/>
              </w:rPr>
              <w:t>10</w:t>
            </w:r>
            <w:r w:rsidRPr="0006551B">
              <w:rPr>
                <w:rFonts w:ascii="宋体" w:hAnsi="宋体"/>
                <w:szCs w:val="21"/>
              </w:rPr>
              <w:t>%</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hint="eastAsia"/>
                <w:szCs w:val="21"/>
              </w:rPr>
              <w:t>2</w:t>
            </w:r>
            <w:r w:rsidRPr="0006551B">
              <w:rPr>
                <w:rFonts w:ascii="宋体" w:hAnsi="宋体"/>
                <w:szCs w:val="21"/>
              </w:rPr>
              <w:t>.</w:t>
            </w:r>
            <w:r w:rsidRPr="0006551B">
              <w:rPr>
                <w:rFonts w:ascii="宋体" w:hAnsi="宋体" w:hint="eastAsia"/>
                <w:szCs w:val="21"/>
              </w:rPr>
              <w:t>64</w:t>
            </w:r>
            <w:r w:rsidRPr="0006551B">
              <w:rPr>
                <w:rFonts w:ascii="宋体" w:hAnsi="宋体"/>
                <w:szCs w:val="21"/>
              </w:rPr>
              <w:t>%</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hint="eastAsia"/>
                <w:szCs w:val="21"/>
              </w:rPr>
              <w:t>7</w:t>
            </w:r>
            <w:r w:rsidRPr="0006551B">
              <w:rPr>
                <w:rFonts w:ascii="宋体" w:hAnsi="宋体"/>
                <w:szCs w:val="21"/>
              </w:rPr>
              <w:t>.</w:t>
            </w:r>
            <w:r w:rsidRPr="0006551B">
              <w:rPr>
                <w:rFonts w:ascii="宋体" w:hAnsi="宋体" w:hint="eastAsia"/>
                <w:szCs w:val="21"/>
              </w:rPr>
              <w:t>68</w:t>
            </w:r>
            <w:r w:rsidRPr="0006551B">
              <w:rPr>
                <w:rFonts w:ascii="宋体" w:hAnsi="宋体"/>
                <w:szCs w:val="21"/>
              </w:rPr>
              <w:t>%</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06551B">
              <w:rPr>
                <w:rFonts w:ascii="宋体" w:hAnsi="宋体"/>
                <w:szCs w:val="21"/>
              </w:rPr>
              <w:t>-0.</w:t>
            </w:r>
            <w:r w:rsidRPr="0006551B">
              <w:rPr>
                <w:rFonts w:ascii="宋体" w:hAnsi="宋体" w:hint="eastAsia"/>
                <w:szCs w:val="21"/>
              </w:rPr>
              <w:t>28</w:t>
            </w:r>
            <w:r w:rsidRPr="0006551B">
              <w:rPr>
                <w:rFonts w:ascii="宋体" w:hAnsi="宋体"/>
                <w:szCs w:val="21"/>
              </w:rPr>
              <w:t>%</w:t>
            </w:r>
          </w:p>
        </w:tc>
      </w:tr>
      <w:tr w:rsidR="00B86001" w:rsidRPr="000A08E3" w:rsidTr="004F1DC3">
        <w:trPr>
          <w:divId w:val="495266629"/>
        </w:trPr>
        <w:tc>
          <w:tcPr>
            <w:tcW w:w="0" w:type="auto"/>
            <w:shd w:val="clear" w:color="auto" w:fill="auto"/>
            <w:hideMark/>
          </w:tcPr>
          <w:p w:rsidR="00B86001" w:rsidRPr="000A08E3" w:rsidRDefault="00B86001" w:rsidP="00B86001">
            <w:pPr>
              <w:jc w:val="center"/>
              <w:rPr>
                <w:rFonts w:ascii="宋体" w:eastAsia="宋体" w:hAnsi="宋体" w:cs="宋体"/>
                <w:szCs w:val="24"/>
              </w:rPr>
            </w:pPr>
            <w:r w:rsidRPr="000A08E3">
              <w:rPr>
                <w:rFonts w:ascii="宋体" w:eastAsia="宋体" w:hAnsi="宋体" w:hint="eastAsia"/>
              </w:rPr>
              <w:t xml:space="preserve">2016.01.01-2016.12.31 </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-3.61%</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1.19%</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-5.15%</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1.21%</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1.54%</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21606F">
              <w:rPr>
                <w:rFonts w:ascii="宋体" w:hAnsi="宋体" w:hint="eastAsia"/>
                <w:szCs w:val="21"/>
              </w:rPr>
              <w:t>-0.02%</w:t>
            </w:r>
          </w:p>
        </w:tc>
      </w:tr>
      <w:tr w:rsidR="00B86001" w:rsidRPr="000A08E3" w:rsidTr="004F1DC3">
        <w:trPr>
          <w:divId w:val="495266629"/>
        </w:trPr>
        <w:tc>
          <w:tcPr>
            <w:tcW w:w="0" w:type="auto"/>
            <w:shd w:val="clear" w:color="auto" w:fill="auto"/>
            <w:hideMark/>
          </w:tcPr>
          <w:p w:rsidR="00B86001" w:rsidRPr="000A08E3" w:rsidRDefault="00B86001" w:rsidP="00B86001">
            <w:pPr>
              <w:jc w:val="center"/>
              <w:rPr>
                <w:rFonts w:ascii="宋体" w:eastAsia="宋体" w:hAnsi="宋体" w:cs="宋体"/>
                <w:szCs w:val="24"/>
              </w:rPr>
            </w:pPr>
            <w:r w:rsidRPr="000A08E3">
              <w:rPr>
                <w:rFonts w:ascii="宋体" w:eastAsia="宋体" w:hAnsi="宋体" w:hint="eastAsia"/>
              </w:rPr>
              <w:t xml:space="preserve">2017.01.01-2017.12.31 </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27.73%</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0.66%</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23.75%</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0.67%</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3.98%</w:t>
            </w:r>
          </w:p>
        </w:tc>
        <w:tc>
          <w:tcPr>
            <w:tcW w:w="0" w:type="auto"/>
            <w:shd w:val="clear" w:color="auto" w:fill="auto"/>
            <w:vAlign w:val="bottom"/>
            <w:hideMark/>
          </w:tcPr>
          <w:p w:rsidR="00B86001" w:rsidRPr="0006551B" w:rsidRDefault="00B86001" w:rsidP="00B86001">
            <w:pPr>
              <w:jc w:val="center"/>
              <w:rPr>
                <w:rFonts w:ascii="宋体" w:hAnsi="宋体"/>
                <w:szCs w:val="21"/>
              </w:rPr>
            </w:pPr>
            <w:r w:rsidRPr="0054143E">
              <w:rPr>
                <w:rFonts w:ascii="宋体" w:hAnsi="宋体" w:hint="eastAsia"/>
                <w:szCs w:val="21"/>
              </w:rPr>
              <w:t>-0.01%</w:t>
            </w:r>
          </w:p>
        </w:tc>
      </w:tr>
      <w:tr w:rsidR="00427C06" w:rsidRPr="000A08E3" w:rsidTr="000A08E3">
        <w:trPr>
          <w:divId w:val="495266629"/>
        </w:trPr>
        <w:tc>
          <w:tcPr>
            <w:tcW w:w="0" w:type="auto"/>
            <w:shd w:val="clear" w:color="auto" w:fill="auto"/>
            <w:hideMark/>
          </w:tcPr>
          <w:p w:rsidR="00427C06" w:rsidRPr="000A08E3" w:rsidRDefault="00427C06" w:rsidP="00427C06">
            <w:pPr>
              <w:jc w:val="center"/>
              <w:rPr>
                <w:rFonts w:ascii="宋体" w:eastAsia="宋体" w:hAnsi="宋体" w:cs="宋体"/>
                <w:szCs w:val="24"/>
              </w:rPr>
            </w:pPr>
            <w:r w:rsidRPr="000A08E3">
              <w:rPr>
                <w:rFonts w:ascii="宋体" w:eastAsia="宋体" w:hAnsi="宋体" w:hint="eastAsia"/>
              </w:rPr>
              <w:t xml:space="preserve">2018.01.01-2018.12.31 </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-17.25%</w:t>
            </w:r>
            <w:r w:rsidRPr="00427C06">
              <w:rPr>
                <w:rFonts w:ascii="宋体" w:hAnsi="宋体" w:hint="eastAsia"/>
                <w:szCs w:val="21"/>
              </w:rPr>
              <w:t xml:space="preserve"> </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1.29%</w:t>
            </w:r>
            <w:r w:rsidRPr="00427C06">
              <w:rPr>
                <w:rFonts w:ascii="宋体" w:hAnsi="宋体" w:hint="eastAsia"/>
                <w:szCs w:val="21"/>
              </w:rPr>
              <w:t xml:space="preserve"> </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-18.84%</w:t>
            </w:r>
            <w:r w:rsidRPr="00427C06">
              <w:rPr>
                <w:rFonts w:ascii="宋体" w:hAnsi="宋体" w:hint="eastAsia"/>
                <w:szCs w:val="21"/>
              </w:rPr>
              <w:t xml:space="preserve"> </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1.30%</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1.59%</w:t>
            </w:r>
          </w:p>
        </w:tc>
        <w:tc>
          <w:tcPr>
            <w:tcW w:w="0" w:type="auto"/>
            <w:shd w:val="clear" w:color="auto" w:fill="auto"/>
            <w:hideMark/>
          </w:tcPr>
          <w:p w:rsidR="00427C06" w:rsidRPr="00427C06" w:rsidRDefault="00427C06" w:rsidP="00427C06">
            <w:pPr>
              <w:jc w:val="center"/>
              <w:rPr>
                <w:rFonts w:ascii="宋体" w:hAnsi="宋体"/>
                <w:szCs w:val="21"/>
              </w:rPr>
            </w:pPr>
            <w:r w:rsidRPr="00427C06">
              <w:rPr>
                <w:rFonts w:ascii="宋体" w:hAnsi="宋体"/>
                <w:szCs w:val="21"/>
              </w:rPr>
              <w:t>-0.01%</w:t>
            </w:r>
          </w:p>
        </w:tc>
      </w:tr>
      <w:tr w:rsidR="000A08E3" w:rsidRPr="000A08E3" w:rsidTr="000A08E3">
        <w:trPr>
          <w:divId w:val="495266629"/>
        </w:trPr>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2019.01.01-2019.09.30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27.93%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1.25%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25.01%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1.26%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2.92%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-0.01% </w:t>
            </w:r>
          </w:p>
        </w:tc>
      </w:tr>
      <w:tr w:rsidR="000A08E3" w:rsidRPr="000A08E3" w:rsidTr="000A08E3">
        <w:trPr>
          <w:divId w:val="495266629"/>
        </w:trPr>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2015.05.27-2019.09.30 </w:t>
            </w:r>
          </w:p>
        </w:tc>
        <w:tc>
          <w:tcPr>
            <w:tcW w:w="0" w:type="auto"/>
            <w:shd w:val="clear" w:color="auto" w:fill="auto"/>
            <w:hideMark/>
          </w:tcPr>
          <w:p w:rsidR="000A08E3" w:rsidRPr="000A08E3" w:rsidRDefault="003519F8">
            <w:pPr>
              <w:jc w:val="center"/>
              <w:rPr>
                <w:rFonts w:ascii="宋体" w:eastAsia="宋体" w:hAnsi="宋体" w:cs="宋体"/>
                <w:szCs w:val="24"/>
              </w:rPr>
            </w:pPr>
            <w:r>
              <w:rPr>
                <w:rFonts w:ascii="宋体" w:eastAsia="宋体" w:hAnsi="宋体" w:hint="eastAsia"/>
              </w:rPr>
              <w:t>5.03</w:t>
            </w:r>
            <w:r w:rsidR="000A08E3" w:rsidRPr="000A08E3">
              <w:rPr>
                <w:rFonts w:ascii="宋体" w:eastAsia="宋体" w:hAnsi="宋体" w:hint="eastAsia"/>
              </w:rPr>
              <w:t xml:space="preserve">% </w:t>
            </w:r>
          </w:p>
        </w:tc>
        <w:tc>
          <w:tcPr>
            <w:tcW w:w="0" w:type="auto"/>
            <w:shd w:val="clear" w:color="auto" w:fill="auto"/>
            <w:hideMark/>
          </w:tcPr>
          <w:p w:rsidR="000A08E3" w:rsidRPr="000A08E3" w:rsidRDefault="003519F8">
            <w:pPr>
              <w:jc w:val="center"/>
              <w:rPr>
                <w:rFonts w:ascii="宋体" w:eastAsia="宋体" w:hAnsi="宋体" w:cs="宋体"/>
                <w:szCs w:val="24"/>
              </w:rPr>
            </w:pPr>
            <w:r>
              <w:rPr>
                <w:rFonts w:ascii="宋体" w:eastAsia="宋体" w:hAnsi="宋体" w:hint="eastAsia"/>
              </w:rPr>
              <w:t>1.3</w:t>
            </w:r>
            <w:r w:rsidR="000A08E3" w:rsidRPr="000A08E3">
              <w:rPr>
                <w:rFonts w:ascii="宋体" w:eastAsia="宋体" w:hAnsi="宋体" w:hint="eastAsia"/>
              </w:rPr>
              <w:t xml:space="preserve">6% </w:t>
            </w:r>
          </w:p>
        </w:tc>
        <w:tc>
          <w:tcPr>
            <w:tcW w:w="0" w:type="auto"/>
            <w:shd w:val="clear" w:color="auto" w:fill="auto"/>
            <w:hideMark/>
          </w:tcPr>
          <w:p w:rsidR="000A08E3" w:rsidRPr="000A08E3" w:rsidRDefault="00BF45B6">
            <w:pPr>
              <w:jc w:val="center"/>
              <w:rPr>
                <w:rFonts w:ascii="宋体" w:eastAsia="宋体" w:hAnsi="宋体" w:cs="宋体"/>
                <w:szCs w:val="24"/>
              </w:rPr>
            </w:pPr>
            <w:r>
              <w:rPr>
                <w:rFonts w:ascii="宋体" w:eastAsia="宋体" w:hAnsi="宋体" w:hint="eastAsia"/>
              </w:rPr>
              <w:t>-13.19</w:t>
            </w:r>
            <w:r w:rsidR="000A08E3" w:rsidRPr="000A08E3">
              <w:rPr>
                <w:rFonts w:ascii="宋体" w:eastAsia="宋体" w:hAnsi="宋体" w:hint="eastAsia"/>
              </w:rPr>
              <w:t xml:space="preserve">% </w:t>
            </w:r>
          </w:p>
        </w:tc>
        <w:tc>
          <w:tcPr>
            <w:tcW w:w="0" w:type="auto"/>
            <w:shd w:val="clear" w:color="auto" w:fill="auto"/>
            <w:hideMark/>
          </w:tcPr>
          <w:p w:rsidR="000A08E3" w:rsidRPr="000A08E3" w:rsidRDefault="00BF45B6">
            <w:pPr>
              <w:jc w:val="center"/>
              <w:rPr>
                <w:rFonts w:ascii="宋体" w:eastAsia="宋体" w:hAnsi="宋体" w:cs="宋体"/>
                <w:szCs w:val="24"/>
              </w:rPr>
            </w:pPr>
            <w:r>
              <w:rPr>
                <w:rFonts w:ascii="宋体" w:eastAsia="宋体" w:hAnsi="宋体" w:hint="eastAsia"/>
              </w:rPr>
              <w:t>1.44</w:t>
            </w:r>
            <w:r w:rsidR="000A08E3" w:rsidRPr="000A08E3">
              <w:rPr>
                <w:rFonts w:ascii="宋体" w:eastAsia="宋体" w:hAnsi="宋体" w:hint="eastAsia"/>
              </w:rPr>
              <w:t xml:space="preserve">% </w:t>
            </w:r>
          </w:p>
        </w:tc>
        <w:tc>
          <w:tcPr>
            <w:tcW w:w="0" w:type="auto"/>
            <w:shd w:val="clear" w:color="auto" w:fill="auto"/>
            <w:hideMark/>
          </w:tcPr>
          <w:p w:rsidR="000A08E3" w:rsidRPr="000A08E3" w:rsidRDefault="00BF45B6">
            <w:pPr>
              <w:jc w:val="center"/>
              <w:rPr>
                <w:rFonts w:ascii="宋体" w:eastAsia="宋体" w:hAnsi="宋体" w:cs="宋体"/>
                <w:szCs w:val="24"/>
              </w:rPr>
            </w:pPr>
            <w:r>
              <w:rPr>
                <w:rFonts w:ascii="宋体" w:eastAsia="宋体" w:hAnsi="宋体" w:hint="eastAsia"/>
              </w:rPr>
              <w:t>18.22</w:t>
            </w:r>
            <w:r w:rsidR="000A08E3" w:rsidRPr="000A08E3">
              <w:rPr>
                <w:rFonts w:ascii="宋体" w:eastAsia="宋体" w:hAnsi="宋体" w:hint="eastAsia"/>
              </w:rPr>
              <w:t xml:space="preserve">% </w:t>
            </w:r>
          </w:p>
        </w:tc>
        <w:tc>
          <w:tcPr>
            <w:tcW w:w="0" w:type="auto"/>
            <w:shd w:val="clear" w:color="auto" w:fill="auto"/>
            <w:hideMark/>
          </w:tcPr>
          <w:p w:rsidR="000A08E3" w:rsidRPr="000A08E3" w:rsidRDefault="00BF45B6">
            <w:pPr>
              <w:jc w:val="center"/>
              <w:rPr>
                <w:rFonts w:ascii="宋体" w:eastAsia="宋体" w:hAnsi="宋体" w:cs="宋体"/>
                <w:szCs w:val="24"/>
              </w:rPr>
            </w:pPr>
            <w:r>
              <w:rPr>
                <w:rFonts w:ascii="宋体" w:eastAsia="宋体" w:hAnsi="宋体" w:hint="eastAsia"/>
              </w:rPr>
              <w:t>-0.08</w:t>
            </w:r>
            <w:r w:rsidR="000A08E3" w:rsidRPr="000A08E3">
              <w:rPr>
                <w:rFonts w:ascii="宋体" w:eastAsia="宋体" w:hAnsi="宋体" w:hint="eastAsia"/>
              </w:rPr>
              <w:t xml:space="preserve">% </w:t>
            </w:r>
          </w:p>
        </w:tc>
      </w:tr>
    </w:tbl>
    <w:p w:rsidR="000A08E3" w:rsidRPr="000A08E3" w:rsidRDefault="000A08E3">
      <w:pPr>
        <w:pStyle w:val="a3"/>
        <w:spacing w:before="0" w:beforeAutospacing="0" w:after="0" w:afterAutospacing="0" w:line="360" w:lineRule="auto"/>
        <w:ind w:firstLine="420"/>
        <w:divId w:val="495266629"/>
        <w:rPr>
          <w:sz w:val="21"/>
          <w:szCs w:val="21"/>
        </w:rPr>
      </w:pPr>
      <w:r w:rsidRPr="000A08E3">
        <w:rPr>
          <w:rFonts w:hint="eastAsia"/>
          <w:sz w:val="21"/>
          <w:szCs w:val="21"/>
        </w:rPr>
        <w:t xml:space="preserve">博时上证50ETF联接C </w:t>
      </w:r>
    </w:p>
    <w:tbl>
      <w:tblPr>
        <w:tblStyle w:val="a8"/>
        <w:tblW w:w="0" w:type="auto"/>
        <w:tblLook w:val="04A0" w:firstRow="1" w:lastRow="0" w:firstColumn="1" w:lastColumn="0" w:noHBand="0" w:noVBand="1"/>
      </w:tblPr>
      <w:tblGrid>
        <w:gridCol w:w="2421"/>
        <w:gridCol w:w="1059"/>
        <w:gridCol w:w="1022"/>
        <w:gridCol w:w="1232"/>
        <w:gridCol w:w="1195"/>
        <w:gridCol w:w="741"/>
        <w:gridCol w:w="846"/>
      </w:tblGrid>
      <w:tr w:rsidR="000A08E3" w:rsidRPr="000A08E3" w:rsidTr="000A08E3">
        <w:trPr>
          <w:divId w:val="495266629"/>
        </w:trPr>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期间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①净值增长率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②净值增长率标准差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③业绩比较基准收益率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④业绩比较基准收益率标准差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①-③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②-④ </w:t>
            </w:r>
          </w:p>
        </w:tc>
      </w:tr>
      <w:tr w:rsidR="00427C06" w:rsidRPr="000A08E3" w:rsidTr="000A08E3">
        <w:trPr>
          <w:divId w:val="495266629"/>
        </w:trPr>
        <w:tc>
          <w:tcPr>
            <w:tcW w:w="0" w:type="auto"/>
            <w:shd w:val="clear" w:color="auto" w:fill="auto"/>
            <w:hideMark/>
          </w:tcPr>
          <w:p w:rsidR="00427C06" w:rsidRPr="000A08E3" w:rsidRDefault="00427C06" w:rsidP="00427C06">
            <w:pPr>
              <w:jc w:val="center"/>
              <w:rPr>
                <w:rFonts w:ascii="宋体" w:eastAsia="宋体" w:hAnsi="宋体" w:cs="宋体"/>
                <w:szCs w:val="24"/>
              </w:rPr>
            </w:pPr>
            <w:r>
              <w:rPr>
                <w:rFonts w:ascii="宋体" w:eastAsia="宋体" w:hAnsi="宋体" w:hint="eastAsia"/>
              </w:rPr>
              <w:t>2018.04.02</w:t>
            </w:r>
            <w:r w:rsidRPr="000A08E3">
              <w:rPr>
                <w:rFonts w:ascii="宋体" w:eastAsia="宋体" w:hAnsi="宋体" w:hint="eastAsia"/>
              </w:rPr>
              <w:t xml:space="preserve">-2018.12.31 </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-12.80%</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1.31%</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-14.95%</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1.33%</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2.15%</w:t>
            </w:r>
          </w:p>
        </w:tc>
        <w:tc>
          <w:tcPr>
            <w:tcW w:w="0" w:type="auto"/>
            <w:shd w:val="clear" w:color="auto" w:fill="auto"/>
            <w:hideMark/>
          </w:tcPr>
          <w:p w:rsidR="00427C06" w:rsidRPr="00427C06" w:rsidRDefault="00427C06" w:rsidP="00427C06">
            <w:pPr>
              <w:jc w:val="center"/>
              <w:rPr>
                <w:rFonts w:ascii="宋体" w:eastAsia="宋体" w:hAnsi="宋体"/>
              </w:rPr>
            </w:pPr>
            <w:r w:rsidRPr="00427C06">
              <w:rPr>
                <w:rFonts w:ascii="宋体" w:eastAsia="宋体" w:hAnsi="宋体"/>
              </w:rPr>
              <w:t>-0.02%</w:t>
            </w:r>
          </w:p>
        </w:tc>
      </w:tr>
      <w:tr w:rsidR="000A08E3" w:rsidRPr="000A08E3" w:rsidTr="000A08E3">
        <w:trPr>
          <w:divId w:val="495266629"/>
        </w:trPr>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2019.01.01-2019.09.30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27.83%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1.25%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25.01%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1.26%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2.82%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-0.01% </w:t>
            </w:r>
          </w:p>
        </w:tc>
      </w:tr>
      <w:tr w:rsidR="000A08E3" w:rsidRPr="000A08E3" w:rsidTr="000A08E3">
        <w:trPr>
          <w:divId w:val="495266629"/>
        </w:trPr>
        <w:tc>
          <w:tcPr>
            <w:tcW w:w="0" w:type="auto"/>
            <w:shd w:val="clear" w:color="auto" w:fill="auto"/>
            <w:hideMark/>
          </w:tcPr>
          <w:p w:rsidR="000A08E3" w:rsidRPr="000A08E3" w:rsidRDefault="00427C06">
            <w:pPr>
              <w:jc w:val="center"/>
              <w:rPr>
                <w:rFonts w:ascii="宋体" w:eastAsia="宋体" w:hAnsi="宋体" w:cs="宋体"/>
                <w:szCs w:val="24"/>
              </w:rPr>
            </w:pPr>
            <w:r>
              <w:rPr>
                <w:rFonts w:ascii="宋体" w:eastAsia="宋体" w:hAnsi="宋体" w:hint="eastAsia"/>
              </w:rPr>
              <w:t>2018.04.02</w:t>
            </w:r>
            <w:r w:rsidR="000A08E3" w:rsidRPr="000A08E3">
              <w:rPr>
                <w:rFonts w:ascii="宋体" w:eastAsia="宋体" w:hAnsi="宋体" w:hint="eastAsia"/>
              </w:rPr>
              <w:t xml:space="preserve">-2019.09.30 </w:t>
            </w:r>
          </w:p>
        </w:tc>
        <w:tc>
          <w:tcPr>
            <w:tcW w:w="0" w:type="auto"/>
            <w:shd w:val="clear" w:color="auto" w:fill="auto"/>
            <w:hideMark/>
          </w:tcPr>
          <w:p w:rsidR="000A08E3" w:rsidRPr="000A08E3" w:rsidRDefault="006D6000">
            <w:pPr>
              <w:jc w:val="center"/>
              <w:rPr>
                <w:rFonts w:ascii="宋体" w:eastAsia="宋体" w:hAnsi="宋体" w:cs="宋体"/>
                <w:szCs w:val="24"/>
              </w:rPr>
            </w:pPr>
            <w:r>
              <w:rPr>
                <w:rFonts w:ascii="宋体" w:eastAsia="宋体" w:hAnsi="宋体" w:hint="eastAsia"/>
              </w:rPr>
              <w:t>11.47</w:t>
            </w:r>
            <w:r w:rsidR="000A08E3" w:rsidRPr="000A08E3">
              <w:rPr>
                <w:rFonts w:ascii="宋体" w:eastAsia="宋体" w:hAnsi="宋体" w:hint="eastAsia"/>
              </w:rPr>
              <w:t xml:space="preserve">%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1.28% </w:t>
            </w:r>
          </w:p>
        </w:tc>
        <w:tc>
          <w:tcPr>
            <w:tcW w:w="0" w:type="auto"/>
            <w:shd w:val="clear" w:color="auto" w:fill="auto"/>
            <w:hideMark/>
          </w:tcPr>
          <w:p w:rsidR="000A08E3" w:rsidRPr="000A08E3" w:rsidRDefault="006D6000">
            <w:pPr>
              <w:jc w:val="center"/>
              <w:rPr>
                <w:rFonts w:ascii="宋体" w:eastAsia="宋体" w:hAnsi="宋体" w:cs="宋体"/>
                <w:szCs w:val="24"/>
              </w:rPr>
            </w:pPr>
            <w:r>
              <w:rPr>
                <w:rFonts w:ascii="宋体" w:eastAsia="宋体" w:hAnsi="宋体" w:hint="eastAsia"/>
              </w:rPr>
              <w:t>6.32</w:t>
            </w:r>
            <w:r w:rsidR="000A08E3" w:rsidRPr="000A08E3">
              <w:rPr>
                <w:rFonts w:ascii="宋体" w:eastAsia="宋体" w:hAnsi="宋体" w:hint="eastAsia"/>
              </w:rPr>
              <w:t xml:space="preserve">%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1.30% </w:t>
            </w:r>
          </w:p>
        </w:tc>
        <w:tc>
          <w:tcPr>
            <w:tcW w:w="0" w:type="auto"/>
            <w:shd w:val="clear" w:color="auto" w:fill="auto"/>
            <w:hideMark/>
          </w:tcPr>
          <w:p w:rsidR="000A08E3" w:rsidRPr="000A08E3" w:rsidRDefault="006D6000">
            <w:pPr>
              <w:jc w:val="center"/>
              <w:rPr>
                <w:rFonts w:ascii="宋体" w:eastAsia="宋体" w:hAnsi="宋体" w:cs="宋体"/>
                <w:szCs w:val="24"/>
              </w:rPr>
            </w:pPr>
            <w:r>
              <w:rPr>
                <w:rFonts w:ascii="宋体" w:eastAsia="宋体" w:hAnsi="宋体" w:hint="eastAsia"/>
              </w:rPr>
              <w:t>5.15</w:t>
            </w:r>
            <w:r w:rsidR="000A08E3" w:rsidRPr="000A08E3">
              <w:rPr>
                <w:rFonts w:ascii="宋体" w:eastAsia="宋体" w:hAnsi="宋体" w:hint="eastAsia"/>
              </w:rPr>
              <w:t xml:space="preserve">% </w:t>
            </w:r>
          </w:p>
        </w:tc>
        <w:tc>
          <w:tcPr>
            <w:tcW w:w="0" w:type="auto"/>
            <w:shd w:val="clear" w:color="auto" w:fill="auto"/>
            <w:hideMark/>
          </w:tcPr>
          <w:p w:rsidR="000A08E3" w:rsidRPr="000A08E3" w:rsidRDefault="000A08E3">
            <w:pPr>
              <w:jc w:val="center"/>
              <w:rPr>
                <w:rFonts w:ascii="宋体" w:eastAsia="宋体" w:hAnsi="宋体" w:cs="宋体"/>
                <w:szCs w:val="24"/>
              </w:rPr>
            </w:pPr>
            <w:r w:rsidRPr="000A08E3">
              <w:rPr>
                <w:rFonts w:ascii="宋体" w:eastAsia="宋体" w:hAnsi="宋体" w:hint="eastAsia"/>
              </w:rPr>
              <w:t xml:space="preserve">-0.02% </w:t>
            </w:r>
          </w:p>
        </w:tc>
      </w:tr>
    </w:tbl>
    <w:p w:rsidR="000A08E3" w:rsidRPr="000A08E3" w:rsidRDefault="000A08E3">
      <w:pPr>
        <w:pStyle w:val="a3"/>
        <w:spacing w:before="0" w:beforeAutospacing="0" w:after="0" w:afterAutospacing="0" w:line="360" w:lineRule="auto"/>
        <w:ind w:firstLine="420"/>
        <w:divId w:val="495266629"/>
        <w:rPr>
          <w:sz w:val="21"/>
          <w:szCs w:val="21"/>
        </w:rPr>
      </w:pPr>
      <w:bookmarkStart w:id="143" w:name="chapter_level1_13_3500_section_1_end"/>
      <w:bookmarkStart w:id="144" w:name="field_0_indatatable_1_end"/>
      <w:bookmarkEnd w:id="143"/>
      <w:bookmarkEnd w:id="144"/>
      <w:r w:rsidRPr="000A08E3">
        <w:rPr>
          <w:rFonts w:hint="eastAsia"/>
          <w:sz w:val="21"/>
          <w:szCs w:val="21"/>
        </w:rPr>
        <w:t xml:space="preserve">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45" w:name="chapter_level1_14_62"/>
      <w:bookmarkStart w:id="146" w:name="_Toc26382915"/>
      <w:r w:rsidRPr="000A08E3">
        <w:rPr>
          <w:rFonts w:ascii="宋体" w:eastAsia="宋体" w:hAnsi="宋体" w:hint="eastAsia"/>
          <w:sz w:val="30"/>
        </w:rPr>
        <w:lastRenderedPageBreak/>
        <w:t>第十一部分  基金的财产</w:t>
      </w:r>
      <w:bookmarkEnd w:id="145"/>
      <w:bookmarkEnd w:id="146"/>
    </w:p>
    <w:p w:rsidR="000A08E3" w:rsidRPr="000A08E3" w:rsidRDefault="000A08E3">
      <w:pPr>
        <w:pStyle w:val="a3"/>
        <w:spacing w:before="0" w:beforeAutospacing="0" w:after="0" w:afterAutospacing="0" w:line="360" w:lineRule="auto"/>
        <w:ind w:firstLine="420"/>
        <w:divId w:val="1289703646"/>
        <w:rPr>
          <w:sz w:val="21"/>
          <w:szCs w:val="21"/>
        </w:rPr>
      </w:pPr>
      <w:bookmarkStart w:id="147" w:name="chapter_level1_14_62_section_1"/>
      <w:bookmarkEnd w:id="147"/>
      <w:r w:rsidRPr="000A08E3">
        <w:rPr>
          <w:rStyle w:val="a4"/>
          <w:rFonts w:hint="eastAsia"/>
          <w:sz w:val="21"/>
          <w:szCs w:val="21"/>
        </w:rPr>
        <w:t>一、基金资产总值</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Fonts w:hint="eastAsia"/>
          <w:sz w:val="21"/>
          <w:szCs w:val="21"/>
        </w:rPr>
        <w:t xml:space="preserve">基金资产总值是指购买的各类证券及票据价值、银行存款本息和基金应收的申购基金款以及其他投资所形成的价值总和。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Style w:val="a4"/>
          <w:rFonts w:hint="eastAsia"/>
          <w:sz w:val="21"/>
          <w:szCs w:val="21"/>
        </w:rPr>
        <w:t>二、基金资产净值</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Fonts w:hint="eastAsia"/>
          <w:sz w:val="21"/>
          <w:szCs w:val="21"/>
        </w:rPr>
        <w:t xml:space="preserve">基金资产净值是指基金资产总值减去基金负债后的价值。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Style w:val="a4"/>
          <w:rFonts w:hint="eastAsia"/>
          <w:sz w:val="21"/>
          <w:szCs w:val="21"/>
        </w:rPr>
        <w:t>三、基金财产的账户</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Fonts w:hint="eastAsia"/>
          <w:sz w:val="21"/>
          <w:szCs w:val="21"/>
        </w:rPr>
        <w:t xml:space="preserve">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Style w:val="a4"/>
          <w:rFonts w:hint="eastAsia"/>
          <w:sz w:val="21"/>
          <w:szCs w:val="21"/>
        </w:rPr>
        <w:t>四、基金财产的处分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rsidR="000A08E3" w:rsidRPr="000A08E3" w:rsidRDefault="000A08E3">
      <w:pPr>
        <w:pStyle w:val="a3"/>
        <w:spacing w:before="0" w:beforeAutospacing="0" w:after="0" w:afterAutospacing="0" w:line="360" w:lineRule="auto"/>
        <w:ind w:firstLine="420"/>
        <w:divId w:val="1289703646"/>
        <w:rPr>
          <w:sz w:val="21"/>
          <w:szCs w:val="21"/>
        </w:rPr>
      </w:pPr>
      <w:r w:rsidRPr="000A08E3">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48" w:name="chapter_level1_14_62_section_1_end"/>
      <w:bookmarkEnd w:id="148"/>
      <w:r w:rsidRPr="000A08E3">
        <w:rPr>
          <w:rFonts w:hint="eastAsia"/>
          <w:sz w:val="21"/>
          <w:szCs w:val="21"/>
        </w:rPr>
        <w:t xml:space="preserve">得相互抵销。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49" w:name="chapter_level1_15_63"/>
      <w:bookmarkStart w:id="150" w:name="_Toc26382916"/>
      <w:r w:rsidRPr="000A08E3">
        <w:rPr>
          <w:rFonts w:ascii="宋体" w:eastAsia="宋体" w:hAnsi="宋体" w:hint="eastAsia"/>
          <w:sz w:val="30"/>
        </w:rPr>
        <w:lastRenderedPageBreak/>
        <w:t>第十二部分  基金资产的估值</w:t>
      </w:r>
      <w:bookmarkEnd w:id="149"/>
      <w:bookmarkEnd w:id="150"/>
    </w:p>
    <w:p w:rsidR="000A08E3" w:rsidRPr="000A08E3" w:rsidRDefault="000A08E3">
      <w:pPr>
        <w:pStyle w:val="a3"/>
        <w:spacing w:before="0" w:beforeAutospacing="0" w:after="0" w:afterAutospacing="0" w:line="360" w:lineRule="auto"/>
        <w:ind w:firstLine="420"/>
        <w:divId w:val="629282541"/>
        <w:rPr>
          <w:sz w:val="21"/>
          <w:szCs w:val="21"/>
        </w:rPr>
      </w:pPr>
      <w:bookmarkStart w:id="151" w:name="chapter_level1_15_63_section_1"/>
      <w:bookmarkEnd w:id="151"/>
      <w:r w:rsidRPr="000A08E3">
        <w:rPr>
          <w:rStyle w:val="a4"/>
          <w:rFonts w:hint="eastAsia"/>
          <w:sz w:val="21"/>
          <w:szCs w:val="21"/>
        </w:rPr>
        <w:t>一、估值日</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本基金的估值日为本基金相关的证券交易场所的交易日以及国家法律法规规定需要对外披露基金净值的非交易日。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Style w:val="a4"/>
          <w:rFonts w:hint="eastAsia"/>
          <w:sz w:val="21"/>
          <w:szCs w:val="21"/>
        </w:rPr>
        <w:t>二、估值对象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基金所拥有的股票、权证、债券、股指期货合约和银行存款本息、应收款项、其它投资等资产及负债。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Style w:val="a4"/>
          <w:rFonts w:hint="eastAsia"/>
          <w:sz w:val="21"/>
          <w:szCs w:val="21"/>
        </w:rPr>
        <w:t>三、估值方法</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1、证券交易所上市的有价证券的估值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1）除本部分另有约定的品种外，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（2）交易所上市交易或挂牌转让的固定收益品种（基金合同另有规定的除外），选取估值日第三方估值机构提供的相应品种对应的估值净价估值，具体估值机构由基金管理人与托管人另行协商约定。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3）交易所上市交易的可转换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2、处于未上市期间的有价证券应区分如下情况处理：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（1）送股、转增股、配股和公开增发的新股，按估值日在证券交易所挂牌的同一股票的估值方法估值；该日无交易的，以最近一日的市价（收盘价）估值；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lastRenderedPageBreak/>
        <w:t xml:space="preserve">（2）首次公开发行未上市的股票、债券和权证，采用估值技术确定公允价值，在估值技术难以可靠计量公允价值的情况下，按成本估值；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3、全国银行间债券市场交易的债券、资产支持证券等固定收益品种，采用估值技术确定公允价值。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4、同一债券同时在两个或两个以上市场交易的，按债券所处的市场分别估值。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6、本基金持有的目标ETF份额以其当日份额净值估值，当日无份额净值的，以最近工作日的份额净值估值。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7、如有确凿证据表明按上述方法进行估值不能客观反映其公允价值的，基金管理人可根据具体情况与基金托管人商定后，按最能反映公允价值的方法估值。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8、相关法律法规以及监管部门有强制规定的，从其规定。如有新增事项，按国家最新规定估值。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0A08E3" w:rsidRPr="000A08E3" w:rsidRDefault="000A08E3">
      <w:pPr>
        <w:pStyle w:val="a3"/>
        <w:spacing w:before="0" w:beforeAutospacing="0" w:after="0" w:afterAutospacing="0" w:line="360" w:lineRule="auto"/>
        <w:ind w:firstLine="420"/>
        <w:divId w:val="629282541"/>
        <w:rPr>
          <w:sz w:val="21"/>
          <w:szCs w:val="21"/>
        </w:rPr>
      </w:pPr>
      <w:r w:rsidRPr="000A08E3">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w:t>
      </w:r>
      <w:bookmarkStart w:id="152" w:name="chapter_level1_15_63_section_1_end"/>
      <w:bookmarkEnd w:id="152"/>
      <w:r w:rsidRPr="000A08E3">
        <w:rPr>
          <w:rFonts w:hint="eastAsia"/>
          <w:sz w:val="21"/>
          <w:szCs w:val="21"/>
        </w:rPr>
        <w:t xml:space="preserve">结果对外予以公布。 </w:t>
      </w:r>
    </w:p>
    <w:p w:rsidR="000A08E3" w:rsidRPr="000A08E3" w:rsidRDefault="000A08E3">
      <w:pPr>
        <w:pStyle w:val="a3"/>
        <w:spacing w:before="0" w:beforeAutospacing="0" w:after="0" w:afterAutospacing="0" w:line="360" w:lineRule="auto"/>
        <w:ind w:firstLine="420"/>
        <w:divId w:val="552429813"/>
        <w:rPr>
          <w:sz w:val="21"/>
          <w:szCs w:val="21"/>
        </w:rPr>
      </w:pPr>
      <w:bookmarkStart w:id="153" w:name="chapter_level1_15_63_section_2"/>
      <w:bookmarkEnd w:id="153"/>
      <w:r w:rsidRPr="000A08E3">
        <w:rPr>
          <w:rStyle w:val="a4"/>
          <w:rFonts w:hint="eastAsia"/>
          <w:sz w:val="21"/>
          <w:szCs w:val="21"/>
        </w:rPr>
        <w:t>四、估值程序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1、各类基金份额净值是按照每个工作日闭市后，基金资产净值除以当日该类别基金份额的余额数量计算，精确到</w:t>
      </w:r>
      <w:bookmarkStart w:id="154" w:name="field_63_netdecimalvalue_1"/>
      <w:r w:rsidR="00284027">
        <w:rPr>
          <w:sz w:val="21"/>
          <w:szCs w:val="21"/>
        </w:rPr>
        <w:t>0.0001</w:t>
      </w:r>
      <w:bookmarkEnd w:id="154"/>
      <w:r w:rsidRPr="000A08E3">
        <w:rPr>
          <w:rFonts w:hint="eastAsia"/>
          <w:sz w:val="21"/>
          <w:szCs w:val="21"/>
        </w:rPr>
        <w:t>元，小数点后第</w:t>
      </w:r>
      <w:bookmarkStart w:id="155" w:name="field_0_netdecimaladd1_1"/>
      <w:r w:rsidR="00284027">
        <w:rPr>
          <w:sz w:val="21"/>
          <w:szCs w:val="21"/>
        </w:rPr>
        <w:t>5</w:t>
      </w:r>
      <w:bookmarkEnd w:id="155"/>
      <w:r w:rsidRPr="000A08E3">
        <w:rPr>
          <w:rFonts w:hint="eastAsia"/>
          <w:sz w:val="21"/>
          <w:szCs w:val="21"/>
        </w:rPr>
        <w:t xml:space="preserve">位四舍五入。国家另有规定的，从其规定。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基金管理人于每个工作日计算基金资产净值及各类基金份额净值，并按规定公告。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lastRenderedPageBreak/>
        <w:t xml:space="preserve">2、基金管理人应每个工作日对基金资产估值。但基金管理人根据法律法规或基金合同的规定暂停估值时除外。基金管理人每个工作日对基金资产估值后，将各类基金份额净值结果发送基金托管人，经基金托管人复核无误后，由基金管理人按约定对外公布。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Style w:val="a4"/>
          <w:rFonts w:hint="eastAsia"/>
          <w:sz w:val="21"/>
          <w:szCs w:val="21"/>
        </w:rPr>
        <w:t>五、估值错误的处理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基金管理人和基金托管人将采取必要、适当、合理的措施确保基金资产估值的准确性、及时性。当基金份额净值小数点后</w:t>
      </w:r>
      <w:bookmarkStart w:id="156" w:name="field_63_netdecimal_1"/>
      <w:r w:rsidR="00284027">
        <w:rPr>
          <w:sz w:val="21"/>
          <w:szCs w:val="21"/>
        </w:rPr>
        <w:t>4</w:t>
      </w:r>
      <w:bookmarkEnd w:id="156"/>
      <w:r w:rsidRPr="000A08E3">
        <w:rPr>
          <w:rFonts w:hint="eastAsia"/>
          <w:sz w:val="21"/>
          <w:szCs w:val="21"/>
        </w:rPr>
        <w:t>位以内(含第</w:t>
      </w:r>
      <w:bookmarkStart w:id="157" w:name="field_63_netdecimal_2"/>
      <w:r w:rsidR="00284027">
        <w:rPr>
          <w:sz w:val="21"/>
          <w:szCs w:val="21"/>
        </w:rPr>
        <w:t>4</w:t>
      </w:r>
      <w:bookmarkEnd w:id="157"/>
      <w:r w:rsidRPr="000A08E3">
        <w:rPr>
          <w:rFonts w:hint="eastAsia"/>
          <w:sz w:val="21"/>
          <w:szCs w:val="21"/>
        </w:rPr>
        <w:t xml:space="preserve">位)发生估值错误时，视为基金份额净值错误。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基金合同的当事人应按照以下约定处理：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1、估值错误类型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上述估值错误的主要类型包括但不限于：资料申报差错、数据传输差错、数据计算差错、系统故障差错、下达指令差错等。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2、估值错误处理原则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（2）估值错误的责任方对有关当事人的直接损失负责，不对间接损失负责，并且仅对估值错误的有关直接当事人负责，不对第三方负责。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lastRenderedPageBreak/>
        <w:t xml:space="preserve">（4）估值错误调整采用尽量恢复至假设未发生估值错误的正确情形的方式。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3、估值错误处理程序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估值错误被发现后，有关的当事人应当及时进行处理，处理的程序如下：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（1）查明估值错误发生的原因，列明所有的当事人，并根据估值错误发生的原因确定估值错误的责任方；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（2）根据估值错误处理原则或当事人协商的方法对因估值错误造成的损失进行评估；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（3）根据估值错误处理原则或当事人协商的方法由估值错误的责任方进行更正和赔偿损失；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（4）根据估值错误处理的方法，需要修改基金登记机构交易数据的，由基金登记机构进行更正，并就估值错误的更正向有关当事人进行确认。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4、基金份额净值估值错误处理的方法如下：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（1）基金份额净值计算出现错误时，基金管理人应当立即予以纠正，通报基金托管人，并采取合理的措施防止损失进一步扩大。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（2）错误偏差达到基金份额净值的0.25%时，基金管理人应当通报基金托管人并报中国证监会备案；错误偏差达到基金份额净值的0.5%时，基金管理人应当公告。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（3）前述内容如法律法规或监管机关另有规定的，从其规定处理。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Style w:val="a4"/>
          <w:rFonts w:hint="eastAsia"/>
          <w:sz w:val="21"/>
          <w:szCs w:val="21"/>
        </w:rPr>
        <w:t>六、暂停估值的情形</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1、基金投资所涉及的证券/期货交易市场遇法定节假日或因其他原因暂停营业时；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2、因不可抗力致使基金管理人、基金托管人无法准确评估基金资产价值时；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3、基金所投资的目标ETF发生暂停估值、暂停公告各类基金份额净值的情形；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4、当前一估值日基金资产净值50%以上的资产出现无可参考的活跃市场价格且采用估值技术仍导致公允价值存在重大不确定性时，经与基金托管人协商一致，应当暂停估值；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5、法律法规、中国证监会和基金合同认定的其它情形。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Style w:val="a4"/>
          <w:rFonts w:hint="eastAsia"/>
          <w:sz w:val="21"/>
          <w:szCs w:val="21"/>
        </w:rPr>
        <w:t>七、基金净值的确认</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 xml:space="preserve">基金资产净值和各类基金份额净值由基金管理人负责计算，基金托管人负责进行复核。基金管理人应于每个开放日交易结束后计算当日的基金资产净值和各类基金份额净值并发送给基金托管人。基金托管人对净值计算结果复核确认后发送给基金管理人，由基金管理人对基金净值按约定予以公布。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Style w:val="a4"/>
          <w:rFonts w:hint="eastAsia"/>
          <w:sz w:val="21"/>
          <w:szCs w:val="21"/>
        </w:rPr>
        <w:t>八、特殊情况的处理</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lastRenderedPageBreak/>
        <w:t xml:space="preserve">1、基金管理人或基金托管人按估值方法的第7项进行估值时，所造成的误差不作为基金资产估值错误处理。 </w:t>
      </w:r>
    </w:p>
    <w:p w:rsidR="000A08E3" w:rsidRPr="000A08E3" w:rsidRDefault="000A08E3">
      <w:pPr>
        <w:pStyle w:val="a3"/>
        <w:spacing w:before="0" w:beforeAutospacing="0" w:after="0" w:afterAutospacing="0" w:line="360" w:lineRule="auto"/>
        <w:ind w:firstLine="420"/>
        <w:divId w:val="552429813"/>
        <w:rPr>
          <w:sz w:val="21"/>
          <w:szCs w:val="21"/>
        </w:rPr>
      </w:pPr>
      <w:r w:rsidRPr="000A08E3">
        <w:rPr>
          <w:rFonts w:hint="eastAsia"/>
          <w:sz w:val="21"/>
          <w:szCs w:val="21"/>
        </w:rPr>
        <w:t>2、由于不可抗力原因，或证券/期货交易所或登记结算公司发送的数据错误等原因，基金管理人和基金托管人虽然已经采取必要、适当、合理的措施进行检查，但是未能发现该错误的，由此造成的基金资产估值错误，基金管理人和基金托管人可以免除赔偿责任，但基金</w:t>
      </w:r>
      <w:bookmarkStart w:id="158" w:name="chapter_level1_15_63_section_2_end"/>
      <w:bookmarkEnd w:id="158"/>
      <w:r w:rsidRPr="000A08E3">
        <w:rPr>
          <w:rFonts w:hint="eastAsia"/>
          <w:sz w:val="21"/>
          <w:szCs w:val="21"/>
        </w:rPr>
        <w:t xml:space="preserve">管理人和基金托管人应当积极采取必要的措施消除或减轻由此造成的影响。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59" w:name="chapter_level1_16_64"/>
      <w:bookmarkStart w:id="160" w:name="_Toc26382917"/>
      <w:r w:rsidRPr="000A08E3">
        <w:rPr>
          <w:rFonts w:ascii="宋体" w:eastAsia="宋体" w:hAnsi="宋体" w:hint="eastAsia"/>
          <w:sz w:val="30"/>
        </w:rPr>
        <w:lastRenderedPageBreak/>
        <w:t>第十三部分  基金的收益与分配</w:t>
      </w:r>
      <w:bookmarkEnd w:id="159"/>
      <w:bookmarkEnd w:id="160"/>
    </w:p>
    <w:p w:rsidR="000A08E3" w:rsidRPr="000A08E3" w:rsidRDefault="000A08E3">
      <w:pPr>
        <w:pStyle w:val="a3"/>
        <w:spacing w:before="0" w:beforeAutospacing="0" w:after="0" w:afterAutospacing="0" w:line="360" w:lineRule="auto"/>
        <w:ind w:firstLine="420"/>
        <w:divId w:val="1904170552"/>
        <w:rPr>
          <w:sz w:val="21"/>
          <w:szCs w:val="21"/>
        </w:rPr>
      </w:pPr>
      <w:bookmarkStart w:id="161" w:name="chapter_level1_16_64_section_1"/>
      <w:bookmarkEnd w:id="161"/>
      <w:r w:rsidRPr="000A08E3">
        <w:rPr>
          <w:rStyle w:val="a4"/>
          <w:rFonts w:hint="eastAsia"/>
          <w:sz w:val="21"/>
          <w:szCs w:val="21"/>
        </w:rPr>
        <w:t>一、基金利润的构成</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Style w:val="a4"/>
          <w:rFonts w:hint="eastAsia"/>
          <w:sz w:val="21"/>
          <w:szCs w:val="21"/>
        </w:rPr>
        <w:t>二、基金可供分配利润</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基金可供分配利润指截至收益分配基准日基金未分配利润与未分配利润中已实现收益的孰低数。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Style w:val="a4"/>
          <w:rFonts w:hint="eastAsia"/>
          <w:sz w:val="21"/>
          <w:szCs w:val="21"/>
        </w:rPr>
        <w:t>三、基金收益分配原则</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1、本基金收益分配方式分两种：现金分红与红利再投资，投资者可选择现金红利或将现金红利自动转为相应类别的基金份额进行再投资；若投资者不选择，本基金默认的收益分配方式是现金分红；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2、基金收益分配后基金份额净值不能低于面值，即基金收益分配基准日的基金份额净值减去每单位基金份额收益分配金额后不能低于面值；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3、由于本基金A类基金份额不收取销售服务费，而C类基金份额收取销售服务费，各基金份额类别对应的可供分配利润将有所不同，本基金同一类别的每一基金份额享有同等分配权；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 xml:space="preserve">4、法律法规或监管机关另有规定的，从其规定。 </w:t>
      </w:r>
    </w:p>
    <w:p w:rsidR="000A08E3" w:rsidRPr="000A08E3" w:rsidRDefault="000A08E3">
      <w:pPr>
        <w:pStyle w:val="a3"/>
        <w:spacing w:before="0" w:beforeAutospacing="0" w:after="0" w:afterAutospacing="0" w:line="360" w:lineRule="auto"/>
        <w:ind w:firstLine="420"/>
        <w:divId w:val="1904170552"/>
        <w:rPr>
          <w:sz w:val="21"/>
          <w:szCs w:val="21"/>
        </w:rPr>
      </w:pPr>
      <w:r w:rsidRPr="000A08E3">
        <w:rPr>
          <w:rFonts w:hint="eastAsia"/>
          <w:sz w:val="21"/>
          <w:szCs w:val="21"/>
        </w:rPr>
        <w:t>在不违反法律法规且对基金份额持有人利益无实质性不利影响的前提下，基金管理人可</w:t>
      </w:r>
      <w:bookmarkStart w:id="162" w:name="chapter_level1_16_64_section_1_end"/>
      <w:bookmarkEnd w:id="162"/>
      <w:r w:rsidRPr="000A08E3">
        <w:rPr>
          <w:rFonts w:hint="eastAsia"/>
          <w:sz w:val="21"/>
          <w:szCs w:val="21"/>
        </w:rPr>
        <w:t xml:space="preserve">对基金收益分配的有关业务规则进行调整，并及时公告。 </w:t>
      </w:r>
    </w:p>
    <w:p w:rsidR="000A08E3" w:rsidRPr="000A08E3" w:rsidRDefault="000A08E3">
      <w:pPr>
        <w:pStyle w:val="a3"/>
        <w:spacing w:before="0" w:beforeAutospacing="0" w:after="0" w:afterAutospacing="0" w:line="360" w:lineRule="auto"/>
        <w:ind w:firstLine="420"/>
        <w:divId w:val="962535066"/>
        <w:rPr>
          <w:sz w:val="21"/>
          <w:szCs w:val="21"/>
        </w:rPr>
      </w:pPr>
      <w:bookmarkStart w:id="163" w:name="chapter_level1_16_64_section_2"/>
      <w:bookmarkEnd w:id="163"/>
      <w:r w:rsidRPr="000A08E3">
        <w:rPr>
          <w:rStyle w:val="a4"/>
          <w:rFonts w:hint="eastAsia"/>
          <w:sz w:val="21"/>
          <w:szCs w:val="21"/>
        </w:rPr>
        <w:t>四、收益分配方案</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Fonts w:hint="eastAsia"/>
          <w:sz w:val="21"/>
          <w:szCs w:val="21"/>
        </w:rPr>
        <w:t xml:space="preserve">基金收益分配方案中应载明截止收益分配基准日的可供分配利润、基金收益分配对象、分配时间、分配数额及比例、分配方式等内容。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Style w:val="a4"/>
          <w:rFonts w:hint="eastAsia"/>
          <w:sz w:val="21"/>
          <w:szCs w:val="21"/>
        </w:rPr>
        <w:t>五、收益分配方案的确定、公告与实施</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Fonts w:hint="eastAsia"/>
          <w:sz w:val="21"/>
          <w:szCs w:val="21"/>
        </w:rPr>
        <w:t>1、本基金收益分配方案由基金管理人拟定，并由基金托管人复核，</w:t>
      </w:r>
      <w:r w:rsidR="002314EC" w:rsidRPr="002314EC">
        <w:rPr>
          <w:rFonts w:hint="eastAsia"/>
          <w:sz w:val="21"/>
          <w:szCs w:val="21"/>
        </w:rPr>
        <w:t>依照《信息披露办法》的有关规定在指定媒介公告</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Fonts w:hint="eastAsia"/>
          <w:sz w:val="21"/>
          <w:szCs w:val="21"/>
        </w:rPr>
        <w:t xml:space="preserve">2、基金红利发放日距离收益分配基准日（即可供分配利润计算截止日）的时间不得超过15个工作日。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Style w:val="a4"/>
          <w:rFonts w:hint="eastAsia"/>
          <w:sz w:val="21"/>
          <w:szCs w:val="21"/>
        </w:rPr>
        <w:t>六、基金收益分配中发生的费用</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62535066"/>
        <w:rPr>
          <w:sz w:val="21"/>
          <w:szCs w:val="21"/>
        </w:rPr>
      </w:pPr>
      <w:r w:rsidRPr="000A08E3">
        <w:rPr>
          <w:rFonts w:hint="eastAsia"/>
          <w:sz w:val="21"/>
          <w:szCs w:val="21"/>
        </w:rPr>
        <w:lastRenderedPageBreak/>
        <w:t xml:space="preserve">基金收益分配时所发生的银行转账或其他手续费用由投资者自行承担。当投资者的现金红利小于一定金额，不足于支付银行转账或其他手续费用时，基金登记机构可将基金份额持有人的现金红利自动转为相应类别的基金份额。红利再投资的计算方法，依照《业务规则》执行。 </w:t>
      </w:r>
    </w:p>
    <w:p w:rsidR="000A08E3" w:rsidRPr="000A08E3" w:rsidRDefault="000A08E3">
      <w:pPr>
        <w:pStyle w:val="a3"/>
        <w:spacing w:before="0" w:beforeAutospacing="0" w:after="0" w:afterAutospacing="0" w:line="360" w:lineRule="auto"/>
        <w:ind w:firstLine="420"/>
        <w:divId w:val="962535066"/>
        <w:rPr>
          <w:sz w:val="21"/>
          <w:szCs w:val="21"/>
        </w:rPr>
      </w:pPr>
      <w:bookmarkStart w:id="164" w:name="chapter_level1_16_64_section_2_end"/>
      <w:bookmarkEnd w:id="164"/>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65" w:name="chapter_level1_17_65"/>
      <w:bookmarkStart w:id="166" w:name="_Toc26382918"/>
      <w:r w:rsidRPr="000A08E3">
        <w:rPr>
          <w:rFonts w:ascii="宋体" w:eastAsia="宋体" w:hAnsi="宋体" w:hint="eastAsia"/>
          <w:sz w:val="30"/>
        </w:rPr>
        <w:lastRenderedPageBreak/>
        <w:t>第十四部分  基金费用与税收</w:t>
      </w:r>
      <w:bookmarkEnd w:id="165"/>
      <w:bookmarkEnd w:id="166"/>
    </w:p>
    <w:p w:rsidR="000A08E3" w:rsidRPr="000A08E3" w:rsidRDefault="000A08E3">
      <w:pPr>
        <w:pStyle w:val="a3"/>
        <w:spacing w:before="0" w:beforeAutospacing="0" w:after="0" w:afterAutospacing="0" w:line="360" w:lineRule="auto"/>
        <w:ind w:firstLine="420"/>
        <w:divId w:val="187262440"/>
        <w:rPr>
          <w:sz w:val="21"/>
          <w:szCs w:val="21"/>
        </w:rPr>
      </w:pPr>
      <w:bookmarkStart w:id="167" w:name="chapter_level1_17_65_section_1"/>
      <w:bookmarkEnd w:id="167"/>
      <w:r w:rsidRPr="000A08E3">
        <w:rPr>
          <w:rStyle w:val="a4"/>
          <w:rFonts w:hint="eastAsia"/>
          <w:sz w:val="21"/>
          <w:szCs w:val="21"/>
        </w:rPr>
        <w:t>一、基金费用的种类</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1、基金管理人的管理费；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2、基金托管人的托管费；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3、C类基金份额的销售服务费；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4、《基金合同》生效后与基金相关的信息披露费用</w:t>
      </w:r>
      <w:r w:rsidR="002314EC" w:rsidRPr="002314EC">
        <w:rPr>
          <w:rFonts w:hint="eastAsia"/>
          <w:sz w:val="21"/>
          <w:szCs w:val="21"/>
        </w:rPr>
        <w:t>，法律法规、中国证监会另有规定的除外</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5、《基金合同》生效后与基金相关的会计师费、律师费和诉讼费；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6、基金份额持有人大会费用；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7、基金的证券交易费用；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8、基金的银行汇划费用；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9、按照国家有关规定和《基金合同》约定，可以在基金财产中列支的其他费用。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Style w:val="a4"/>
          <w:rFonts w:hint="eastAsia"/>
          <w:sz w:val="21"/>
          <w:szCs w:val="21"/>
        </w:rPr>
        <w:t>二、基金费用计提方法、计提标准和支付方式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1、基金管理人的管理费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本基金的管理费按前一日基金资产净值的</w:t>
      </w:r>
      <w:bookmarkStart w:id="168" w:name="field_0_managementrate_1"/>
      <w:r w:rsidR="00284027">
        <w:rPr>
          <w:sz w:val="21"/>
          <w:szCs w:val="21"/>
        </w:rPr>
        <w:t>0.30</w:t>
      </w:r>
      <w:bookmarkEnd w:id="168"/>
      <w:r w:rsidRPr="000A08E3">
        <w:rPr>
          <w:rFonts w:hint="eastAsia"/>
          <w:sz w:val="21"/>
          <w:szCs w:val="21"/>
        </w:rPr>
        <w:t xml:space="preserve">%年费率计提。管理费的计算方法如下：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H＝E×</w:t>
      </w:r>
      <w:bookmarkStart w:id="169" w:name="field_0_managementrate_2"/>
      <w:r w:rsidR="00284027">
        <w:rPr>
          <w:sz w:val="21"/>
          <w:szCs w:val="21"/>
        </w:rPr>
        <w:t>0.30</w:t>
      </w:r>
      <w:bookmarkEnd w:id="169"/>
      <w:r w:rsidRPr="000A08E3">
        <w:rPr>
          <w:rFonts w:hint="eastAsia"/>
          <w:sz w:val="21"/>
          <w:szCs w:val="21"/>
        </w:rPr>
        <w:t xml:space="preserve">%÷当年天数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H为每日应计提的基金管理费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E为前一日的基金资产净值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基金管理人对本基金投资组合中投资于目标ETF部分的基金资产净值不计提基金管理费。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前一日的基金资产净值为已扣除本基金投资于目标ETF部分基金资产净值后的净额，金额为负时以零计。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基金管理费每日计提，逐日累计至每个月月末，按月支付。经基金管理人与基金托管人核对一致后，由基金托管人自动于次月首日起3个工作日内从基金财产中一次性支付给基金管理人。若遇法定节假日、公休假等，支付日期顺延。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2、基金托管人的托管费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本基金的托管费按前一日基金资产净值的</w:t>
      </w:r>
      <w:bookmarkStart w:id="170" w:name="field_0_trusteerate_1"/>
      <w:r w:rsidR="00284027">
        <w:rPr>
          <w:sz w:val="21"/>
          <w:szCs w:val="21"/>
        </w:rPr>
        <w:t>0.10</w:t>
      </w:r>
      <w:bookmarkEnd w:id="170"/>
      <w:r w:rsidRPr="000A08E3">
        <w:rPr>
          <w:rFonts w:hint="eastAsia"/>
          <w:sz w:val="21"/>
          <w:szCs w:val="21"/>
        </w:rPr>
        <w:t xml:space="preserve">%的年费率计提。托管费的计算方法如下：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H＝E×</w:t>
      </w:r>
      <w:bookmarkStart w:id="171" w:name="field_0_trusteerate_2"/>
      <w:r w:rsidR="00284027">
        <w:rPr>
          <w:sz w:val="21"/>
          <w:szCs w:val="21"/>
        </w:rPr>
        <w:t>0.10</w:t>
      </w:r>
      <w:bookmarkEnd w:id="171"/>
      <w:r w:rsidRPr="000A08E3">
        <w:rPr>
          <w:rFonts w:hint="eastAsia"/>
          <w:sz w:val="21"/>
          <w:szCs w:val="21"/>
        </w:rPr>
        <w:t xml:space="preserve">%÷当年天数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H为每日应计提的基金托管费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lastRenderedPageBreak/>
        <w:t xml:space="preserve">E为前一日的基金资产净值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基金托管人对本基金投资组合中投资于目标ETF部分的基金资产净值不计提基金托管费。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前一日的基金资产净值为已扣除本基金投资于目标ETF部分基金资产净值后的净额，金额为负时以零计。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基金托管费每日计提，逐日累计至每个月月末，按月支付。经基金管理人与基金托管人核对一致后，由基金托管人自动于次月首日起3个工作日内从基金财产中一次性支取。若遇法定节假日、公休假等，支付日期顺延。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3、C类基金份额的销售服务费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本基金A类基金份额不收取销售服务费，C类基金份额的销售服务费年费率为0.10%。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本基金销售服务费按前一日C类基金资产净值的0.10%年费率计提。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计算方法如下：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H＝E×0.10%÷当年天数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H为C类基金份额每日应计提的销售服务费</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E为C类基金份额前一日基金资产净值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销售服务费每日计提，逐日累计至每月月末，按月支付。经基金管理人与基金托管人核对一致后，由基金托管人自动于次月首日起3个工作日内按照指定的账户路径进行资金支付。若遇法定节假日、公休假等，支付日期顺延。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销售服务费主要用于本基金持续销售以及基金份额持有人服务等各项费用。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上述“一、基金费用的种类中第4－9项费用”，根据有关法规及相应协议规定，按费用实际支出金额列入当期费用，由基金托管人从基金财产中支付。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Style w:val="a4"/>
          <w:rFonts w:hint="eastAsia"/>
          <w:sz w:val="21"/>
          <w:szCs w:val="21"/>
        </w:rPr>
        <w:t>三、不列入基金费用的项目</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下列费用不列入基金费用：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1、基金管理人和基金托管人因未履行或未完全履行义务导致的费用支出或基金财产的损失；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2、基金管理人和基金托管人处理与基金运作无关的事项发生的费用；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 xml:space="preserve">3、《基金合同》生效前的相关费用；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Fonts w:hint="eastAsia"/>
          <w:sz w:val="21"/>
          <w:szCs w:val="21"/>
        </w:rPr>
        <w:t>4、其他根据相关法律法规及中国证监会的有关规定不得列入基金费用的项目。</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Style w:val="a4"/>
          <w:rFonts w:hint="eastAsia"/>
          <w:sz w:val="21"/>
          <w:szCs w:val="21"/>
        </w:rPr>
        <w:lastRenderedPageBreak/>
        <w:t>四、基金管理人和基金托管人可根据基金发展情况调整基金管理费率和基金托管费率。基金管理人必须最迟于新的费率实施日前按照《信息披露办法》的规定在指定媒介上刊登公告。</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r w:rsidRPr="000A08E3">
        <w:rPr>
          <w:rStyle w:val="a4"/>
          <w:rFonts w:hint="eastAsia"/>
          <w:sz w:val="21"/>
          <w:szCs w:val="21"/>
        </w:rPr>
        <w:t>五、基金税收</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914626709"/>
        <w:rPr>
          <w:sz w:val="21"/>
          <w:szCs w:val="21"/>
        </w:rPr>
      </w:pPr>
      <w:bookmarkStart w:id="172" w:name="chapter_level1_17_65_section_1_end"/>
      <w:bookmarkEnd w:id="172"/>
      <w:r w:rsidRPr="000A08E3">
        <w:rPr>
          <w:rFonts w:hint="eastAsia"/>
          <w:sz w:val="21"/>
          <w:szCs w:val="21"/>
        </w:rPr>
        <w:t xml:space="preserve">本基金运作过程中涉及的各纳税主体，其纳税义务按国家税收法律、法规执行。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73" w:name="chapter_level1_18_66"/>
      <w:bookmarkStart w:id="174" w:name="_Toc26382919"/>
      <w:r w:rsidRPr="000A08E3">
        <w:rPr>
          <w:rFonts w:ascii="宋体" w:eastAsia="宋体" w:hAnsi="宋体" w:hint="eastAsia"/>
          <w:sz w:val="30"/>
        </w:rPr>
        <w:lastRenderedPageBreak/>
        <w:t>第十五部分  基金的会计与审计</w:t>
      </w:r>
      <w:bookmarkEnd w:id="173"/>
      <w:bookmarkEnd w:id="174"/>
    </w:p>
    <w:p w:rsidR="000A08E3" w:rsidRPr="000A08E3" w:rsidRDefault="000A08E3">
      <w:pPr>
        <w:pStyle w:val="a3"/>
        <w:spacing w:before="0" w:beforeAutospacing="0" w:after="0" w:afterAutospacing="0" w:line="360" w:lineRule="auto"/>
        <w:ind w:firstLine="420"/>
        <w:divId w:val="535050437"/>
        <w:rPr>
          <w:sz w:val="21"/>
          <w:szCs w:val="21"/>
        </w:rPr>
      </w:pPr>
      <w:bookmarkStart w:id="175" w:name="chapter_level1_18_66_section_1"/>
      <w:bookmarkEnd w:id="175"/>
      <w:r w:rsidRPr="000A08E3">
        <w:rPr>
          <w:rStyle w:val="a4"/>
          <w:rFonts w:hint="eastAsia"/>
          <w:sz w:val="21"/>
          <w:szCs w:val="21"/>
        </w:rPr>
        <w:t>一、基金会计政策</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1、基金管理人为本基金的基金会计责任方；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2、基金的会计年度为公历年度的1月1日至12月31日；基金首次募集的会计年度按如下原则：如果《基金合同》生效少于2个月，可以并入下一个会计年度披露；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3、基金核算以人民币为记账本位币，以人民币元为记账单位；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4、会计制度执行国家有关会计制度；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5、本基金独立建账、独立核算；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6、基金管理人及基金托管人各自保留完整的会计账目、凭证并进行日常的会计核算，按照有关规定编制基金会计报表；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7、基金托管人每月与基金管理人就基金的会计核算、报表编制等进行核对并以书面方式确认。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Style w:val="a4"/>
          <w:rFonts w:hint="eastAsia"/>
          <w:sz w:val="21"/>
          <w:szCs w:val="21"/>
        </w:rPr>
        <w:t>二、基金的年度审计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1、基金管理人聘请与基金管理人、基金托管人相互独立的具有证券</w:t>
      </w:r>
      <w:r w:rsidR="002314EC" w:rsidRPr="002314EC">
        <w:rPr>
          <w:rFonts w:hint="eastAsia"/>
          <w:sz w:val="21"/>
          <w:szCs w:val="21"/>
        </w:rPr>
        <w:t>、期货相关业务资格的会计师事务所及其注册会计师对本基金的年度财务报表进行审计</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 xml:space="preserve">2、会计师事务所更换经办注册会计师，应事先征得基金管理人同意。 </w:t>
      </w:r>
    </w:p>
    <w:p w:rsidR="000A08E3" w:rsidRPr="000A08E3" w:rsidRDefault="000A08E3">
      <w:pPr>
        <w:pStyle w:val="a3"/>
        <w:spacing w:before="0" w:beforeAutospacing="0" w:after="0" w:afterAutospacing="0" w:line="360" w:lineRule="auto"/>
        <w:ind w:firstLine="420"/>
        <w:divId w:val="535050437"/>
        <w:rPr>
          <w:sz w:val="21"/>
          <w:szCs w:val="21"/>
        </w:rPr>
      </w:pPr>
      <w:r w:rsidRPr="000A08E3">
        <w:rPr>
          <w:rFonts w:hint="eastAsia"/>
          <w:sz w:val="21"/>
          <w:szCs w:val="21"/>
        </w:rPr>
        <w:t>3、基金管理人认为有充足理由更换会计师事务所，须通报基金托管人。</w:t>
      </w:r>
      <w:r w:rsidR="002314EC" w:rsidRPr="002314EC">
        <w:rPr>
          <w:rFonts w:hint="eastAsia"/>
          <w:sz w:val="21"/>
          <w:szCs w:val="21"/>
        </w:rPr>
        <w:t>更换会计师事务所需按照《信息披露办法》的有关规定在指定媒介公告。</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76" w:name="chapter_level1_19_67"/>
      <w:bookmarkStart w:id="177" w:name="_Toc26382920"/>
      <w:r w:rsidRPr="000A08E3">
        <w:rPr>
          <w:rFonts w:ascii="宋体" w:eastAsia="宋体" w:hAnsi="宋体" w:hint="eastAsia"/>
          <w:sz w:val="30"/>
        </w:rPr>
        <w:lastRenderedPageBreak/>
        <w:t>第十六部分  基金的信息披露</w:t>
      </w:r>
      <w:bookmarkEnd w:id="176"/>
      <w:bookmarkEnd w:id="177"/>
    </w:p>
    <w:p w:rsidR="000A08E3" w:rsidRPr="000A08E3" w:rsidRDefault="000A08E3">
      <w:pPr>
        <w:pStyle w:val="a3"/>
        <w:spacing w:before="0" w:beforeAutospacing="0" w:after="0" w:afterAutospacing="0" w:line="360" w:lineRule="auto"/>
        <w:ind w:firstLine="420"/>
        <w:divId w:val="1531070965"/>
        <w:rPr>
          <w:sz w:val="21"/>
          <w:szCs w:val="21"/>
        </w:rPr>
      </w:pPr>
      <w:bookmarkStart w:id="178" w:name="chapter_level1_19_67_section_1"/>
      <w:bookmarkEnd w:id="178"/>
      <w:r w:rsidRPr="000A08E3">
        <w:rPr>
          <w:rStyle w:val="a4"/>
          <w:rFonts w:hint="eastAsia"/>
          <w:sz w:val="21"/>
          <w:szCs w:val="21"/>
        </w:rPr>
        <w:t>一、本基金的信息披露应符合《基金法》、《运作办法》、《信息披露办法》、《基金合同》及其他有关规定。</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31070965"/>
        <w:rPr>
          <w:sz w:val="21"/>
          <w:szCs w:val="21"/>
        </w:rPr>
      </w:pPr>
      <w:r w:rsidRPr="000A08E3">
        <w:rPr>
          <w:rStyle w:val="a4"/>
          <w:rFonts w:hint="eastAsia"/>
          <w:sz w:val="21"/>
          <w:szCs w:val="21"/>
        </w:rPr>
        <w:t>二、信息披露义务人</w:t>
      </w:r>
      <w:r w:rsidR="00284027">
        <w:rPr>
          <w:sz w:val="21"/>
          <w:szCs w:val="21"/>
        </w:rPr>
        <w:t xml:space="preserve"> </w:t>
      </w:r>
      <w:r w:rsidRPr="000A08E3">
        <w:rPr>
          <w:rFonts w:hint="eastAsia"/>
          <w:sz w:val="21"/>
          <w:szCs w:val="21"/>
        </w:rPr>
        <w:t xml:space="preserve"> </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本基金信息披露义务人包括基金管理人、基金托管人、召集基金份额持有人大会的基金份额持有人等法律、行政法规和中国证监会规定的自然人、法人和非法人组织。</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本基金信息披露义务人应当在中国证监会规定时间内，将应予披露的基金信息通过中国证监会指定媒介披露，并保证基金投资者能够按照《基金合同》约定的时间和方式查阅或者复制公开披露的信息资料。</w:t>
      </w:r>
    </w:p>
    <w:p w:rsidR="005F7B8F" w:rsidRPr="005B6222" w:rsidRDefault="005F7B8F" w:rsidP="005B6222">
      <w:pPr>
        <w:pStyle w:val="a3"/>
        <w:spacing w:before="0" w:beforeAutospacing="0" w:after="0" w:afterAutospacing="0" w:line="360" w:lineRule="auto"/>
        <w:ind w:firstLine="420"/>
        <w:divId w:val="1724525355"/>
        <w:rPr>
          <w:b/>
          <w:sz w:val="21"/>
          <w:szCs w:val="21"/>
        </w:rPr>
      </w:pPr>
      <w:r w:rsidRPr="005B6222">
        <w:rPr>
          <w:rFonts w:hint="eastAsia"/>
          <w:b/>
          <w:sz w:val="21"/>
          <w:szCs w:val="21"/>
        </w:rPr>
        <w:t>三、本基金信息披露义务人承诺公开披露的基金信息，不得有下列行为：</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1、虚假记载、误导性陈述或者重大遗漏；</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2、对证券投资业绩进行预测；</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3、违规承诺收益或者承担损失；</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4、诋毁其他基金管理人、基金托管人或者基金销售机构；</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5、登载任何自然人、法人和非法人组织的祝贺性、恭维性或推荐性文字；</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6、中国证监会禁止的其他行为。</w:t>
      </w:r>
    </w:p>
    <w:p w:rsidR="005F7B8F" w:rsidRPr="005B6222" w:rsidRDefault="005F7B8F" w:rsidP="005B6222">
      <w:pPr>
        <w:pStyle w:val="a3"/>
        <w:spacing w:before="0" w:beforeAutospacing="0" w:after="0" w:afterAutospacing="0" w:line="360" w:lineRule="auto"/>
        <w:ind w:firstLine="420"/>
        <w:divId w:val="1724525355"/>
        <w:rPr>
          <w:b/>
          <w:sz w:val="21"/>
          <w:szCs w:val="21"/>
        </w:rPr>
      </w:pPr>
      <w:r w:rsidRPr="005B6222">
        <w:rPr>
          <w:rFonts w:hint="eastAsia"/>
          <w:b/>
          <w:sz w:val="21"/>
          <w:szCs w:val="21"/>
        </w:rPr>
        <w:t>四、本基金公开披露的信息应采用中文文本。同时采用外文文本的，基金信息披露义务人应保证不同文本的内容一致。不同文本之间发生歧义的，以中文文本为准。</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本基金公开披露的信息采用阿拉伯数字；除特别说明外，货币单位为人民币元。</w:t>
      </w:r>
    </w:p>
    <w:p w:rsidR="005F7B8F" w:rsidRPr="005B6222" w:rsidRDefault="005F7B8F" w:rsidP="005B6222">
      <w:pPr>
        <w:pStyle w:val="a3"/>
        <w:spacing w:before="0" w:beforeAutospacing="0" w:after="0" w:afterAutospacing="0" w:line="360" w:lineRule="auto"/>
        <w:ind w:firstLine="420"/>
        <w:divId w:val="1724525355"/>
        <w:rPr>
          <w:b/>
          <w:sz w:val="21"/>
          <w:szCs w:val="21"/>
        </w:rPr>
      </w:pPr>
      <w:r w:rsidRPr="005B6222">
        <w:rPr>
          <w:rFonts w:hint="eastAsia"/>
          <w:b/>
          <w:sz w:val="21"/>
          <w:szCs w:val="21"/>
        </w:rPr>
        <w:t>五、公开披露的基金信息</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公开披露的基金信息包括：</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（一）基金招募说明书、《基金合同》、基金托管协议、基金产品资料概要</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1、《基金合同》是界定《基金合同》当事人的各项权利、义务关系，明确基金份额持有人大会召开的规则及具体程序，说明基金产品的特性等涉及基金投资者重大利益的事项的法律文件。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lastRenderedPageBreak/>
        <w:t>2、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3、基金托管协议是界定基金托管人和基金管理人在基金财产保管及基金运作监督等活动中的权利、义务关系的法律文件。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5、基金募集申请经中国证监会注册后，基金管理人在基金份额发售的3日前，将基金招募说明书、《基金合同》摘要登载在指定媒介上；基金管理人、基金托管人应当将《基金合同》、基金托管协议登载在网站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（二）基金份额发售公告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基金管理人应当就基金份额发售的具体事宜编制基金份额发售公告，并在披露招募说明书的当日登载于指定媒介上。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（三）《基金合同》生效公告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基金管理人应当在收到中国证监会确认文件的次日在指定媒介上登载《基金合同》生效公告。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（四）基金净值信息</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《基金合同》生效后，在开始办理基金份额申购或者赎回前，基金管理人应当至少每周在指定网站披露一次各类基金份额净值和各类基金份额累计净值。</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在开始办理基金份额申购或者赎回后，基金管理人应当在不晚于每个开放日的次日，通过指定网站、基金销售机构网站或者营业网点披露开放日的各类基金份额净值和各类基金份额累计净值。</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基金管理人应当在不晚于半年度和年度最后一日的次日，在指定网站披露半年度和年度最后一日的各类基金份额净值和各类基金份额累计净值。</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lastRenderedPageBreak/>
        <w:t>（五）基金份额申购、赎回价格</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（六）基金定期报告，包括基金年度报告、基金中期报告和基金季度报告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基金管理人应当在上半年结束之日起两个月内，编制完成基金中期报告，将中期报告登载在指定网站上，并将中期报告提示性公告登载在指定报刊上。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基金管理人应当在季度结束之日起15个工作日内，编制完成基金季度报告，将季度报告登载在指定网站上，并将季度报告提示性公告登载在指定报刊上。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《基金合同》生效不足2个月的，基金管理人可以不编制当期季度报告、中期报告或者年度报告。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本基金持续运作过程中, 应当在基金年度报告和中期报告中披露基金组合资产情况及其流动性风险分析等。</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（七）临时报告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本基金发生重大事件，有关信息披露义务人应当在2日内编制临时报告书，并登载在指定报刊和指定网站上。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前款所称重大事件，是指可能对基金份额持有人权益或者基金份额的价格产生重大影响的下列事件：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1、基金份额持有人大会的召开及决定的事项；</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2、《基金合同》终止、基金清算；</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3、转换基金运作方式、基金合并；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4、更换基金管理人、基金托管人、基金份额登记机构，基金改聘会计师事务所；</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lastRenderedPageBreak/>
        <w:t>5、基金管理人委托基金服务机构代为办理基金的份额登记、核算、估值等事项，基金托管人委托基金服务机构代为办理基金的核算、估值、复核等事项；</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6、基金管理人、基金托管人的法定名称、住所发生变更；</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7、基金管理人变更持有百分之五以上股权的股东、基金管理人的实际控制人变更；</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8、基金募集期延长；</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9、基金管理人的高级管理人员、基金经理和基金托管人专门基金托管部门负责人发生变动；</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10、基金管理人的董事在最近12个月内变更超过百分之五十，基金管理人、基金托管人专门基金托管部门的主要业务人员在最近12个月内变动超过百分之三十；</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11、涉及基金财产、基金管理业务、基金托管业务的诉讼或仲裁；</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12、基金管理人或其高级管理人员、基金经理因基金管理业务相关行为受到重大行政处罚、刑事处罚，基金托管人或其专门基金托管部门负责人因基金托管业务相关行为受到重大行政处罚、刑事处罚；</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13、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14、基金收益分配事项；</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15、管理费、托管费、销售服务费、申购费、赎回费等费用计提标准、计提方式和费率发生变更；</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16、基金份额净值计价错误达基金份额净值百分之零点五；</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17、本基金开始办理申购、赎回；</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18、本基金发生巨额赎回并延期办理；</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19、本基金连续发生巨额赎回并暂停接受赎回申请或延缓支付赎回款项；</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20、本基金暂停接受申购、赎回申请或重新接受申购、赎回申请；</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21、变更标的指数；</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22、变更目标ETF；</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 xml:space="preserve">23、调整基金份额类别的设置； </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24、发生涉及基金申购、赎回事项调整或潜在影响投资者赎回等重大事项时；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25、基金信息披露义务人认为可能对基金份额持有人权益或者基金份额的价格产生重大影响的其他事项或中国证监会规定的其他事项。</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lastRenderedPageBreak/>
        <w:t>（八）澄清公告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（九）基金份额持有人大会决议</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基金份额持有人大会决定的事项，应当依法报中国证监会备案，并予以公告。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（十）清算报告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基金终止运作的，基金管理人应当依法组织清算组对基金财产进行清算并作出清算报告。清算组应当将清算报告登载在指定网站上，并将清算报告提示性公告登载在指定报刊上。</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（十一）基金投资股指期货的信息披露</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应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（十二）基金投资资产支持证券的信息披露</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本基金投资资产支持证券，基金管理人应在基金年报及中期报告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10名资产支持证券明细。</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（十三）中国证监会规定的其他信息。</w:t>
      </w:r>
    </w:p>
    <w:p w:rsidR="005F7B8F" w:rsidRPr="005B6222" w:rsidRDefault="005F7B8F" w:rsidP="005B6222">
      <w:pPr>
        <w:pStyle w:val="a3"/>
        <w:spacing w:before="0" w:beforeAutospacing="0" w:after="0" w:afterAutospacing="0" w:line="360" w:lineRule="auto"/>
        <w:ind w:firstLine="420"/>
        <w:divId w:val="1724525355"/>
        <w:rPr>
          <w:b/>
          <w:sz w:val="21"/>
          <w:szCs w:val="21"/>
        </w:rPr>
      </w:pPr>
      <w:r w:rsidRPr="005B6222">
        <w:rPr>
          <w:rFonts w:hint="eastAsia"/>
          <w:b/>
          <w:sz w:val="21"/>
          <w:szCs w:val="21"/>
        </w:rPr>
        <w:t>六、信息披露事务管理</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基金管理人、基金托管人应当建立健全信息披露管理制度，指定专门部门及高级管理人员负责管理信息披露事务。</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基金信息披露义务人公开披露基金信息，应当符合中国证监会相关基金信息披露内容与格式准则等法规的规定。</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lastRenderedPageBreak/>
        <w:t>基金管理人、基金托管人应当在指定报刊中选择一家报刊披露本基金信息。基金管理人、基金托管人应当向中国证监会基金电子披露网站报送拟披露的基金信息，并保证相关报送信息的真实、准确、完整、及时。</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5F7B8F" w:rsidRPr="005F7B8F" w:rsidRDefault="005F7B8F" w:rsidP="005B6222">
      <w:pPr>
        <w:pStyle w:val="a3"/>
        <w:spacing w:before="0" w:beforeAutospacing="0" w:after="0" w:afterAutospacing="0" w:line="360" w:lineRule="auto"/>
        <w:ind w:firstLine="420"/>
        <w:divId w:val="1724525355"/>
        <w:rPr>
          <w:sz w:val="21"/>
          <w:szCs w:val="21"/>
        </w:rPr>
      </w:pPr>
      <w:r w:rsidRPr="005F7B8F">
        <w:rPr>
          <w:rFonts w:hint="eastAsia"/>
          <w:sz w:val="21"/>
          <w:szCs w:val="21"/>
        </w:rPr>
        <w:t>为基金信息披露义务人公开披露的基金信息出具审计报告、法律意见书的专业机构，应当制作工作底稿，并将相关档案至少保存到《基金合同》终止后10     年。</w:t>
      </w:r>
    </w:p>
    <w:p w:rsidR="005F7B8F" w:rsidRPr="005B6222" w:rsidRDefault="005F7B8F" w:rsidP="005B6222">
      <w:pPr>
        <w:pStyle w:val="a3"/>
        <w:spacing w:before="0" w:beforeAutospacing="0" w:after="0" w:afterAutospacing="0" w:line="360" w:lineRule="auto"/>
        <w:ind w:firstLine="420"/>
        <w:divId w:val="1724525355"/>
        <w:rPr>
          <w:b/>
          <w:sz w:val="21"/>
          <w:szCs w:val="21"/>
        </w:rPr>
      </w:pPr>
      <w:r w:rsidRPr="005B6222">
        <w:rPr>
          <w:rFonts w:hint="eastAsia"/>
          <w:b/>
          <w:sz w:val="21"/>
          <w:szCs w:val="21"/>
        </w:rPr>
        <w:t>七、信息披露文件的存放与查阅</w:t>
      </w:r>
    </w:p>
    <w:p w:rsidR="000A08E3" w:rsidRPr="000A08E3" w:rsidRDefault="005F7B8F">
      <w:pPr>
        <w:pStyle w:val="a3"/>
        <w:spacing w:before="0" w:beforeAutospacing="0" w:after="0" w:afterAutospacing="0" w:line="360" w:lineRule="auto"/>
        <w:ind w:firstLine="420"/>
        <w:divId w:val="1724525355"/>
        <w:rPr>
          <w:sz w:val="21"/>
          <w:szCs w:val="21"/>
        </w:rPr>
      </w:pPr>
      <w:r w:rsidRPr="005F7B8F">
        <w:rPr>
          <w:rFonts w:hint="eastAsia"/>
          <w:sz w:val="21"/>
          <w:szCs w:val="21"/>
        </w:rPr>
        <w:t>依法必须披露的信息发布后，基金管理人、基金托管人应当按照相关法律法规规定将信息置备于各自住所，供社会公众查阅、复制。</w:t>
      </w:r>
      <w:bookmarkStart w:id="179" w:name="chapter_level1_19_67_section_1_end"/>
      <w:bookmarkStart w:id="180" w:name="chapter_level1_19_67_section_2"/>
      <w:bookmarkStart w:id="181" w:name="chapter_level1_19_67_section_2_end"/>
      <w:bookmarkStart w:id="182" w:name="chapter_level1_19_67_section_3"/>
      <w:bookmarkEnd w:id="179"/>
      <w:bookmarkEnd w:id="180"/>
      <w:bookmarkEnd w:id="181"/>
      <w:bookmarkEnd w:id="182"/>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83" w:name="chapter_level1_20_68"/>
      <w:bookmarkStart w:id="184" w:name="_Toc26382921"/>
      <w:r w:rsidRPr="000A08E3">
        <w:rPr>
          <w:rFonts w:ascii="宋体" w:eastAsia="宋体" w:hAnsi="宋体" w:hint="eastAsia"/>
          <w:sz w:val="30"/>
        </w:rPr>
        <w:lastRenderedPageBreak/>
        <w:t>第十七部分  风险揭示</w:t>
      </w:r>
      <w:bookmarkEnd w:id="183"/>
      <w:bookmarkEnd w:id="184"/>
    </w:p>
    <w:p w:rsidR="000A08E3" w:rsidRPr="000A08E3" w:rsidRDefault="000A08E3">
      <w:pPr>
        <w:pStyle w:val="a3"/>
        <w:spacing w:before="0" w:beforeAutospacing="0" w:after="0" w:afterAutospacing="0" w:line="360" w:lineRule="auto"/>
        <w:ind w:firstLine="420"/>
        <w:divId w:val="1618413758"/>
        <w:rPr>
          <w:sz w:val="21"/>
          <w:szCs w:val="21"/>
        </w:rPr>
      </w:pPr>
      <w:bookmarkStart w:id="185" w:name="chapter_level1_20_68_section_1"/>
      <w:bookmarkEnd w:id="185"/>
      <w:r w:rsidRPr="000A08E3">
        <w:rPr>
          <w:rStyle w:val="a4"/>
          <w:rFonts w:hint="eastAsia"/>
          <w:sz w:val="21"/>
          <w:szCs w:val="21"/>
        </w:rPr>
        <w:t>一、投资于本基金的主要风险</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市场风险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证券市场价格因受各种因素的影响而引起的波动，将使本基金资产面临潜在的风险。市场风险可以分为股票投资风险和债券投资风险。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股票投资风险主要包括：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国家货币政策、财政政策、产业政策等的变化对证券市场产生一定的影响，导致市场价格水平波动的风险。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宏观经济运行周期性波动，对股票市场的收益水平产生影响的风险。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（3）</w:t>
      </w:r>
      <w:r w:rsidR="00284027">
        <w:rPr>
          <w:sz w:val="21"/>
          <w:szCs w:val="21"/>
        </w:rPr>
        <w:t xml:space="preserve"> </w:t>
      </w:r>
      <w:r w:rsidRPr="000A08E3">
        <w:rPr>
          <w:rFonts w:hint="eastAsia"/>
          <w:sz w:val="21"/>
          <w:szCs w:val="21"/>
        </w:rPr>
        <w:t xml:space="preserve">上市公司的经营状况受多种因素影响，如市场、技术、竞争、管理、财务等都会导致公司盈利发生变化，从而导致股票价格变动的风险。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债券投资风险主要包括：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市场平均利率水平变化导致债券价格变化的风险。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债券市场不同期限、不同类属债券之间的利差变动导致相应期限和类属债券价格变化的风险。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（3）</w:t>
      </w:r>
      <w:r w:rsidR="00284027">
        <w:rPr>
          <w:sz w:val="21"/>
          <w:szCs w:val="21"/>
        </w:rPr>
        <w:t xml:space="preserve"> </w:t>
      </w:r>
      <w:r w:rsidRPr="000A08E3">
        <w:rPr>
          <w:rFonts w:hint="eastAsia"/>
          <w:sz w:val="21"/>
          <w:szCs w:val="21"/>
        </w:rPr>
        <w:t xml:space="preserve">债券发行人出现违约、拒绝支付到期本息，或由于债券发行人信用质量降低导致债券价格下跌的风险。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指数化投资风险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本基金的主要投资标的为被动跟踪标的指数的博时上证50交易型开放式指数证券投资基金。本基金的资产净值会随标的指数的波动而波动。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3、</w:t>
      </w:r>
      <w:r w:rsidR="00284027">
        <w:rPr>
          <w:sz w:val="21"/>
          <w:szCs w:val="21"/>
        </w:rPr>
        <w:t xml:space="preserve">  </w:t>
      </w:r>
      <w:r w:rsidRPr="000A08E3">
        <w:rPr>
          <w:rFonts w:hint="eastAsia"/>
          <w:sz w:val="21"/>
          <w:szCs w:val="21"/>
        </w:rPr>
        <w:t xml:space="preserve">跟踪偏离风险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以下因素可能导致基金投资组合的收益率无法紧密跟踪标的指数的收益率：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基金有投资成本、各种费用及税收，而指数编制不考虑费用和税收，这将导致基金收益率落后于标的指数收益率，产生负的跟踪偏离度。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指数成份股派发现金红利、新股市值配售收益等因素将导致基金收益率超过标的指数收益率，产生正的跟踪偏离度。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（3）</w:t>
      </w:r>
      <w:r w:rsidR="00284027">
        <w:rPr>
          <w:sz w:val="21"/>
          <w:szCs w:val="21"/>
        </w:rPr>
        <w:t xml:space="preserve"> </w:t>
      </w:r>
      <w:r w:rsidRPr="000A08E3">
        <w:rPr>
          <w:rFonts w:hint="eastAsia"/>
          <w:sz w:val="21"/>
          <w:szCs w:val="21"/>
        </w:rPr>
        <w:t xml:space="preserve">当标的指数调整成份股构成，或成份股公司发生配股、增发等行为导致该成份股在指数中的权重发生变化，或标的指数变更编制方法时，基金在相应的组合调整中可能暂时扩大与标的指数的构成差异，而且会产生相应的交易成本，导致跟踪偏离度和跟踪误差扩大。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lastRenderedPageBreak/>
        <w:t>（4）</w:t>
      </w:r>
      <w:r w:rsidR="00284027">
        <w:rPr>
          <w:sz w:val="21"/>
          <w:szCs w:val="21"/>
        </w:rPr>
        <w:t xml:space="preserve"> </w:t>
      </w:r>
      <w:r w:rsidRPr="000A08E3">
        <w:rPr>
          <w:rFonts w:hint="eastAsia"/>
          <w:sz w:val="21"/>
          <w:szCs w:val="21"/>
        </w:rPr>
        <w:t xml:space="preserve">投资人申购、赎回可能带来一定的现金流或变现需求，在遇到标的指数成份股停牌、摘牌或流动性较差等情形时，基金可能无法及时调整投资组合或承担冲击成本，导致跟踪偏离度和跟踪误差扩大。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（5）</w:t>
      </w:r>
      <w:r w:rsidR="00284027">
        <w:rPr>
          <w:sz w:val="21"/>
          <w:szCs w:val="21"/>
        </w:rPr>
        <w:t xml:space="preserve"> </w:t>
      </w:r>
      <w:r w:rsidRPr="000A08E3">
        <w:rPr>
          <w:rFonts w:hint="eastAsia"/>
          <w:sz w:val="21"/>
          <w:szCs w:val="21"/>
        </w:rPr>
        <w:t xml:space="preserve">在基金进行指数化投资过程中，基金管理人的管理能力，例如跟踪指数的水平、技术手段、买入卖出的时机选择等，都会对基金收益产生影响，从而影响基金跟踪偏离度和跟踪误差。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（6）</w:t>
      </w:r>
      <w:r w:rsidR="00284027">
        <w:rPr>
          <w:sz w:val="21"/>
          <w:szCs w:val="21"/>
        </w:rPr>
        <w:t xml:space="preserve"> </w:t>
      </w:r>
      <w:r w:rsidRPr="000A08E3">
        <w:rPr>
          <w:rFonts w:hint="eastAsia"/>
          <w:sz w:val="21"/>
          <w:szCs w:val="21"/>
        </w:rPr>
        <w:t xml:space="preserve">其他因素产生的偏离。如因缺乏卖空、对冲机制及其他工具造成的指数跟踪成本较高；因指数发布机构指数编制错误等产生的跟踪偏离度和跟踪误差。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4、</w:t>
      </w:r>
      <w:r w:rsidR="00284027">
        <w:rPr>
          <w:sz w:val="21"/>
          <w:szCs w:val="21"/>
        </w:rPr>
        <w:t xml:space="preserve">  </w:t>
      </w:r>
      <w:r w:rsidRPr="000A08E3">
        <w:rPr>
          <w:rFonts w:hint="eastAsia"/>
          <w:sz w:val="21"/>
          <w:szCs w:val="21"/>
        </w:rPr>
        <w:t xml:space="preserve">投资标的过分集中的风险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本基金对博时上证50交易型开放式指数证券投资基金的投资比例不低于本基金资产净值的90%，投资标的单一且过分集中有可能会给本基金带来风险。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5、</w:t>
      </w:r>
      <w:r w:rsidR="00284027">
        <w:rPr>
          <w:sz w:val="21"/>
          <w:szCs w:val="21"/>
        </w:rPr>
        <w:t xml:space="preserve">  </w:t>
      </w:r>
      <w:r w:rsidRPr="000A08E3">
        <w:rPr>
          <w:rFonts w:hint="eastAsia"/>
          <w:sz w:val="21"/>
          <w:szCs w:val="21"/>
        </w:rPr>
        <w:t xml:space="preserve">巨额申购赎回所隐含的风险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对博时上证50交易型开放式指数证券投资基金的投资比例不低于基金资产净值的90%。在巨额申购发生时，可能会出现在短期内对标的指数成份股的投资比例或者对博时上证50交易型开放式指数证券投资基金份额的投资比例被迫处于较低水平的状况，从而导致跟踪误差的大幅增加；在巨额赎回发生时，可能会出现在短期内被迫卖出大量的标的指数成份股或者被迫卖出大量的博时上证50交易型开放式指数证券投资基金份额，这种流动性买卖压力也可能导致跟踪误差的大幅增加。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6、</w:t>
      </w:r>
      <w:r w:rsidR="00284027">
        <w:rPr>
          <w:sz w:val="21"/>
          <w:szCs w:val="21"/>
        </w:rPr>
        <w:t xml:space="preserve">  </w:t>
      </w:r>
      <w:r w:rsidRPr="000A08E3">
        <w:rPr>
          <w:rFonts w:hint="eastAsia"/>
          <w:sz w:val="21"/>
          <w:szCs w:val="21"/>
        </w:rPr>
        <w:t xml:space="preserve">股指期货投资风险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本基金可投资于股指期货，股指期货作为一种金融衍生品，具备一些特有的风险点。投资股指期货主要存在以下风险：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（1）市场风险：是指由于股指期货价格变动而给投资者带来的风险。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（2）流动性风险：是指由于股指期货合约无法及时变现所带来的风险。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（3）基差风险：是指股指期货合约价格和指数价格之间的价格差的波动所造成的风险，以及不同股指期货合约价格之间价格差的波动所造成的期现价差风险。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（4）保证金风险：是指由于无法及时筹措资金满足建立或者维持股指期货合约头寸所要求的保证金而带来的风险。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（5）信用风险：是指期货经纪公司违约而产生损失的风险。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（6）操作风险：是指由于内部流程的不完善，业务人员出现差错或者疏漏，或者系统出现故障等原因造成损失的风险。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lastRenderedPageBreak/>
        <w:t>7、</w:t>
      </w:r>
      <w:r w:rsidR="00284027">
        <w:rPr>
          <w:sz w:val="21"/>
          <w:szCs w:val="21"/>
        </w:rPr>
        <w:t xml:space="preserve">  </w:t>
      </w:r>
      <w:r w:rsidRPr="000A08E3">
        <w:rPr>
          <w:rFonts w:hint="eastAsia"/>
          <w:sz w:val="21"/>
          <w:szCs w:val="21"/>
        </w:rPr>
        <w:t xml:space="preserve">流动性风险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在市场或个股流动性、或博时上证50交易型开放式指数证券投资基金的流动性不足的情况下，基金管理人可能无法迅速、低成本地调整基金投资组合，从而对基金收益造成不利影响。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基于开放式基金的特殊要求，本基金必须保持一定的现金比例以应对基金赎回，在管理现金头寸时，有可能存在现金不足的风险和现金过多带来的风险。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（1）基金申购、赎回安排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（2）拟投资市场、行业及资产的流动性风险评估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本基金投资对象是具有良好流动性的金融工具，包括目标ETF、国内依法发行上市的股票、权证、股指期货、债券、货币市场工具、资产支持证券等。投资交易均在依法设立的正规市场中进行，所投市场和资产方面的整体流动性较高。同时，本基金通过投资限制对各类资产的投资比例、期限、评级、杠杆和集中度进行了控制，并严格控制了主动投资于流动性受限资产的比例上限，综合评估在正常市场环境下本基金的流动性风险适中。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（3）巨额赎回情形下的流动性风险管理措施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（4）实施备用的流动性风险管理工具的情形、程序及对投资者的潜在影响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暂停基金估值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w:t>
      </w:r>
      <w:r w:rsidRPr="000A08E3">
        <w:rPr>
          <w:rFonts w:hint="eastAsia"/>
          <w:sz w:val="21"/>
          <w:szCs w:val="21"/>
        </w:rPr>
        <w:lastRenderedPageBreak/>
        <w:t xml:space="preserve">回申请、赎回款项支付等可能受到相应影响，基金管理人将严格依照法律法规及基金合同的约定进行操作，全面保障投资者的合法权益。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8、</w:t>
      </w:r>
      <w:r w:rsidR="00284027">
        <w:rPr>
          <w:sz w:val="21"/>
          <w:szCs w:val="21"/>
        </w:rPr>
        <w:t xml:space="preserve">  </w:t>
      </w:r>
      <w:r w:rsidRPr="000A08E3">
        <w:rPr>
          <w:rFonts w:hint="eastAsia"/>
          <w:sz w:val="21"/>
          <w:szCs w:val="21"/>
        </w:rPr>
        <w:t xml:space="preserve">操作或技术风险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相关当事人在业务各环节操作过程中，因内部控制存在缺陷或者人为因素造成操作失误或违反操作规程等引致的风险，例如越权违规交易、会计部门欺诈、交易错误、IT系统故障等风险。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在开放式基金的各种交易行为或者后台运作中，可能因为技术系统故障或者差错而影响交易的正常进行或者导致投资人的利益受到影响。这种技术风险可能来自基金管理公司、登记结算机构、销售机构、证券交易所等。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9、</w:t>
      </w:r>
      <w:r w:rsidR="00284027">
        <w:rPr>
          <w:sz w:val="21"/>
          <w:szCs w:val="21"/>
        </w:rPr>
        <w:t xml:space="preserve">  </w:t>
      </w:r>
      <w:r w:rsidRPr="000A08E3">
        <w:rPr>
          <w:rFonts w:hint="eastAsia"/>
          <w:sz w:val="21"/>
          <w:szCs w:val="21"/>
        </w:rPr>
        <w:t xml:space="preserve">政策变更风险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因相关法律法规或监管机构政策修改等基金管理人无法控制的因素的变化，使基金或投资人利益受到影响的风险。例如，监管机构基金估值政策的修改导致基金估值方法的调整而引起基金净值波动的风险；相关法规的修改导致基金投资范围变化，基金管理人为调整投资组合而引起基金净值波动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10、其他风险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战争、自然灾害等不可抗力因素的出现，将会严重影响证券市场的运行，可能导致基金资产的损失。金融市场危机、行业竞争、代理机构违约等超出基金管理人自身直接控制能力之外的风险，可能导致基金或者基金份额持有人利益受损。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Style w:val="a4"/>
          <w:rFonts w:hint="eastAsia"/>
          <w:sz w:val="21"/>
          <w:szCs w:val="21"/>
        </w:rPr>
        <w:t>二、声明</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 xml:space="preserve">1、本基金未经任何一级政府、机构及部门担保。基金投资人自愿投资于本基金，须自行承担投资风险。 </w:t>
      </w:r>
    </w:p>
    <w:p w:rsidR="000A08E3" w:rsidRPr="000A08E3" w:rsidRDefault="000A08E3">
      <w:pPr>
        <w:pStyle w:val="a3"/>
        <w:spacing w:before="0" w:beforeAutospacing="0" w:after="0" w:afterAutospacing="0" w:line="360" w:lineRule="auto"/>
        <w:ind w:firstLine="420"/>
        <w:divId w:val="1618413758"/>
        <w:rPr>
          <w:sz w:val="21"/>
          <w:szCs w:val="21"/>
        </w:rPr>
      </w:pPr>
      <w:r w:rsidRPr="000A08E3">
        <w:rPr>
          <w:rFonts w:hint="eastAsia"/>
          <w:sz w:val="21"/>
          <w:szCs w:val="21"/>
        </w:rPr>
        <w:t>2、除基金管理人直接办理本基金的销售外，本基金还通过其他基金销售机构销售，但是，基金资产并不是销售机构的存款或负债，也没有经基金销售机构担保收益，销售机构并</w:t>
      </w:r>
      <w:bookmarkStart w:id="186" w:name="chapter_level1_20_68_section_1_end"/>
      <w:bookmarkEnd w:id="186"/>
      <w:r w:rsidRPr="000A08E3">
        <w:rPr>
          <w:rFonts w:hint="eastAsia"/>
          <w:sz w:val="21"/>
          <w:szCs w:val="21"/>
        </w:rPr>
        <w:t xml:space="preserve">不能保证其收益或本金安全。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87" w:name="chapter_level1_21_69"/>
      <w:bookmarkStart w:id="188" w:name="_Toc26382922"/>
      <w:r w:rsidRPr="000A08E3">
        <w:rPr>
          <w:rFonts w:ascii="宋体" w:eastAsia="宋体" w:hAnsi="宋体" w:hint="eastAsia"/>
          <w:sz w:val="30"/>
        </w:rPr>
        <w:lastRenderedPageBreak/>
        <w:t>第十八部分  基金合同的变更、终止与基金财产的清算</w:t>
      </w:r>
      <w:bookmarkEnd w:id="187"/>
      <w:bookmarkEnd w:id="188"/>
    </w:p>
    <w:p w:rsidR="000A08E3" w:rsidRPr="000A08E3" w:rsidRDefault="000A08E3">
      <w:pPr>
        <w:pStyle w:val="a3"/>
        <w:spacing w:before="0" w:beforeAutospacing="0" w:after="0" w:afterAutospacing="0" w:line="360" w:lineRule="auto"/>
        <w:ind w:firstLine="420"/>
        <w:divId w:val="285161635"/>
        <w:rPr>
          <w:sz w:val="21"/>
          <w:szCs w:val="21"/>
        </w:rPr>
      </w:pPr>
      <w:bookmarkStart w:id="189" w:name="chapter_level1_21_69_section_1"/>
      <w:bookmarkEnd w:id="189"/>
      <w:r w:rsidRPr="000A08E3">
        <w:rPr>
          <w:rStyle w:val="a4"/>
          <w:rFonts w:hint="eastAsia"/>
          <w:sz w:val="21"/>
          <w:szCs w:val="21"/>
        </w:rPr>
        <w:t>一、《基金合同》的变更</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2、关于《基金合同》变更的基金份额持有人大会决议自生效后方可执行，</w:t>
      </w:r>
      <w:r w:rsidR="00B0739B" w:rsidRPr="00B0739B">
        <w:rPr>
          <w:rFonts w:hint="eastAsia"/>
          <w:sz w:val="21"/>
          <w:szCs w:val="21"/>
        </w:rPr>
        <w:t>并自决议生效后两日内在指定媒介公告。</w:t>
      </w:r>
      <w:bookmarkStart w:id="190" w:name="_GoBack"/>
      <w:bookmarkEnd w:id="190"/>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二、《基金合同》的终止事由</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有下列情形之一的，《基金合同》应当终止：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1、基金份额持有人大会决定终止的；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2、基金管理人、基金托管人职责终止，在6个月内没有新基金管理人、新基金托管人承接的；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3、《基金合同》约定的其他情形；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4、相关法律法规和中国证监会规定的其他情况。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三、基金财产的清算</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2、基金财产清算小组组成：基金财产清算小组成员由基金管理人、基金托管人、具有从事证券</w:t>
      </w:r>
      <w:r w:rsidR="00E778BE" w:rsidRPr="00E778BE">
        <w:rPr>
          <w:rFonts w:hint="eastAsia"/>
          <w:sz w:val="21"/>
          <w:szCs w:val="21"/>
        </w:rPr>
        <w:t>、期货</w:t>
      </w:r>
      <w:r w:rsidRPr="000A08E3">
        <w:rPr>
          <w:rFonts w:hint="eastAsia"/>
          <w:sz w:val="21"/>
          <w:szCs w:val="21"/>
        </w:rPr>
        <w:t xml:space="preserve">相关业务资格的注册会计师、律师以及中国证监会指定的人员组成。基金财产清算小组可以聘用必要的工作人员。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3、基金财产清算小组职责：基金财产清算小组负责基金财产的保管、清理、估价、变现和分配。基金财产清算小组可以依法进行必要的民事活动。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4、基金财产清算程序：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（1）《基金合同》终止情形出现时，由基金财产清算小组统一接管基金；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（2）对基金财产和债权债务进行清理和确认；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（3）对基金财产进行估值和变现；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（4）制作清算报告；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（5）聘请会计师事务所对清算报告进行外部审计，聘请律师事务所对清算报告出具法律意见书；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lastRenderedPageBreak/>
        <w:t xml:space="preserve">（6）将清算报告报中国证监会备案并公告；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（7）对基金剩余财产进行分配。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5、基金财产清算的期限为六个月。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四、清算费用</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清算费用是指基金财产清算小组在进行基金清算过程中发生的所有合理费用，清算费用由基金财产清算小组优先从基金财产中支付。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五、基金财产清算剩余资产的分配</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六、基金财产清算的公告</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Fonts w:hint="eastAsia"/>
          <w:sz w:val="21"/>
          <w:szCs w:val="21"/>
        </w:rPr>
        <w:t>清算过程中的有关重大事项须及时公告；基金财产清算报告经</w:t>
      </w:r>
      <w:r w:rsidR="00E778BE" w:rsidRPr="00E778BE">
        <w:rPr>
          <w:rFonts w:hint="eastAsia"/>
          <w:sz w:val="21"/>
          <w:szCs w:val="21"/>
        </w:rPr>
        <w:t>具有证券、期货相关业务资格的</w:t>
      </w:r>
      <w:r w:rsidRPr="000A08E3">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rsidR="000A08E3" w:rsidRPr="000A08E3" w:rsidRDefault="000A08E3">
      <w:pPr>
        <w:pStyle w:val="a3"/>
        <w:spacing w:before="0" w:beforeAutospacing="0" w:after="0" w:afterAutospacing="0" w:line="360" w:lineRule="auto"/>
        <w:ind w:firstLine="420"/>
        <w:divId w:val="285161635"/>
        <w:rPr>
          <w:sz w:val="21"/>
          <w:szCs w:val="21"/>
        </w:rPr>
      </w:pPr>
      <w:r w:rsidRPr="000A08E3">
        <w:rPr>
          <w:rStyle w:val="a4"/>
          <w:rFonts w:hint="eastAsia"/>
          <w:sz w:val="21"/>
          <w:szCs w:val="21"/>
        </w:rPr>
        <w:t>七、基金财产清算账册及文件的保存</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285161635"/>
        <w:rPr>
          <w:sz w:val="21"/>
          <w:szCs w:val="21"/>
        </w:rPr>
      </w:pPr>
      <w:bookmarkStart w:id="191" w:name="chapter_level1_21_69_section_1_end"/>
      <w:bookmarkEnd w:id="191"/>
      <w:r w:rsidRPr="000A08E3">
        <w:rPr>
          <w:rFonts w:hint="eastAsia"/>
          <w:sz w:val="21"/>
          <w:szCs w:val="21"/>
        </w:rPr>
        <w:t xml:space="preserve">基金财产清算账册及有关文件由基金托管人保存15年以上。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92" w:name="chapter_level1_22_71"/>
      <w:bookmarkStart w:id="193" w:name="_Toc26382923"/>
      <w:r w:rsidRPr="000A08E3">
        <w:rPr>
          <w:rFonts w:ascii="宋体" w:eastAsia="宋体" w:hAnsi="宋体" w:hint="eastAsia"/>
          <w:sz w:val="30"/>
        </w:rPr>
        <w:lastRenderedPageBreak/>
        <w:t>第十九部分  基金合同的内容摘要</w:t>
      </w:r>
      <w:bookmarkEnd w:id="192"/>
      <w:bookmarkEnd w:id="193"/>
    </w:p>
    <w:p w:rsidR="000A08E3" w:rsidRPr="000A08E3" w:rsidRDefault="000A08E3">
      <w:pPr>
        <w:pStyle w:val="a3"/>
        <w:spacing w:before="0" w:beforeAutospacing="0" w:after="0" w:afterAutospacing="0" w:line="360" w:lineRule="auto"/>
        <w:ind w:firstLine="420"/>
        <w:divId w:val="800420810"/>
        <w:rPr>
          <w:sz w:val="21"/>
          <w:szCs w:val="21"/>
        </w:rPr>
      </w:pPr>
      <w:bookmarkStart w:id="194" w:name="chapter_level1_22_71_section_1"/>
      <w:bookmarkEnd w:id="194"/>
      <w:r w:rsidRPr="000A08E3">
        <w:rPr>
          <w:rStyle w:val="a4"/>
          <w:rFonts w:hint="eastAsia"/>
          <w:sz w:val="21"/>
          <w:szCs w:val="21"/>
        </w:rPr>
        <w:t>一、基金份额持有人、基金管理人和基金托管人的权利、义务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（一）基金份额持有人的权利与义务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同一类别每份基金份额具有同等的合法权益。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1、根据《基金法》、《运作办法》及其他有关规定，基金份额持有人的权利包括但不限于：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（1）分享基金财产收益；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（2）参与分配清算后的剩余基金财产；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（3）依法申请赎回其持有的基金份额；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（4）按照规定要求召开基金份额持有人大会或者召集基金份额持有人大会；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（5）出席或者委派代表出席本基金或目标ETF的基金份额持有人大会，对本基金或目标ETF的基金份额持有人大会审议事项行使表决权；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（6）查阅或者复制公开披露的基金信息资料；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（7）监督基金管理人的投资运作；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（8）对基金管理人、基金托管人、基金服务机构损害其合法权益的行为依法提起诉讼或仲裁；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（9）法律法规及中国证监会规定的和《基金合同》约定的其他权利。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2、根据《基金法》、《运作办法》及其他有关规定，基金份额持有人的义务包括但不限于：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（1）认真阅读并遵守《基金合同》、招募说明书等信息披露文件；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（2）了解所投资基金产品，了解自身风险承受能力，自主判断基金的投资价值，自主做出投资决策，自行承担投资风险；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（3）关注基金信息披露，及时行使权利和履行义务；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（4）缴纳基金认购、申购款项及法律法规和《基金合同》所规定的费用；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（5）在其持有的基金份额范围内，承担基金亏损或者《基金合同》终止的有限责任；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（6）不从事任何有损基金及其他《基金合同》当事人合法权益的活动；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（7）执行生效的基金份额持有人大会的决议；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（8）返还在基金交易过程中因任何原因获得的不当得利；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（9）法律法规及中国证监会规定的和《基金合同》约定的其他义务。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（二）基金管理人的权利与义务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1、根据《基金法》、《运作办法》及其他有关规定，基金管理人的权利包括但不限于：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（1）依法募集资金；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（2）自《基金合同》生效之日起，根据法律法规和《基金合同》独立运用并管理基金财产；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（3）依照《基金合同》收取基金管理费以及法律法规规定或中国证监会批准的其他费用；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（4）销售基金份额；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（5）按照规定召集基金份额持有人大会；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（7）在基金托管人更换时，提名新的基金托管人；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（8）选择、更换基金销售机构，对基金销售机构的相关行为进行监督和处理；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（9）担任或委托其他符合条件的机构担任基金登记机构办理基金登记业务并获得《基金合同》规定的费用；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（10）依据《基金合同》及有关法律规定决定基金收益的分配方案；</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（11）在《基金合同》约定的范围内，拒绝或暂停受理申购与赎回申请；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（12）依照法律法规为基金的利益对被投资公司行使股东权利，为基金的利益行使因基金财产投资于证券所产生的权利；</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（13）在法律法规允许的前提下，为基金的利益依法为基金进行融资、融券；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（14）以基金管理人的名义，代表基金份额持有人的利益行使诉讼权利或者实施其他法律行为；</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（15）选择、更换律师事务所、会计师事务所、证券经纪商、期货经纪机构或其他为基金提供服务的外部机构；</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（16）在符合有关法律、法规的前提下，制订和调整有关基金认购、申购、赎回、转换和非交易过户等业务规则；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（17）法律法规及中国证监会规定的和《基金合同》约定的其他权利。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2、根据《基金法》、《运作办法》及其他有关规定，基金管理人的义务包括但不限于：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（1）依法募集资金，办理或者委托经中国证监会认定的其他机构代为办理基金份额的发售、申购、赎回和登记事宜；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（2）办理基金备案手续；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（3）自《基金合同》生效之日起，以诚实信用、谨慎勤勉的原则管理和运用基金财产；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（4）配备足够的具有专业资格的人员进行基金投资分析、决策，以专业化的经营方式管理和运作基金财产；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（6）除依据《基金法》、《基金合同》及其他有关规定外，不得利用基金财产为自己及任何第三人谋取利益，不得委托第三人运作基金财产；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（7）依法接受基金托管人的监督；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（8）采取适当合理的措施使计算基金份额认购、申购、赎回和注销价格的方法符合《基金合同》等法律文件的规定，按有关规定计算并公告基金净值</w:t>
      </w:r>
      <w:r w:rsidR="004F1DC3" w:rsidRPr="004F1DC3">
        <w:rPr>
          <w:rFonts w:hint="eastAsia"/>
          <w:sz w:val="21"/>
          <w:szCs w:val="21"/>
        </w:rPr>
        <w:t>信息</w:t>
      </w:r>
      <w:r w:rsidRPr="000A08E3">
        <w:rPr>
          <w:rFonts w:hint="eastAsia"/>
          <w:sz w:val="21"/>
          <w:szCs w:val="21"/>
        </w:rPr>
        <w:t xml:space="preserve">，确定基金份额申购、赎回的价格；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（9）进行基金会计核算并编制基金财务会计报告；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（10）</w:t>
      </w:r>
      <w:r w:rsidR="004F1DC3" w:rsidRPr="004F1DC3">
        <w:rPr>
          <w:rFonts w:hint="eastAsia"/>
          <w:sz w:val="21"/>
          <w:szCs w:val="21"/>
        </w:rPr>
        <w:t>编制季度报告、中期报告和年度报告</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（11）严格按照《基金法》、《基金合同》及其他有关规定，履行信息披露及报告义务；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（12）保守基金商业秘密，不泄露基金投资计划、投资意向等。除《基金法》、《基金合同》及其他有关规定另有规定外，在基金信息公开披露前应予保密，不向他人泄露；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（13）按《基金合同》的约定确定基金收益分配方案，及时向基金份额持有人分配基金收益；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（14）按规定受理申购与赎回申请，及时、足额支付赎回款项；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（15）依据《基金法》、《基金合同》及其他有关规定召集基金份额持有人大会或配合基金托管人、基金份额持有人依法召集基金份额持有人大会；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（16）按规定保存基金财产管理业务活动的会计账册、报表、记录和其他相关资料15年以上；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（18）组织并参加基金财产清算小组，参与基金财产的保管、清理、估价、变现和分配；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（19）面临解散、依法被撤销或者被依法宣告破产时，及时报告中国证监会并通知基金托管人；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（20）因违反《基金合同》导致基金财产的损失或损害基金份额持有人合法权益时，应当承担赔偿责任，其赔偿责任不因其退任而免除；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（22）当基金管理人将其义务委托第三方处理时，应当对第三方处理有关基金事务的行为承担责任；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（23）以基金管理人名义，代表基金份额持有人利益行使诉讼权利或实施其他法律行为；</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（24）基金管理人在募集期间未能达到基金的备案条件，《基金合同》不能生效，基金管理人承担全部募集费用，将已募集资金并加计银行同期活期存款利息在基金募集期结束后30日内退还基金认购人；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（25）执行生效的基金份额持有人大会的决议；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（26）建立并保存基金份额持有人名册；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（27）法律法规及中国证监会规定的和《基金合同》约定的其他义务。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（三）基金托管人的权利与义务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1、根据《基金法》、《运作办法》及其他有关规定，基金托管人的权利包括但不限于：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（1）自《基金合同》生效之日起，依法律法规和《基金合同》的规定安全保管基金财产；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（2）依《基金合同》约定获得基金托管费以及法律法规规定或监管部门批准的其他费用；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（4）根据相关市场规则，为基金开设资金账户、证券账户、期货账户等投资所需账户，为基金办理证券交易资金清算；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（5）提议召开或召集基金份额持有人大会；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（6）在基金管理人更换时，提名新的基金管理人；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（7）法律法规及中国证监会规定的和《基金合同》约定的其他权利。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2、根据《基金法》、《运作办法》及其他有关规定，基金托管人的义务包括但不限于：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（1）以诚实信用、勤勉尽责的原则持有并安全保管基金财产；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（2）设立专门的基金托管部门，具有符合要求的营业场所，配备足够的、合格的熟悉基金托管业务的专职人员，负责基金财产托管事宜；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（4）除依据《基金法》、《基金合同》及其他有关规定外，不得利用基金财产为自己及任何第三人谋取利益，不得委托第三人托管基金财产；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（5）保管由基金管理人代表基金签订的与基金有关的重大合同及有关凭证；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（6）按规定开设基金财产的资金账户、证券账户、期货账户等投资所需账户，按照《基金合同》的约定，根据基金管理人的投资指令，及时办理清算、交割事宜；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（7）保守基金商业秘密，除《基金法》、《基金合同》及其他有关规定另有规定外，在基金信息公开披露前予以保密，不得向他人泄露；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（8）复核、审查基金管理人计算的基金资产净值、</w:t>
      </w:r>
      <w:r w:rsidR="005F7B8F" w:rsidRPr="005F7B8F">
        <w:rPr>
          <w:rFonts w:hint="eastAsia"/>
          <w:sz w:val="21"/>
          <w:szCs w:val="21"/>
        </w:rPr>
        <w:t>基金份额净值、</w:t>
      </w:r>
      <w:r w:rsidRPr="000A08E3">
        <w:rPr>
          <w:rFonts w:hint="eastAsia"/>
          <w:sz w:val="21"/>
          <w:szCs w:val="21"/>
        </w:rPr>
        <w:t xml:space="preserve">基金份额申购、赎回价格；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（9）办理与基金托管业务活动有关的信息披露事项；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（10）</w:t>
      </w:r>
      <w:r w:rsidR="005F7B8F" w:rsidRPr="005F7B8F">
        <w:rPr>
          <w:rFonts w:hint="eastAsia"/>
          <w:sz w:val="21"/>
          <w:szCs w:val="21"/>
        </w:rPr>
        <w:t>对基金财务会计报告、季度报告、中期报告和年度报告出具意见，</w:t>
      </w:r>
      <w:r w:rsidRPr="000A08E3">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（11）保存基金托管业务活动的记录、账册、报表和其他相关资料15年以上；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（12）建立并保存基金份额持有人名册；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（13）按规定制作相关账册并与基金管理人核对；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（14）依据基金管理人的指令或有关规定向基金份额持有人支付基金收益和赎回款项；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（15）依据《基金法》、《基金合同》及其他有关规定，召集基金份额持有人大会或配合基金管理人、基金份额持有人依法召集基金份额持有人大会；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（16）按照法律法规和《基金合同》的规定监督基金管理人的投资运作；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（17）参加基金财产清算小组，参与基金财产的保管、清理、估价、变现和分配；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（18）面临解散、依法被撤销或者被依法宣告破产时，及时报告中国证监会和银行监管机构，并通知基金管理人；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（19）因违反《基金合同》导致基金财产损失时，应承担赔偿责任，其赔偿责任不因其退任而免除；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（21）执行生效的基金份额持有人大会的决议；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（22）法律法规及中国证监会规定的和《基金合同》约定的其他义务。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Style w:val="a4"/>
          <w:rFonts w:hint="eastAsia"/>
          <w:sz w:val="21"/>
          <w:szCs w:val="21"/>
        </w:rPr>
        <w:t>二、基金份额持有人大会召集、议事及表决的程序和规则</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（一）基金份额持有人大会由基金份额持有人组成，基金份额持有人的合法授权代表有权代表基金份额持有人出席会议并表决。基金份额持有人持有的每一基金份额拥有平等的投票权。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鉴于本基金是目标ETF</w:t>
      </w:r>
      <w:r w:rsidR="00284027">
        <w:rPr>
          <w:sz w:val="21"/>
          <w:szCs w:val="21"/>
        </w:rPr>
        <w:t xml:space="preserve"> </w:t>
      </w:r>
      <w:r w:rsidRPr="000A08E3">
        <w:rPr>
          <w:rFonts w:hint="eastAsia"/>
          <w:sz w:val="21"/>
          <w:szCs w:val="21"/>
        </w:rPr>
        <w:t>的联接基金，本基金的基金份额持有人可以凭所持有的本基金份额出席或者委派代表出席目标ETF</w:t>
      </w:r>
      <w:r w:rsidR="00284027">
        <w:rPr>
          <w:sz w:val="21"/>
          <w:szCs w:val="21"/>
        </w:rPr>
        <w:t xml:space="preserve"> </w:t>
      </w:r>
      <w:r w:rsidRPr="000A08E3">
        <w:rPr>
          <w:rFonts w:hint="eastAsia"/>
          <w:sz w:val="21"/>
          <w:szCs w:val="21"/>
        </w:rPr>
        <w:t>的基金份额持有人大会并参与表决，其持有的享有表决权的基金份额数和表决票数为：在目标ETF</w:t>
      </w:r>
      <w:r w:rsidR="00284027">
        <w:rPr>
          <w:sz w:val="21"/>
          <w:szCs w:val="21"/>
        </w:rPr>
        <w:t xml:space="preserve"> </w:t>
      </w:r>
      <w:r w:rsidRPr="000A08E3">
        <w:rPr>
          <w:rFonts w:hint="eastAsia"/>
          <w:sz w:val="21"/>
          <w:szCs w:val="21"/>
        </w:rPr>
        <w:t>基金份额持有人大会的权益登记日，本基金持有目标ETF</w:t>
      </w:r>
      <w:r w:rsidR="00284027">
        <w:rPr>
          <w:sz w:val="21"/>
          <w:szCs w:val="21"/>
        </w:rPr>
        <w:t xml:space="preserve"> </w:t>
      </w:r>
      <w:r w:rsidRPr="000A08E3">
        <w:rPr>
          <w:rFonts w:hint="eastAsia"/>
          <w:sz w:val="21"/>
          <w:szCs w:val="21"/>
        </w:rPr>
        <w:t xml:space="preserve">份额的总数乘以该基金份额持有人所持有的本基金份额占本基金总份额的比例。计算结果按照四舍五入的方法，保留到整数位。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本基金的基金管理人不应以本基金的名义代表本基金的全体基金份额持有人以目标ETF的基金份额持有人的身份行使目标ETF的基金份额持有人大会的表决权，但可接受本基金的特定基金份额持有人的委托以本基金的基金份额持有人代理人的身份出席目标ETF的基金份额持有人大会并参与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本基金的基金管理人代表本基金的基金份额持有人提议召开或召集目标ETF的基金份额持有人大会的，须先遵照本基金基金合同的约定召开本基金的基金份额持有人大会；本基</w:t>
      </w:r>
      <w:r w:rsidRPr="000A08E3">
        <w:rPr>
          <w:rFonts w:hint="eastAsia"/>
          <w:sz w:val="21"/>
          <w:szCs w:val="21"/>
        </w:rPr>
        <w:lastRenderedPageBreak/>
        <w:t xml:space="preserve">金的基金份额持有人大会决定提议召开或召集目标ETF的基金份额持有人大会的，由本基金的基金管理人代表本基金的基金份额持有人提议召开或召集目标ETF的基金份额持有人大会。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本基金份额持有人大会不设日常机构。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（二）召开事由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1、当出现或需要决定下列事由之一的，应当召开基金份额持有人大会：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（1）终止《基金合同》；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（2）更换基金管理人；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（3）更换基金托管人；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（4）转换基金运作方式；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（5）调整基金管理人、基金托管人的报酬标准或提高销售服务费，但根据法律法规的要求调整该等报酬标准或提高销售服务费的除外；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（6）变更基金类别；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（7）本基金与其他基金的合并；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（8）变更基金投资目标、范围或策略（法律法规和中国证监会另有规定的除外）；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（9）变更基金份额持有人大会程序；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（10）基金管理人或基金托管人要求召开基金份额持有人大会；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（12）对基金当事人权利和义务产生重大影响的其他事项；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（13）法律法规、《基金合同》或中国证监会规定的其他应当召开基金份额持有人大会的事项。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2、以下情况可由基金管理人和基金托管人协商后修改，不需召开基金份额持有人大会：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（1）调低除基金管理费、基金托管费以外的其他费用；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（2）法律法规要求增加的基金费用的收取；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（3）在法律法规和《基金合同》规定的范围内且对基金份额持有人利益无实质性不利影响的前提下调整本基金的申购费率、调低赎回费率、销售服务费；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（4）因相应的法律法规发生变动而应当对《基金合同》进行修改；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（5）对《基金合同》的修改对基金份额持有人利益无实质性不利影响或修改不涉及《基金合同》当事人权利义务关系发生变化；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（6）按照法律法规和《基金合同》规定不需召开基金份额持有人大会的以外的其他情形。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（三）会议召集人及召集方式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1、除法律法规规定或《基金合同》另有约定外，基金份额持有人大会由基金管理人召集。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2、基金管理人未按规定召集或不能召集时，由基金托管人召集。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w:t>
      </w:r>
      <w:r w:rsidR="00284027">
        <w:rPr>
          <w:sz w:val="21"/>
          <w:szCs w:val="21"/>
        </w:rPr>
        <w:t xml:space="preserve">       </w:t>
      </w:r>
      <w:r w:rsidRPr="000A08E3">
        <w:rPr>
          <w:rFonts w:hint="eastAsia"/>
          <w:sz w:val="21"/>
          <w:szCs w:val="21"/>
        </w:rPr>
        <w:t xml:space="preserve">60日内召开；基金管理人决定不召集，基金托管人仍认为有必要召开的，应当由基金托管人自行召集，并自出具书面决定之日起60日内召开并告知基金管理人，基金管理人应当配合。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6、基金份额持有人会议的召集人负责选择确定开会时间、地点、方式和权益登记日。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（四）召开基金份额持有人大会的通知时间、通知内容、通知方式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1、召开基金份额持有人大会，召集人应于会议召开前30日，在指定媒介公告。基金份额持有人大会通知应至少载明以下内容：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（1）会议召开的时间、地点和会议形式；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（2）会议拟审议的事项、议事程序和表决方式；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（3）有权出席基金份额持有人大会的基金份额持有人的权益登记日；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（4）授权委托证明的内容要求（包括但不限于代理人身份，代理权限和代理有效期限等）、送达时间和地点；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（5）会务常设联系人姓名及联系电话；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（6）出席会议者必须准备的文件和必须履行的手续；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（7）召集人需要通知的其他事项。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（五）基金份额持有人出席会议的方式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基金份额持有人大会可通过现场开会方式、通讯开会方式等法律法规或监管机构允许的其他方式召开，会议的召开方式由会议召集人确定。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（2）经核对，汇总到会者出示的在权益登记日持有基金份额的凭证显示，有效的基金份额不少于本基金在权益登记日基金总份额的二分之一（含二分之一）。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参加基金份额持有人大会的基金份额持有人的基金份额低于上述规定比例的，召集人可以在原公告的基金份额持有人大会召开时间的3个月以后、6个月以内，就原定审议事项重</w:t>
      </w:r>
      <w:r w:rsidRPr="000A08E3">
        <w:rPr>
          <w:rFonts w:hint="eastAsia"/>
          <w:sz w:val="21"/>
          <w:szCs w:val="21"/>
        </w:rPr>
        <w:lastRenderedPageBreak/>
        <w:t xml:space="preserve">新召集基金份额持有人大会。重新召集的基金份额持有人大会，应当有代表三分之一以上（含三分之一）基金份额的基金份额持有人或其代理人参加，方可召开。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在同时符合以下条件时，通讯开会的方式视为有效：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（1）会议召集人按《基金合同》约定公布会议通知后，在2个工作日内连续公布相关提示性公告；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（3）本人直接出具书面意见或授权他人代表出具书面意见的，基金份额持有人所持有的基金份额不小于在权益登记日基金总份额的二分之一（含二分之一）；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含三分之一）以上基金份额的持有人直接出具书面意见或授权他人代表出具书面意见；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在法律法规或监管机构允许的情况下，经会议通知载明，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（六）议事内容与程序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1、议事内容及提案权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基金份额持有人大会的召集人发出召集会议的通知后，对原有提案的修改应当在基金份额持有人大会召开前及时公告。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基金份额持有人大会不得对未事先公告的议事内容进行表决。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2、议事程序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（1）现场开会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在现场开会的方式下，首先由大会主持人按照下列第（八）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（2）通讯开会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（七）表决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基金份额持有人所持每份基金份额有一票表决权。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基金份额持有人大会决议分为一般决议和特别决议：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一般决议，一般决议须经参加大会的基金份额持有人或其代理人所持表决权的二分之一以上（含二分之一）通过方为有效；除下列第2项所规定的须以特别决议通过事项以外的其他事项均以一般决议的方式通过。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基金份额持有人大会采取记名方式进行投票表决。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基金份额持有人大会的各项提案或同一项提案内并列的各项议题应当分开审议、逐项表决。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（八）计票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1、现场开会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（2）监票人应当在基金份额持有人表决后立即进行清点并由大会主持人当场公布计票结果。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（4）计票过程应由公证机关予以公证,基金管理人或基金托管人拒不出席大会的，不影响计票的效力。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2、通讯开会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（九）生效与公告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基金份额持有人大会的决议，召集人应当自通过之日起5日内报中国证监会备案。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基金份额持有人大会的决议自表决通过之日起生效。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基金份额持有人大会决议自生效之日起</w:t>
      </w:r>
      <w:r w:rsidR="00D52014">
        <w:rPr>
          <w:rFonts w:hint="eastAsia"/>
          <w:sz w:val="21"/>
          <w:szCs w:val="21"/>
        </w:rPr>
        <w:t>按规定</w:t>
      </w:r>
      <w:r w:rsidRPr="000A08E3">
        <w:rPr>
          <w:rFonts w:hint="eastAsia"/>
          <w:sz w:val="21"/>
          <w:szCs w:val="21"/>
        </w:rPr>
        <w:t xml:space="preserve">在指定媒介上公告。如果采用通讯方式进行表决，在公告基金份额持有人大会决议时，必须将公证书全文、公证机构、公证员姓名等一同公告。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十）本部分关于基金份额持有人大会召开事由、召开条件、议事程序、表决条件等规定，凡与将来颁布的其他涉及基金份额持有人大会规定的法律法规不一致的，基金管理人提前公告后，可直接对本部分内容进行修改和调整，无需召开基金份额持有人大会审议。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Style w:val="a4"/>
          <w:rFonts w:hint="eastAsia"/>
          <w:sz w:val="21"/>
          <w:szCs w:val="21"/>
        </w:rPr>
        <w:t>三、基金合同解除和终止的事由、程序及基金财产清算方式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（一）《基金合同》的变更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2、关于《基金合同》变更的基金份额持有人大会决议自生效后方可执行，并自决议生效后</w:t>
      </w:r>
      <w:r w:rsidR="00D52014" w:rsidRPr="00D52014">
        <w:rPr>
          <w:rFonts w:hint="eastAsia"/>
          <w:sz w:val="21"/>
          <w:szCs w:val="21"/>
        </w:rPr>
        <w:t>按规定</w:t>
      </w:r>
      <w:r w:rsidRPr="000A08E3">
        <w:rPr>
          <w:rFonts w:hint="eastAsia"/>
          <w:sz w:val="21"/>
          <w:szCs w:val="21"/>
        </w:rPr>
        <w:t xml:space="preserve">在指定媒介公告。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（二）《基金合同》的终止事由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有下列情形之一的，《基金合同》应当终止：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1、基金份额持有人大会决定终止的；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2、基金管理人、基金托管人职责终止，在6个月内没有新基金管理人、新基金托管人承接的；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3、《基金合同》约定的其他情形；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4、相关法律法规和中国证监会规定的其他情况。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（三）基金财产的清算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2、基金财产清算小组组成：基金财产清算小组成员由基金管理人、基金托管人、具有从事证券</w:t>
      </w:r>
      <w:r w:rsidR="00D52014" w:rsidRPr="00D52014">
        <w:rPr>
          <w:rFonts w:hint="eastAsia"/>
          <w:sz w:val="21"/>
          <w:szCs w:val="21"/>
        </w:rPr>
        <w:t>、期货</w:t>
      </w:r>
      <w:r w:rsidRPr="000A08E3">
        <w:rPr>
          <w:rFonts w:hint="eastAsia"/>
          <w:sz w:val="21"/>
          <w:szCs w:val="21"/>
        </w:rPr>
        <w:t xml:space="preserve">相关业务资格的注册会计师、律师以及中国证监会指定的人员组成。基金财产清算小组可以聘用必要的工作人员。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3、基金财产清算小组职责：基金财产清算小组负责基金财产的保管、清理、估价、变现和分配。基金财产清算小组可以依法进行必要的民事活动。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4、基金财产清算程序：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（1）《基金合同》终止情形出现时，由基金财产清算小组统一接管基金；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（2）对基金财产和债权债务进行清理和确认；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（3）对基金财产进行估值和变现；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（4）制作清算报告；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（5）聘请会计师事务所对清算报告进行外部审计，聘请律师事务所对清算报告出具法律意见书；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（6）将清算报告报中国证监会备案并公告；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（7）对基金剩余财产进行分配。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5、基金财产清算的期限为六个月。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（四）清算费用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清算费用是指基金财产清算小组在进行基金清算过程中发生的所有合理费用，清算费用由基金财产清算小组优先从基金财产中支付。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（五）基金财产清算剩余资产的分配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（六）基金财产清算的公告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清算过程中的有关重大事项须及时公告；基金财产清算报告经</w:t>
      </w:r>
      <w:r w:rsidR="00D52014" w:rsidRPr="00D52014">
        <w:rPr>
          <w:rFonts w:hint="eastAsia"/>
          <w:sz w:val="21"/>
          <w:szCs w:val="21"/>
        </w:rPr>
        <w:t>具有证券、期货相关业务资格的</w:t>
      </w:r>
      <w:r w:rsidRPr="000A08E3">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（七）基金财产清算账册及文件的保存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基金财产清算账册及有关文件由基金托管人保存15年以上。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Style w:val="a4"/>
          <w:rFonts w:hint="eastAsia"/>
          <w:sz w:val="21"/>
          <w:szCs w:val="21"/>
        </w:rPr>
        <w:t>四、争议解决方式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各方当事人同意，因《基金合同》而产生的或与《基金合同》有关的一切争议，如经友好协商未能解决的，任何一方均有权将争议提交中国国际经济贸易仲裁委员会，根据该会当时有效的仲裁规则进行仲裁，仲裁地点为北京市，仲裁裁决是终局性的并对各方当事人具有约束力，仲裁费由败诉方承担。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lastRenderedPageBreak/>
        <w:t xml:space="preserve">争议处理期间，基金合同当事人应恪守各自的职责，继续忠实、勤勉、尽责地履行基金合同规定的义务，维护基金份额持有人的合法权益。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 xml:space="preserve">《基金合同》受中国法律管辖。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Style w:val="a4"/>
          <w:rFonts w:hint="eastAsia"/>
          <w:sz w:val="21"/>
          <w:szCs w:val="21"/>
        </w:rPr>
        <w:t>五、基金合同存放地和投资者取得基金合同的方式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800420810"/>
        <w:rPr>
          <w:sz w:val="21"/>
          <w:szCs w:val="21"/>
        </w:rPr>
      </w:pPr>
      <w:r w:rsidRPr="000A08E3">
        <w:rPr>
          <w:rFonts w:hint="eastAsia"/>
          <w:sz w:val="21"/>
          <w:szCs w:val="21"/>
        </w:rPr>
        <w:t>《基金合同》可印制成册，供投资者在基金管理人、基金托管人、销售机构的办公场所</w:t>
      </w:r>
      <w:bookmarkStart w:id="195" w:name="chapter_level1_22_71_section_1_end"/>
      <w:bookmarkEnd w:id="195"/>
      <w:r w:rsidRPr="000A08E3">
        <w:rPr>
          <w:rFonts w:hint="eastAsia"/>
          <w:sz w:val="21"/>
          <w:szCs w:val="21"/>
        </w:rPr>
        <w:t xml:space="preserve">和营业场所查阅。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196" w:name="chapter_level1_23_72"/>
      <w:bookmarkStart w:id="197" w:name="_Toc26382924"/>
      <w:r w:rsidRPr="000A08E3">
        <w:rPr>
          <w:rFonts w:ascii="宋体" w:eastAsia="宋体" w:hAnsi="宋体" w:hint="eastAsia"/>
          <w:sz w:val="30"/>
        </w:rPr>
        <w:lastRenderedPageBreak/>
        <w:t>第二十部分  基金托管协议的内容摘要</w:t>
      </w:r>
      <w:bookmarkEnd w:id="196"/>
      <w:bookmarkEnd w:id="197"/>
    </w:p>
    <w:p w:rsidR="000A08E3" w:rsidRPr="000A08E3" w:rsidRDefault="000A08E3">
      <w:pPr>
        <w:pStyle w:val="a3"/>
        <w:spacing w:before="0" w:beforeAutospacing="0" w:after="0" w:afterAutospacing="0" w:line="360" w:lineRule="auto"/>
        <w:ind w:firstLine="420"/>
        <w:divId w:val="1792940056"/>
        <w:rPr>
          <w:sz w:val="21"/>
          <w:szCs w:val="21"/>
        </w:rPr>
      </w:pPr>
      <w:bookmarkStart w:id="198" w:name="chapter_level1_23_72_section_1"/>
      <w:bookmarkEnd w:id="198"/>
      <w:r w:rsidRPr="000A08E3">
        <w:rPr>
          <w:rStyle w:val="a4"/>
          <w:rFonts w:hint="eastAsia"/>
          <w:sz w:val="21"/>
          <w:szCs w:val="21"/>
        </w:rPr>
        <w:t>一、基金托管协议当事人</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名称：</w:t>
      </w:r>
      <w:bookmarkStart w:id="199" w:name="field_49_managerorgfullname_7"/>
      <w:r w:rsidR="00284027">
        <w:rPr>
          <w:rFonts w:hint="eastAsia"/>
          <w:sz w:val="21"/>
          <w:szCs w:val="21"/>
        </w:rPr>
        <w:t>博时基金管理有限公司</w:t>
      </w:r>
      <w:bookmarkEnd w:id="199"/>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住所：</w:t>
      </w:r>
      <w:r w:rsidR="006A4C96" w:rsidRPr="00DE316D">
        <w:rPr>
          <w:rFonts w:hint="eastAsia"/>
          <w:sz w:val="21"/>
          <w:szCs w:val="21"/>
        </w:rPr>
        <w:t>深圳市福田区莲花街道福新社区益田路5999号基金大厦21层</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办公地址：</w:t>
      </w:r>
      <w:r w:rsidR="005C05C2" w:rsidRPr="000A08E3">
        <w:rPr>
          <w:rFonts w:hint="eastAsia"/>
          <w:sz w:val="21"/>
          <w:szCs w:val="21"/>
        </w:rPr>
        <w:t>广东省深圳市福田区益田路5999号基金大厦21层</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邮政编码：518040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法定代表人：张光华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成立时间：</w:t>
      </w:r>
      <w:r w:rsidR="00284027">
        <w:rPr>
          <w:sz w:val="21"/>
          <w:szCs w:val="21"/>
        </w:rPr>
        <w:t xml:space="preserve"> </w:t>
      </w:r>
      <w:r w:rsidRPr="000A08E3">
        <w:rPr>
          <w:rFonts w:hint="eastAsia"/>
          <w:sz w:val="21"/>
          <w:szCs w:val="21"/>
        </w:rPr>
        <w:t xml:space="preserve">1998年7月13日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批准设立机关：中国证券监督管理委员会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批准设立文号：中国证监会证监基字【1998】26号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组织形式：有限责任公司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注册资本：2.5亿元人民币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存续期间：持续经营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经营范围：基金募集；基金销售；资产管理以及中国证监会许可的其它业务。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（二）基金托管人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名称：</w:t>
      </w:r>
      <w:bookmarkStart w:id="200" w:name="field_49_trustorgfullname_3"/>
      <w:r w:rsidR="00284027">
        <w:rPr>
          <w:rFonts w:hint="eastAsia"/>
          <w:sz w:val="21"/>
          <w:szCs w:val="21"/>
        </w:rPr>
        <w:t>招商银行股份有限公司</w:t>
      </w:r>
      <w:bookmarkEnd w:id="200"/>
      <w:r w:rsidRPr="000A08E3">
        <w:rPr>
          <w:rFonts w:hint="eastAsia"/>
          <w:sz w:val="21"/>
          <w:szCs w:val="21"/>
        </w:rPr>
        <w:t xml:space="preserve">(简称：招商银行)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住所：深圳市深南大道7088号招商银行大厦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办公地址：深圳市深南大道7088号招商银行大厦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邮政编码：518040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法定代表人：李建红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成立时间：1987年4月8日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基金托管业务批准文号：证监基金字[2002]83号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经营范围：吸收公众存款；发放短期、中期和长期贷款；办理结算；办理票据贴现；发行金融债券；代理发行、代理兑付、承销政府债券；买卖政府债券；同业拆借；提供信用证服务及担保；代理收付款项及代理保险业务；提供保管箱服务。外汇存款；外汇贷款；外汇汇款；外币兑换；国际结算；结汇、售汇；同业外汇拆借；外汇票据的承兑和贴现；外汇借款；外汇担保；发行和代理发行股票以外的外币有价证券；买卖和代理买卖股票以外的外币</w:t>
      </w:r>
      <w:r w:rsidRPr="000A08E3">
        <w:rPr>
          <w:rFonts w:hint="eastAsia"/>
          <w:sz w:val="21"/>
          <w:szCs w:val="21"/>
        </w:rPr>
        <w:lastRenderedPageBreak/>
        <w:t xml:space="preserve">有价证券；自营和代客外汇买卖；资信调查、咨询、见证业务；离岸金融业务。经中国人民银行批准的其他业务。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组织形式：股份有限公司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注册资本：人民币252.20亿元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存续期间：持续经营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二、基金托管人对基金管理人的业务监督和核查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基金托管人根据有关法律法规的规定以及《基金合同》的约定，对基金投资范围、投资比例、投资风格、投资限制、关联方交易等，进行严格监督。《基金合同》明确约定基金投资风格或证券选择标准的，基金管理人应事先或定期向基金托管人提供投资品种池，以便基金托管人对基金实际投资是否符合基金合同关于证券选择标准的约定进行监督。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1.本基金的投资范围为：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本基金主要投资于目标ETF、标的指数成份股和备选成份股票、国内依法发行上市的非成份股（包括中小板、创业板及其他经中国证监会核准上市的股票）、债券、货币市场工具、权证、股指期货、资产支持证券以及法律法规或中国证监会允许基金投资的其他金融工具（但须符合中国证监会的相关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本基金投资于目标ETF的资产比例不低于基金资产净值的90%；权证、股指期货及其他金融工具的投资比例依照法律法规或监管机构的规定执行。每个交易日日终在扣除股指期货合约需缴纳的交易保证金后，对现金或者到期日在一年以内的政府债券的投资比例不低于基金资产净值的5%，其中，现金不包括结算备付金、存出保证金、应收申购款等。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如法律法规或监管机构以后允许基金投资的其他品种，基金管理人在履行适当程序后，可以将其纳入投资范围。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2.本基金各类品种的投资比例为：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（1）本基金投资于目标ETF的资产比例不低于基金资产净值的90%；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（2）每个交易日日终在扣除股指期货合约需缴纳的交易保证金后，保持不低于基金资产净值5％的现金或者到期日在一年以内的政府债券，其中，现金不包括结算备付金、存出保证金、应收申购款等；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（3）本基金持有的全部权证，其市值不得超过基金资产净值的3％；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（4）本基金管理人管理的全部基金持有的同一权证，不得超过该权证的</w:t>
      </w:r>
      <w:r w:rsidR="00284027">
        <w:rPr>
          <w:sz w:val="21"/>
          <w:szCs w:val="21"/>
        </w:rPr>
        <w:t xml:space="preserve">   </w:t>
      </w:r>
      <w:r w:rsidRPr="000A08E3">
        <w:rPr>
          <w:rFonts w:hint="eastAsia"/>
          <w:sz w:val="21"/>
          <w:szCs w:val="21"/>
        </w:rPr>
        <w:t xml:space="preserve">10％；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（5）本基金在任何交易日买入权证的总金额，不得超过上一交易日基金资产净值的0.5％；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（6）本基金投资于同一原始权益人的各类资产支持证券的比例，不得超过基金资产净值的10％；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（7）本基金持有的全部资产支持证券，其市值不得超过基金资产净值的20％；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（8）本基金持有的同一(指同一信用级别)资产支持证券的比例，不得超过该资产支持证券规模的10％；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（9）本基金管理人管理的全部基金投资于同一原始权益人的各类资产支持证券，不得超过其各类资产支持证券合计规模的10％；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（10）本基金应投资于信用级别评级为BBB以上(含BBB)的资产支持证券。基金持有资产支持证券期间，如果其信用等级下降、不再符合投资标准，应在评级报告发布之日起3个月内予以全部卖出；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（11）基金财产参与股票发行申购，本基金所申报的金额不超过本基金的总资产，本基金所申报的股票数量不超过拟发行股票公司本次发行股票的总量；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（12）基金资产总值不得超过基金资产净值的140%；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（13）本基金参与股指期货交易依据下列标准建构组合：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在任何交易日日终，持有的买入股指期货合约价值，不得超过基金资产净值的10%；在任何交易日日终，持有的买入期货合约价值与有价证券市值之和，不得超过基金资产净值的95%，其中，有价证券指股票、债券（不含到期日在一年以内的政府债券）、权证、资产支持证券、买入返售金融资产（不含质押式回购）等；在任何交易日日终，持有的卖出期货合约价值不得超过基金持有的股票总市值的20%；在任何交易日内交易（不包括平仓）的股指期货合约的成交金额不得超过上一交易日基金资产净值的20%；本基金所持有的股票市值和买入、卖出股指期货合约价值，合计（轧差计算）应当符合基金合同关于股票投资比例的有关约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14）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（15）本基金主动投资于流动性受限资产的市值合计不得超过基金资产净值的15%；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（16）本基金与私募类证券资管产品及中国证监会认定的其他主体为交易对手开展逆回购交易的，可接受质押品的资质要求应当与基金合同约定的投资范围保持一致；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（17）法律法规及中国证监会规定的和《基金合同》约定的其他投资限制。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除上述第（2）、（10）、（15）、（16）项外，因证券/期货市场波动、上市公司合并、基金规模变动、标的指数成份股调整、标的指数成份股流动性限制、目标ETF暂停申购、赎回或二级市场交易停牌等基金管理人之外的因素致使基金投资比例不符合上述规定投资比例的，基金管理人应当在10个交易日内进行调整，但中国证监会规定的特殊情形除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如果法律法规对上述投资组合比例限制进行变更的，以变更后的规定为准。法律法规或监管部门取消上述限制，如适用于本基金，基金管理人在履行适当程序后，则本基金投资不再受相关限制。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3.本基金财产不得用于以下投资或者活动：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（1）承销证券；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（2）违反规定向他人贷款或者提供担保；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（3）从事承担无限责任的投资；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（4）买卖除目标ETF以外的其他基金份额，但是中国证监会另有规定的除外；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（5）向基金管理人、基金托管人出资；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（6）从事内幕交易、操纵证券交易价格及其他不正当的证券交易活动；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（7）法律、行政法规或者中国证监会规定禁止的其他活动。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法律、行政法规和监管部门取消或调整上述禁止性规定的，在适用于本基金的情况下，则本基金投资不再受相关限制或以调整后的规定为准。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4.</w:t>
      </w:r>
      <w:r w:rsidR="00284027">
        <w:rPr>
          <w:sz w:val="21"/>
          <w:szCs w:val="21"/>
        </w:rPr>
        <w:t xml:space="preserve"> </w:t>
      </w:r>
      <w:r w:rsidRPr="000A08E3">
        <w:rPr>
          <w:rFonts w:hint="eastAsia"/>
          <w:sz w:val="21"/>
          <w:szCs w:val="21"/>
        </w:rPr>
        <w:t xml:space="preserve">基金管理人运用基金财产买卖基金管理人、基金托管人及其控股股东、实际控制人或者与其有其他重大利害关系的公司发行或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（二）基金托管人根据有关法律法规的规定及《基金合同》的约定，对基金管理人选择存款银行进行监督。基金投资银行定期存款的，基金管理人应根据法律法规的规定及《基金</w:t>
      </w:r>
      <w:r w:rsidRPr="000A08E3">
        <w:rPr>
          <w:rFonts w:hint="eastAsia"/>
          <w:sz w:val="21"/>
          <w:szCs w:val="21"/>
        </w:rPr>
        <w:lastRenderedPageBreak/>
        <w:t xml:space="preserve">合同》的约定，确定符合条件的所有存款银行的名单，并及时提供给基金托管人，基金托管人应据以对基金投资银行存款的交易对手是否符合有关规定进行监督。对于不符合规定的银行存款，基金托管人可以拒绝执行，并通知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本基金投资银行存款应符合如下规定：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1.本基金的存款银行应是具有证券投资基金托管资格、证券投资基金代销业务资格或合格境外基金投资人托管人资格的商业银行。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 本基金投资定期存款的比例不得超过基金资产净值的30％，根据协议可提前支取且没有利息损失的银行存款，不受此限制；存放在具有基金托管资格的同一银行存款不得超过基金资产净值的30%。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有关法律法规或监管部门制定或修改新的定期存款投资政策，基金公司履行适当程序后，可相应调整投资组合限制的规定。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管理人负责对本基金存款银行的评估与研究，建立健全银行定期存款的业务流程、岗位职责、风险控制措施和监察稽核制度，切实防范有关风险。基金托管人负责对本基金银行定期存款业务的监督与核查，审查、复核相关协议、账户资料、投资指令、存款证实书等有关文件，切实履行托管职责。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（1）基金管理人负责控制信用风险。信用风险主要包括存款银行的信用等级、存款银行的支付能力等涉及到存款银行选择方面的风险。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管理人负责控制流动性风险。流动性风险主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（3）基金管理人须加强内部风险控制制度的建设。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（4）基金管理人投资银行存款时，应就相关事宜在更新招募说明书中予以披露，进行风险揭示。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（5）基金管理人与基金托管人在开展基金存款业务时，应严格遵守《基金法》、《运作办法》等有关法律法规，以及国家有关账户管理、利率管理、支付结算等的各项规定。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（三）基金投资银行存款协议的签订、账户开设与管理、投资指令与资金划拨、账目核对、到期兑付、提前支取和文件保管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1.基金投资银行存款协议的签订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1）符合资格的存款银行，基金管理人应与存款银行总行或其授权分行签订《基金存款业务总体合作协议》（以下简称《总体合作协议》），确定《存款协议书》的格式范本。《总体合作协议》和《存款协议书》的格式范本由基金托管人与基金管理人共同商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（2）基金管理人应在《存款协议书》中明确存款证实书或其他有效存款凭证的办理方式、邮寄地址、联系人和联系电话，以及存款证实书或其他有效凭证在邮寄过程中遗失后，存款余额的确认及兑付办法。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由存款银行指定的存放存款的分支机构（以下简称“存款分支机构”）寄送存款证实书或其他有效存款凭证的，基金管理人应在《存款协议书》中规定基金托管人可向存款分支机构的上级行发出存款余额询证函，存款分支机构及其上级行应予配合。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（4）基金管理人应在《存款协议书》中规定，基金存放到期或提前兑付的资金应全部划转到指定的基金托管账户，并在《存款协议书》写明账户名称和账号，未划入指定账户的，由存款银行承担一切责任。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（5）基金托管人依据相关法规对《总体合作协议》和《存款证实书》的内容进行复核，审查存款银行资格等。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2.基金投资银行存款时的账户开设与管理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（1）基金投资于银行存款时，基金托管人应当依据基金管理人与存款银行签订的《总体合作协议》，以基金的名义在存款银行总行或授权分行指定的分支机构开立银行账户。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（2）银行存款的预留印鉴由基金托管人保管和使用。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3.存款投资指令的发送与执行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（1）基金管理人发送投资指令应采用加密传真或双方约定的其他方式。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存款投资指令包括存款资金划拨指令、提前支取存款指令等。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基金管理人应按照法律法规和基金合同及托管协议的规定向基金托管人发送存款投资指令。对于基金管理人依约定程序发出的指令，基金管理人不得否认其效力。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指令发出后，基金管理人应及时以电话方式向基金托管人确认。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基金管理人在发送投资指令时，应为基金托管人执行投资指令留出执行指令所必需的时间。投资指令传输不及时、未能留出足够的划款时间，导致资金未能及时到账所造成的损失由基金管理人承担。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（2）投资指令的确认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基金托管人应指定专人接收基金管理人的指令，预先通知基金管理人其名单，并与基金管理人商定指令发送和接收方式。投资指令到达基金托管人后，基金托管人应指定专人立即审慎验证有关内容及印鉴和签名的表面一致性。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（3）投资指令的执行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基金托管人验证投资指令后，应及时执行。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若因基金托管人过错致使资金未能及时到账或者投资指令执行差错所造成的损失由基金托管人承担。投资指令执行完毕，基金托管人应及时通知基金管理人。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若基金托管人未能执行或仅可部分执行投资指令（无论因基金托管人原因还是基金管理人原因），基金托管人应及时电话通知基金管理人。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4.资金划拨、账目核对及到期兑付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（1）资金划拨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基金管理人的划拨指令，经基金托管人审核无误后应在规定期限内执行。存款资金只能存放于存款银行总行或者其授权分行指定的分支机构。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（2）存款证实书等存款凭证领取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款银行分支机构应为基金开具存款证实书或其他有效存款凭证名称，该存款证实书为基金托管人存款确认或到期提款的有效凭证。资金到账当日，由存款银行分支机构指定的会计主管传真一份存款证实书复印件并与基金托管人电话确认收妥后，用特快专递将存款证实书原件寄送基金托管人指定联系人；若开户行代为保管存单的，由存款行分支机构指定会计主管传真一份存款证实书复印件并与基金托管人电话确认收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（3）存款证实书等存款凭证的遗失补办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款证实书在邮寄过程中遗失的，由基金托管人向存款银行提出补办申请，基金管理人应督促存款银行尽快补办存款证实书或基金托管人兑付时可作为兑付依据的存款证明文件，并按以上（2）的方式特快专递给托管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（4）账目核对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每个工作日，基金管理人应与基金托管人核对各项银行存款投资余额及应计利息。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定期存款行应配合基金托管人</w:t>
      </w:r>
      <w:bookmarkStart w:id="201" w:name="field_49_trustorgfullname_4"/>
      <w:r w:rsidR="00284027">
        <w:rPr>
          <w:rFonts w:hint="eastAsia"/>
          <w:sz w:val="21"/>
          <w:szCs w:val="21"/>
        </w:rPr>
        <w:t>招商银行股份有限公司</w:t>
      </w:r>
      <w:bookmarkEnd w:id="201"/>
      <w:r w:rsidRPr="000A08E3">
        <w:rPr>
          <w:rFonts w:hint="eastAsia"/>
          <w:sz w:val="21"/>
          <w:szCs w:val="21"/>
        </w:rPr>
        <w:t xml:space="preserve">对“存款证实书”的询证，并在询证函上加盖定期存款行公章寄送至基金托管人指定联系人。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（5）到期兑付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基金管理人提前通知基金托管人通过特快专递将存款证实书原件或其他存款证明原件寄给存款银行分支机构指定的会计主管。存款行未收到存款证实书原件的，应与基金托管人</w:t>
      </w:r>
      <w:r w:rsidRPr="000A08E3">
        <w:rPr>
          <w:rFonts w:hint="eastAsia"/>
          <w:sz w:val="21"/>
          <w:szCs w:val="21"/>
        </w:rPr>
        <w:lastRenderedPageBreak/>
        <w:t xml:space="preserve">电话询问。存款到期前基金管理人与存款行确认存款证实书收到并于到期日兑付存款本息事宜。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人在存款到期日未收到存款本息或存款本息金额不符时，通知基金管理人与存款行接洽存款到账时间及利息补付事宜。基金管理人应将接洽结果告知基金托管人，基金托管人收妥存款本息的当日通知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存款证实书在邮寄过程中遗失的，存款行应立即通知基金托管人，基金托管人在原存款证实书复印件上加盖公章并出具相关证明文件后，与存款行指定会计主管电话确认后，存款行分支机构应在到期日将存款本息划至指定基金的资金账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如果存款到期日为法定节假日，存款行顺延至到期后第一个工作日支付，存款行需按当期利率和实际延期天数支付延期利息。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5.提前支取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如果在存款期限内，由于基金规模发生缩减的原因或者出于流动性管理的需要等原因，经向存款行说明理由，基金管理人可以提前支取全部或部分资金，但应继续按原有利率计提利息，因提前支取导致的利息损失应由基金管理人承担。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提前支取的具体事项按照基金管理人与存款行签订的《存款协议书》执行。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6.基金投资银行存款的相关文件保管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资金存入存款银行当日，存款行分支机构开具存款证实书或其他有效存款凭证，同时传真复印件给基金托管人和基金管理人，并寄送原件给基金托管人代为保管；若存款行代为保管存单原件，存款行传真复印件给基金托管人和基金管理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（2）存款证实书或其他有效存款凭证原件由基金托管人保管。基金托管人发现基金管理人在选择存款银行时有违反有关法律法规的规定及《基金合同》的约定的行为，应及时以书面形式通知基金管理人在10</w:t>
      </w:r>
      <w:r w:rsidR="00284027">
        <w:rPr>
          <w:sz w:val="21"/>
          <w:szCs w:val="21"/>
        </w:rPr>
        <w:t xml:space="preserve"> </w:t>
      </w:r>
      <w:r w:rsidRPr="000A08E3">
        <w:rPr>
          <w:rFonts w:hint="eastAsia"/>
          <w:sz w:val="21"/>
          <w:szCs w:val="21"/>
        </w:rPr>
        <w:t>个工作日内纠正。基金管理人对基金托管人通知的违规事项未能在10</w:t>
      </w:r>
      <w:r w:rsidR="00284027">
        <w:rPr>
          <w:sz w:val="21"/>
          <w:szCs w:val="21"/>
        </w:rPr>
        <w:t xml:space="preserve"> </w:t>
      </w:r>
      <w:r w:rsidRPr="000A08E3">
        <w:rPr>
          <w:rFonts w:hint="eastAsia"/>
          <w:sz w:val="21"/>
          <w:szCs w:val="21"/>
        </w:rPr>
        <w:t>个工作日内纠正的，基金托管人应报告中国证监会。基金托管人发现基金管理人有重大违规行为，应立即报告中国证监会，同时通知基金管理人在10</w:t>
      </w:r>
      <w:r w:rsidR="00284027">
        <w:rPr>
          <w:sz w:val="21"/>
          <w:szCs w:val="21"/>
        </w:rPr>
        <w:t xml:space="preserve"> </w:t>
      </w:r>
      <w:r w:rsidRPr="000A08E3">
        <w:rPr>
          <w:rFonts w:hint="eastAsia"/>
          <w:sz w:val="21"/>
          <w:szCs w:val="21"/>
        </w:rPr>
        <w:t xml:space="preserve">个工作日内纠正或拒绝结算，若基金管理人拒不执行造成基金财产的损失，基金托管人不承担任何责任。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w:t>
      </w:r>
      <w:r w:rsidRPr="000A08E3">
        <w:rPr>
          <w:rFonts w:hint="eastAsia"/>
          <w:sz w:val="21"/>
          <w:szCs w:val="21"/>
        </w:rPr>
        <w:lastRenderedPageBreak/>
        <w:t xml:space="preserve">交易。在基金存续期间基金管理人可以调整交易对手名单，但应将调整结果至少提前一个工作日书面通知基金托管人。新名单确定前已与本次剔除的交易对手所进行但尚未结算的交易，仍应按照协议进行结算。如基金管理人根据市场需要临时调整银行间债券交易对手名单及结算方式的，应向基金托管人说明理由，并在与交易对手发生交易前3个交易日内与基金托管人协商解决。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（五）本基金投资流通受限证券，应遵守《关于规范基金投资非公开发行证券行为的紧急通知》、《关于基金投资非公开发行股票等流通受限证券有关问题的通知》等有关法律法规规定。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本协议所称的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本基金可以投资经中国证监会批准的非公开发行证券，且限于由中国证券登记结算有限责任公司或中央国债登记结算有限责任公司负责登记和存管的，并可在证券交易所或全国银行间债券市场交易的证券。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基金不得投资未经中国证监会批准的非公开发行证券。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基金参与非公开发行证券的认购，不得预付任何形式的保证金，法律法规或中国证监会另有规定的除外。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基金不得投资有锁定期但锁定期不明确的证券，但法律法规或中国证监会另有规定的除外。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2.</w:t>
      </w:r>
      <w:r w:rsidR="00284027">
        <w:rPr>
          <w:sz w:val="21"/>
          <w:szCs w:val="21"/>
        </w:rPr>
        <w:t xml:space="preserve"> </w:t>
      </w:r>
      <w:r w:rsidRPr="000A08E3">
        <w:rPr>
          <w:rFonts w:hint="eastAsia"/>
          <w:sz w:val="21"/>
          <w:szCs w:val="21"/>
        </w:rPr>
        <w:t xml:space="preserve">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对本基金投资流通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流通受限证券导致的流动性风险，基金托管人不承担任何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于拟执行投资指令前两个工作日将上述信息书面发至基金托管人，保证基金托管人有足够的时间进行审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由于基金管理人未及时提供有关证券的具体的必要的信息，致使托管人无法审核认购指令而影响认购款项划拨的，基金托管人免于承担责任。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基金托管人依照法律法规、《基金合同》、《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的投资指令不予执行，并立即通知基金管理人纠正，基金管理人不予纠正或已代表基金签署合同不得不执行时，基金托管人应向中国证监会报告。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六）基金管理人应当对投资中期票据业务进行研究，认真评估中期票据投资业务的风险，本着审慎、勤勉尽责的原则进行中期票据的投资业务。基金管理人根据法律、法规、监管部门的规定，制定了经公司董事会批准的《中期票据投资管理办法》（以下简称《制度》），以规范对中期票据的投资决策流程、风险控制。基金管理人《制度》的内容与本协议不一致的，以本协议的约定为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1.基金投资中期票据应遵循以下投资限制：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（1）</w:t>
      </w:r>
      <w:r w:rsidR="00284027">
        <w:rPr>
          <w:sz w:val="21"/>
          <w:szCs w:val="21"/>
        </w:rPr>
        <w:t xml:space="preserve"> </w:t>
      </w:r>
      <w:r w:rsidRPr="000A08E3">
        <w:rPr>
          <w:rFonts w:hint="eastAsia"/>
          <w:sz w:val="21"/>
          <w:szCs w:val="21"/>
        </w:rPr>
        <w:t xml:space="preserve">中期票据属于固定收益类证券，基金投资中期票据应符合法律、法规及《基金合同》中关于该基金投资固定收益类证券的相关比例；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（2）基金管理人管理的全部公募基金投资于一家企业发行的单期中期票据合计不超过该期证券的10%。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2.基金托管人对基金管理人流动性风险处置的监督职责限于：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人对基金投资中期票据是否符合比例限制进行事后监督，如发现异常情况，应及时以书面形式通知基金管理人。基金管理人应积极配合和协助基金托管人的监督和核查。基金管理人接到通知后应及时核对并向基金托管人说明原因和解决措施。基金托管人有权随时对所通知事项进行复查,督促基金管理人改正。基金管理人违规事项未能在限期内纠正的，基金托管人应报告中国证监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3.如因市场变化，基金管理人投资的中期票据超过投资比例的，基金托管人有权要求基金管理人在10个交易日内将中期票据调整至规定的比例要求，但中国证监会规定的特殊情形除外。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七）基金托管人根据有关法律法规的规定及基金合同的约定，对基金资产净值计算、各类基金份额净值计算、应收资金到账、基金费用开支及收入确定、基金收益分配、相关信息披露、基金宣传推介材料中登载基金业绩表现数据等进行监督和核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八）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通知后应及时核对并回复基金托管人，对于收到的书面通知，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知的违规事项未能在限期内纠正的，基金托管人应报告中国证监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九）基金管理人有义务配合和协助基金托管人依照法律法规、基金合同和本托管协议对基金业务执行核查。包括但不限于：对基金托管人发出的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（十）若基金托管人发现基金管理人依据交易程序已经生效的指令违反法律、行政法规和其他有关规定，或者违反基金合同约定的，应当立即通知基金管理人及时纠正，由此造成的损失由基金管理人承担。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（十一）基金托管人发现基金管理人有重大违规行为，应及时报告中国证监会，同时通知基金管理人限期纠正。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三、基金管理人对基金托管人的业务核查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基金管理人对基金托管人履行托管职责情况进行核查，核查事项包括基金托管人安全保管基金财产、开设基金财产的资金账户、证券账户和期货账户等投资所需账户、复核基金管理人计算的基金资产净值和各类基金份额净值、根据基金管理人指令办理清算交收、相关信息披露和监督基金投资运作等行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书面通知后应在下一工作日前及时核对并以书面形式给基金管理人发出回函，说明违规原因及纠正期限，并保证在规定期限内及时改正。在上述规定期限内，基金管理人有权随时对通知事项进行复查，督促基金托管人改正。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（四）基金管理人发现基金托管人有重大违规行为，应及时报告中国证监会，同时通知基金托管人限期纠正，并将纠正结果报告中国证监会。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Style w:val="a4"/>
          <w:rFonts w:hint="eastAsia"/>
          <w:sz w:val="21"/>
          <w:szCs w:val="21"/>
        </w:rPr>
        <w:t>四、基金财产的保管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（一）基金财产保管的原则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1.基金财产应独立于基金管理人、基金托管人的固有财产。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2.基金托管人应安全、完整地保管基金财产。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3.基金托管人按照规定开设基金财产的资金账户、证券账户、期货账户等投资所需的相关账户。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4.基金托管人对所托管的不同基金财产分别设置账户，确保基金财产的完整与独立。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基金托管人根据基金管理人的指令，按照基金合同和本协议的约定保管基金财产。未经基金管理人的正当指令，不得自行运用、处分、分配基金的任何资产。不属于基金托管人实际有效控制下的资产及实物证券等在基金托管人保管期间的损坏、灭失，基金托管人不承担由此产生的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6.对于因为基金投资产生的应收资产，应由基金管理人负责与有关当事人确定到账日期并通知基金托管人，到账日基金财产没有到达基金账户的，基金托管人应及时通知基金管理人采取措施进行催收。基金管理人未及时催收给基金财产造成损失的，基金管理人应负责向有关当事人追偿基金财产的损失。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7基金托管人对因为基金管理人投资产生的存放或存管在基金托管人以外机构的委托财产，或交由期货公司或证券公司负责清算交收的委托资产（包括但不限于期货保证金账户内的资金、期货合约等）及其收益；由于该等机构或该机构会员单位等本协议当事人外第三方的欺诈、疏忽、过失或破产等原因给委托财产造成的损失等不承担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8.除依据法律法规和基金合同的规定外，基金托管人不得委托第三人托管基金财产。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（二）基金募集期间及募集资金的验资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1.基金募集期间募集的资金应开立“基金募集专户”。该账户由基金管理人开立并管理。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为基金开立的银行托管账户，同时在规定时间内，基金管理人应聘请具有从事证券相关业务资格的会计师事务所进行验资，出具验资报告。出具的验资报告由参加验资的2名或2名以上中国注册会计师签字方为有效。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3.若基金募集期限届满，未能达到基金合同生效的条件，由基金管理人按规定办理退款等事宜。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（三）基金资金账户的开立和管理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1.基金托管人以本基金的名义在其营业机构开立基金的银行托管账户，保管基金的银行存款，并根据基金管理人的指令办理资金收付。托管账户名称应为“</w:t>
      </w:r>
      <w:bookmarkStart w:id="202" w:name="field_49_productfullname_9"/>
      <w:r w:rsidR="00284027">
        <w:rPr>
          <w:rFonts w:hint="eastAsia"/>
          <w:sz w:val="21"/>
          <w:szCs w:val="21"/>
        </w:rPr>
        <w:t>博时上证</w:t>
      </w:r>
      <w:r w:rsidR="00284027">
        <w:rPr>
          <w:sz w:val="21"/>
          <w:szCs w:val="21"/>
        </w:rPr>
        <w:t>50交易型开放式指数证券投资基金联接基金</w:t>
      </w:r>
      <w:bookmarkEnd w:id="202"/>
      <w:r w:rsidRPr="000A08E3">
        <w:rPr>
          <w:rFonts w:hint="eastAsia"/>
          <w:sz w:val="21"/>
          <w:szCs w:val="21"/>
        </w:rPr>
        <w:t xml:space="preserve">”，预留印鉴为基金托管人印章。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2.基金银行托管账户的开立和使用，限于满足开展本基金业务的需要。基金托管人和基金管理人不得假借本基金的名义开立任何其他银行账户；亦不得使用基金的任何账户进行本基金业务以外的活动。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3.基金银行托管账户的开立和管理应符合法律法规及银行业监督管理机构的有关规定。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（四）基金证券账户和结算备付金账户的开立和管理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1.基金托管人在中国证券登记结算有限责任公司上海分公司、深圳分公司为基金开立基金托管人与基金联名的证券账户。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3.基金证券账户的开立和证券账户卡的保管由基金托管人负责，账户资产的管理和运用由基金管理人负责。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（五）债券托管专户的开设和管理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基金合同生效后，基金托管人根据中国人民银行、银行间市场登记结算机构的有关规定，以基金的名义在银行间市场登记结算机构开立债券托管账户，并代表基金进行银行间市场债券的结算。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（六）其他账户的开立和管理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管理人根据投资需要按照规定开立期货保证金账户及期货交易编码等，基金托管人按照规定开立期货结算账户等投资所需账户。完成上述账户开立后，基金管理人应以书面形式将期货公司提供的期货保证金账户的初始资金密码和保证金监控中心的登录用户名及密码告知基金托管人。资金密码和保证金监控中心登录密码重置由管理人进行，重置后务必及时通知托管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基金托管人和基金管理人应当在开户过程中相互配合，并提供所需资料。管理人保证所提供的账户开户材料的真实性和有效性，且在相关资料变更后及时将变更的资料提供给托管人。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2.因业务发展需要而开立的其他账户，可以根据法律法规和基金合同的规定，由基金管理人协助基金托管人按照有关法律法规和本协议的约定协商后开立。新账户按有关规定使用并管理。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2.法律法规等有关规定对相关账户的开立和管理另有规定的，从其规定办理。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（七）基金财产投资的有关有价凭证等的保管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基金财产投资的有关实物证券等有价凭证按约定由基金托管人存放于基金托管人的保管库，或存入银行间市场登记结算机构、中国证券登记结算有限责任公司上海分公司/深圳分公司或票据营业中心的代保管库，实物保管凭证由基金托管人持有。实物证券等有价凭证的购买和转让，由基金托管人根据基金管理人的指令办理。基金托管人对由上述存放机构及基金托管人以外机构实际有效控制的有价凭证不承担保管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（八）与基金财产有关的重大合同的保管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由基金管理人代表基金签署的、与基金财产有关的重大合同的原件分别由基金管理人、基金托管人保管。除本协议另有规定外，基金管理人代表基金签署的与基金财产有关的重大合同应保证基金管理人和基金托管人至少各持有一份正本的原件。基金管理人应在重大合同签署后及时将重大合同传真给基金托管人，并在三十个工作日内将正本送达基金托管人处。因基金管理人发送的合同传真件与事后送达的合同原件不一致所造成的后果，由基金管理人负责。重大合同的保管期限为基金合同终止后15年。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Style w:val="a4"/>
          <w:rFonts w:hint="eastAsia"/>
          <w:sz w:val="21"/>
          <w:szCs w:val="21"/>
        </w:rPr>
        <w:t>五、基金资产净值计算和会计核算</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（一）基金资产净值的计算、复核与完成的时间及程序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1.基金资产净值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基金资产净值是指基金资产总值减去负债后的价值。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各类基金份额净值是指基金资产净值除以该类别基金份额总数，基金份额净值的计算，精确到0.0001元，小数点后第5位四舍五入，国家另有规定的，从其规定。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基金管理人每个工作日计算基金资产净值、各类基金份额净值，经基金托管人复核，按规定公告。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2.复核程序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基金管理人每工作日对基金资产进行估值后，将基金资产净值、各类基金份额净值发送基金托管人，经基金托管人复核无误后，由基金管理人对外公布。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根据有关法律法规，基金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（二）基金资产的估值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基金管理人及基金托管人应当按照《基金合同》的约定进行估值。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（三）基金估值错误的处理方式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 xml:space="preserve">基金管理人及基金托管人应当按照《基金合同》的约定处理估值错误。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（四）基金会计制度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按国家有关部门规定的会计制度执行。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（五）基金账册的建立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和基金托管人在基金合同生效后，应按照双方约定的同一记账方法和会计处理原则，分别独立地设置、登录和保管本基金的全套账册，对相关各方各自的账册定期进行核对，互相监督，以保证基金资产的安全。若基金管理人和基金托管人对会计处理方法存在分歧，应以基金管理人的处理方法为准。若当日核对不符，暂时无法查找到错账的原因而影响到基金净值的计算和公告的，以基金管理人的账册为准。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（六）基金财务报表与报告的编制和复核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1.财务报表的编制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基金财务报表由基金管理人编制，基金托管人复核。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2.报表复核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基金托管人在收到基金管理人编制的基金财务报表后，进行独立的复核。核对不符时，应及时通知基金管理人共同查出原因，进行调整，直至双方数据完全一致。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3.财务报表的编制与复核时间安排 </w:t>
      </w:r>
    </w:p>
    <w:p w:rsidR="000A08E3" w:rsidRPr="000A08E3" w:rsidRDefault="00D52014">
      <w:pPr>
        <w:pStyle w:val="a3"/>
        <w:spacing w:before="0" w:beforeAutospacing="0" w:after="0" w:afterAutospacing="0" w:line="360" w:lineRule="auto"/>
        <w:ind w:firstLine="420"/>
        <w:divId w:val="1792940056"/>
        <w:rPr>
          <w:sz w:val="21"/>
          <w:szCs w:val="21"/>
        </w:rPr>
      </w:pPr>
      <w:r w:rsidRPr="00D52014">
        <w:rPr>
          <w:rFonts w:hint="eastAsia"/>
          <w:sz w:val="21"/>
          <w:szCs w:val="21"/>
        </w:rPr>
        <w:t>基金管理人、基金托管人应当在每月结束后5个工作日内完成月度报表的编制及复核；在每个季度结束之日起15个工作日内完成基金季度报告的编制及复核；在上半年结束之日起两个月内完成基金中期报告的编制及复核；在每年结束之日起三个月内完成基金年度报告的编制及复核。基金托管人在复核过程中，发现双方的报表存在不符时，基金管理人和基金托管人应共同查明原因，进行调整，调整以国家有关规定为准。基金年度报告中的财务会计报告应当经过具有证券、期货相关业务资格的会计师事务所审计。基金合同生效不足两个月的，基金管理人可以不编制当期季度报告、中期报告或者年度报告。</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Style w:val="a4"/>
          <w:rFonts w:hint="eastAsia"/>
          <w:sz w:val="21"/>
          <w:szCs w:val="21"/>
        </w:rPr>
        <w:t>六、基金份额持有人名册的保管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份额持有人名册至少应包括基金份额持有人的名称、证件号码和持有的基金份额。基金份额持有人名册由基金登记机构根据基金管理人的指令编制和保管，基金管理人和基金托管人应分别保管基金份额持有人名册，保存期不少于15年。如不能妥善保管，则按相关法律法规承担责任。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lastRenderedPageBreak/>
        <w:t>在基金托管人要求或编制</w:t>
      </w:r>
      <w:r w:rsidR="00D52014" w:rsidRPr="00D52014">
        <w:rPr>
          <w:rFonts w:hint="eastAsia"/>
          <w:sz w:val="21"/>
          <w:szCs w:val="21"/>
        </w:rPr>
        <w:t>中期报告</w:t>
      </w:r>
      <w:r w:rsidRPr="000A08E3">
        <w:rPr>
          <w:rFonts w:hint="eastAsia"/>
          <w:sz w:val="21"/>
          <w:szCs w:val="21"/>
        </w:rPr>
        <w:t xml:space="preserve">和年报前，基金管理人应将有关资料送交基金托管人，不得无故拒绝或延误提供，并保证其的真实性、准确性和完整性。基金管理人和托管人不得将所保管的基金份额持有人名册用于基金托管业务以外的其他用途，并应遵守保密义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Style w:val="a4"/>
          <w:rFonts w:hint="eastAsia"/>
          <w:sz w:val="21"/>
          <w:szCs w:val="21"/>
        </w:rPr>
        <w:t>七、托管协议的变更、终止与基金财产的清算</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（一）托管协议的变更程序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本协议双方当事人经协商一致，可以对协议进行修改。修改后的新协议，其内容不得与基金合同的规定有任何冲突。基金托管协议的变更应报中国证监会备案。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（二）基金托管协议终止出现的情形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1、《基金合同》终止；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2、基金托管人因解散、破产、撤销等事由，不能继续担任基金托管人的职务，而在6个月内无其他适当的托管机构承接其原有权利义务；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3、基金管理人因解散、破产、撤销等事由，不能继续担任基金管理人的职务，而在6个月内无其他适当的基金管理公司承接其原有权利义务；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4、发生法律法规或《基金合同》规定的终止事项。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（三）基金财产的清算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基金管理人与基金托管人按照《基金合同》的约定处理基金财产的清算。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Style w:val="a4"/>
          <w:rFonts w:hint="eastAsia"/>
          <w:sz w:val="21"/>
          <w:szCs w:val="21"/>
        </w:rPr>
        <w:t>八、争议解决方式</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rsidR="000A08E3" w:rsidRPr="000A08E3" w:rsidRDefault="000A08E3">
      <w:pPr>
        <w:pStyle w:val="a3"/>
        <w:spacing w:before="0" w:beforeAutospacing="0" w:after="0" w:afterAutospacing="0" w:line="360" w:lineRule="auto"/>
        <w:ind w:firstLine="420"/>
        <w:divId w:val="1792940056"/>
        <w:rPr>
          <w:sz w:val="21"/>
          <w:szCs w:val="21"/>
        </w:rPr>
      </w:pPr>
      <w:r w:rsidRPr="000A08E3">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rsidR="000A08E3" w:rsidRPr="000A08E3" w:rsidRDefault="000A08E3">
      <w:pPr>
        <w:pStyle w:val="a3"/>
        <w:spacing w:before="0" w:beforeAutospacing="0" w:after="0" w:afterAutospacing="0" w:line="360" w:lineRule="auto"/>
        <w:ind w:firstLine="420"/>
        <w:divId w:val="1792940056"/>
        <w:rPr>
          <w:sz w:val="21"/>
          <w:szCs w:val="21"/>
        </w:rPr>
      </w:pPr>
      <w:bookmarkStart w:id="203" w:name="chapter_level1_23_72_section_1_end"/>
      <w:bookmarkEnd w:id="203"/>
      <w:r w:rsidRPr="000A08E3">
        <w:rPr>
          <w:rFonts w:hint="eastAsia"/>
          <w:sz w:val="21"/>
          <w:szCs w:val="21"/>
        </w:rPr>
        <w:t xml:space="preserve">本协议受中国法律管辖。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204" w:name="chapter_level1_24_75"/>
      <w:bookmarkStart w:id="205" w:name="_Toc26382925"/>
      <w:r w:rsidRPr="000A08E3">
        <w:rPr>
          <w:rFonts w:ascii="宋体" w:eastAsia="宋体" w:hAnsi="宋体" w:hint="eastAsia"/>
          <w:sz w:val="30"/>
        </w:rPr>
        <w:lastRenderedPageBreak/>
        <w:t>第二十一部分  对基金份额持有人的服务</w:t>
      </w:r>
      <w:bookmarkEnd w:id="204"/>
      <w:bookmarkEnd w:id="205"/>
    </w:p>
    <w:p w:rsidR="000A08E3" w:rsidRPr="000A08E3" w:rsidRDefault="000A08E3">
      <w:pPr>
        <w:pStyle w:val="a3"/>
        <w:spacing w:before="0" w:beforeAutospacing="0" w:after="0" w:afterAutospacing="0" w:line="360" w:lineRule="auto"/>
        <w:ind w:firstLine="420"/>
        <w:divId w:val="489710278"/>
        <w:rPr>
          <w:sz w:val="21"/>
          <w:szCs w:val="21"/>
        </w:rPr>
      </w:pPr>
      <w:bookmarkStart w:id="206" w:name="chapter_level1_24_75_section_1"/>
      <w:bookmarkEnd w:id="206"/>
      <w:r w:rsidRPr="000A08E3">
        <w:rPr>
          <w:rFonts w:hint="eastAsia"/>
          <w:sz w:val="21"/>
          <w:szCs w:val="21"/>
        </w:rPr>
        <w:t>对本基金份额持有人的服务主要由基金管理人、基金销售机构提供。基金管理人承诺为基金份额持有人提供一系列的服务，根据基金份额持有人的需要和市场的变化，有权增加和修改服务项目，主要服务内容如下：</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Style w:val="a4"/>
          <w:rFonts w:hint="eastAsia"/>
          <w:sz w:val="21"/>
          <w:szCs w:val="21"/>
        </w:rPr>
        <w:t>一、基金份额持有人交易资料的寄送服务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1、基金合同生效后，每次交易结束后，对T日提交的有效申请，投资者可在T+2日后通过销售机构的网点查询和打印交易确认单，或在T+1日后通过博时一线通电话、博时快e通网上服务手段查询交易确认情况。基金管理人不向投资者寄送交易确认单。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2、每月结束后，基金管理人向所有订阅电子邮件对账单的投资者发送电子邮件对账单。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投资者可以登录博时公司网站（http://www.bosera.com）“博时快e通”系统网上自助订阅；或发送“订阅电子对账单”邮件到客服邮箱</w:t>
      </w:r>
      <w:hyperlink r:id="rId7" w:history="1">
        <w:r w:rsidRPr="000A08E3">
          <w:rPr>
            <w:rStyle w:val="a5"/>
            <w:rFonts w:hint="eastAsia"/>
            <w:sz w:val="21"/>
            <w:szCs w:val="21"/>
          </w:rPr>
          <w:t>service@bosera.com</w:t>
        </w:r>
      </w:hyperlink>
      <w:r w:rsidRPr="000A08E3">
        <w:rPr>
          <w:rFonts w:hint="eastAsia"/>
          <w:sz w:val="21"/>
          <w:szCs w:val="21"/>
        </w:rPr>
        <w:t xml:space="preserve">；也可直接拨打博时一线通95105568（免长途话费）订阅。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Style w:val="a4"/>
          <w:rFonts w:hint="eastAsia"/>
          <w:sz w:val="21"/>
          <w:szCs w:val="21"/>
        </w:rPr>
        <w:t>二、网上理财服务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通过基金管理人网站，投资者可获得如下服务：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1、自助开户交易：投资者持有建设银行、农业银行、工商银行、中国银行、交通银行、招商银行、兴业银行、浦发银行、邮储银行、民生银行、中信银行、光大银行、平安银行、广发银行、华夏银行、上海银行的借记卡或已开立招商银行i理财账户、汇付天下天天盈账户、支付宝理财专户均可以在基金管理人网站上自助开户并进行网上交易业务。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2、查询服务：投资者可以通过基金管理人网站查询所持有基金的基金份额、交易记录等信息，同时可以修改基金账户信息等基本资料。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3、信息咨询服务：投资者可以利用基金管理人网站获取基金和基金管理人各类信息，包括基金法律文件、基金管理人最新动态、热点问题等。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Style w:val="a4"/>
          <w:rFonts w:hint="eastAsia"/>
          <w:sz w:val="21"/>
          <w:szCs w:val="21"/>
        </w:rPr>
        <w:t>三、短信服务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Fonts w:hint="eastAsia"/>
          <w:sz w:val="21"/>
          <w:szCs w:val="21"/>
        </w:rPr>
        <w:t xml:space="preserve">基金管理人向订制短信服务的基金份额持有人提供相应短信服务。 </w:t>
      </w:r>
    </w:p>
    <w:p w:rsidR="000A08E3" w:rsidRPr="000A08E3" w:rsidRDefault="000A08E3">
      <w:pPr>
        <w:pStyle w:val="a3"/>
        <w:spacing w:before="0" w:beforeAutospacing="0" w:after="0" w:afterAutospacing="0" w:line="360" w:lineRule="auto"/>
        <w:ind w:firstLine="420"/>
        <w:divId w:val="489710278"/>
        <w:rPr>
          <w:sz w:val="21"/>
          <w:szCs w:val="21"/>
        </w:rPr>
      </w:pPr>
      <w:r w:rsidRPr="000A08E3">
        <w:rPr>
          <w:rStyle w:val="a4"/>
          <w:rFonts w:hint="eastAsia"/>
          <w:sz w:val="21"/>
          <w:szCs w:val="21"/>
        </w:rPr>
        <w:t>四、电子邮件服务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489710278"/>
        <w:rPr>
          <w:sz w:val="21"/>
          <w:szCs w:val="21"/>
        </w:rPr>
      </w:pPr>
      <w:bookmarkStart w:id="207" w:name="chapter_level1_24_75_section_1_end"/>
      <w:bookmarkEnd w:id="207"/>
      <w:r w:rsidRPr="000A08E3">
        <w:rPr>
          <w:rFonts w:hint="eastAsia"/>
          <w:sz w:val="21"/>
          <w:szCs w:val="21"/>
        </w:rPr>
        <w:t xml:space="preserve">基金管理人为投资者提供电子邮件方式的业务咨询、投诉受理、基金份额净值等服务。 </w:t>
      </w:r>
    </w:p>
    <w:p w:rsidR="000A08E3" w:rsidRPr="000A08E3" w:rsidRDefault="000A08E3">
      <w:pPr>
        <w:pStyle w:val="a3"/>
        <w:spacing w:before="0" w:beforeAutospacing="0" w:after="0" w:afterAutospacing="0" w:line="360" w:lineRule="auto"/>
        <w:ind w:firstLine="420"/>
        <w:divId w:val="37433701"/>
        <w:rPr>
          <w:sz w:val="21"/>
          <w:szCs w:val="21"/>
        </w:rPr>
      </w:pPr>
      <w:bookmarkStart w:id="208" w:name="chapter_level1_24_75_section_2"/>
      <w:bookmarkEnd w:id="208"/>
      <w:r w:rsidRPr="000A08E3">
        <w:rPr>
          <w:rStyle w:val="a4"/>
          <w:rFonts w:hint="eastAsia"/>
          <w:sz w:val="21"/>
          <w:szCs w:val="21"/>
        </w:rPr>
        <w:t>五、手机理财服务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lastRenderedPageBreak/>
        <w:t xml:space="preserve">投资者可以通过手机访问博时WAP网站（http://wap.bosera.com）、移动版直销网上交易系统（http://m.bosera.com）和博时APP版直销网上交易系统，可以使用基金理财所需的基金交易、理财查询、账户管理、信息服务等功能和服务。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Style w:val="a4"/>
          <w:rFonts w:hint="eastAsia"/>
          <w:sz w:val="21"/>
          <w:szCs w:val="21"/>
        </w:rPr>
        <w:t>六、信息订阅服务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Style w:val="a4"/>
          <w:rFonts w:hint="eastAsia"/>
          <w:sz w:val="21"/>
          <w:szCs w:val="21"/>
        </w:rPr>
        <w:t>七、电话理财服务</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投资者拨打博时一线通：95105568（免长途话费）可享有投资理财交易的一站式综合服务：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3、人工电话服务：投资者可以获得业务咨询、信息查询、资料修改、投诉受理、信息订制、电话交易人工服务、账户诊断等服务。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4、电话留言服务：非人工服务时间或线路繁忙时，投资者可进行电话留言。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 xml:space="preserve">基金管理人的互联网地址及电子信箱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网址：</w:t>
      </w:r>
      <w:r w:rsidR="00284027">
        <w:rPr>
          <w:sz w:val="21"/>
          <w:szCs w:val="21"/>
        </w:rPr>
        <w:t xml:space="preserve"> </w:t>
      </w:r>
      <w:r w:rsidRPr="000A08E3">
        <w:rPr>
          <w:rFonts w:hint="eastAsia"/>
          <w:sz w:val="21"/>
          <w:szCs w:val="21"/>
        </w:rPr>
        <w:t xml:space="preserve">www.bosera.com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Fonts w:hint="eastAsia"/>
          <w:sz w:val="21"/>
          <w:szCs w:val="21"/>
        </w:rPr>
        <w:t>电子信箱：</w:t>
      </w:r>
      <w:hyperlink r:id="rId8" w:history="1">
        <w:r w:rsidRPr="000A08E3">
          <w:rPr>
            <w:rStyle w:val="a5"/>
            <w:rFonts w:hint="eastAsia"/>
            <w:sz w:val="21"/>
            <w:szCs w:val="21"/>
          </w:rPr>
          <w:t>service@bosera.com</w:t>
        </w:r>
      </w:hyperlink>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7433701"/>
        <w:rPr>
          <w:sz w:val="21"/>
          <w:szCs w:val="21"/>
        </w:rPr>
      </w:pPr>
      <w:r w:rsidRPr="000A08E3">
        <w:rPr>
          <w:rStyle w:val="a4"/>
          <w:rFonts w:hint="eastAsia"/>
          <w:sz w:val="21"/>
          <w:szCs w:val="21"/>
        </w:rPr>
        <w:t>八、如本招募说明书存在任何您/贵机构无法理解的内容，请通过上述方式联系基金管</w:t>
      </w:r>
      <w:bookmarkStart w:id="209" w:name="chapter_level1_24_75_section_2_end"/>
      <w:bookmarkEnd w:id="209"/>
      <w:r w:rsidRPr="000A08E3">
        <w:rPr>
          <w:rStyle w:val="a4"/>
          <w:rFonts w:hint="eastAsia"/>
          <w:sz w:val="21"/>
          <w:szCs w:val="21"/>
        </w:rPr>
        <w:t>理人。请确保投资前，您/贵机构已经全面理解了本招募说明书。</w:t>
      </w:r>
      <w:r w:rsidR="00284027">
        <w:rPr>
          <w:sz w:val="21"/>
          <w:szCs w:val="21"/>
        </w:rPr>
        <w:t xml:space="preserve"> </w:t>
      </w:r>
      <w:r w:rsidRPr="000A08E3">
        <w:rPr>
          <w:rFonts w:hint="eastAsia"/>
          <w:sz w:val="21"/>
          <w:szCs w:val="21"/>
        </w:rPr>
        <w:t xml:space="preserve">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210" w:name="chapter_level1_25_3499"/>
      <w:bookmarkStart w:id="211" w:name="_Toc26382926"/>
      <w:r w:rsidRPr="000A08E3">
        <w:rPr>
          <w:rFonts w:ascii="宋体" w:eastAsia="宋体" w:hAnsi="宋体" w:hint="eastAsia"/>
          <w:sz w:val="30"/>
        </w:rPr>
        <w:lastRenderedPageBreak/>
        <w:t>第二十二部分 其他应披露的事项</w:t>
      </w:r>
      <w:bookmarkEnd w:id="210"/>
      <w:bookmarkEnd w:id="211"/>
    </w:p>
    <w:p w:rsidR="000A08E3" w:rsidRPr="000A08E3" w:rsidRDefault="000A08E3">
      <w:pPr>
        <w:pStyle w:val="a3"/>
        <w:spacing w:before="0" w:beforeAutospacing="0" w:after="0" w:afterAutospacing="0" w:line="360" w:lineRule="auto"/>
        <w:ind w:firstLine="420"/>
        <w:divId w:val="552035724"/>
        <w:rPr>
          <w:sz w:val="21"/>
          <w:szCs w:val="21"/>
        </w:rPr>
      </w:pPr>
      <w:bookmarkStart w:id="212" w:name="chapter_level1_25_3499_section_1"/>
      <w:bookmarkStart w:id="213" w:name="field_0_bsrevealinfo_1_start"/>
      <w:bookmarkEnd w:id="212"/>
      <w:bookmarkEnd w:id="213"/>
      <w:r w:rsidRPr="000A08E3">
        <w:rPr>
          <w:rFonts w:hint="eastAsia"/>
          <w:sz w:val="21"/>
          <w:szCs w:val="21"/>
        </w:rPr>
        <w:t>（一）、</w:t>
      </w:r>
      <w:r w:rsidR="00284027">
        <w:rPr>
          <w:sz w:val="21"/>
          <w:szCs w:val="21"/>
        </w:rPr>
        <w:t xml:space="preserve"> </w:t>
      </w:r>
      <w:r w:rsidRPr="000A08E3">
        <w:rPr>
          <w:rFonts w:hint="eastAsia"/>
          <w:sz w:val="21"/>
          <w:szCs w:val="21"/>
        </w:rPr>
        <w:t>2019年10月23日，我公司公告了《博时上证50交易型开放式指数证券投资基金联接基金2019年第3季度报告》；</w:t>
      </w:r>
    </w:p>
    <w:p w:rsidR="000A08E3" w:rsidRPr="000A08E3" w:rsidRDefault="000A08E3">
      <w:pPr>
        <w:pStyle w:val="a3"/>
        <w:spacing w:before="0" w:beforeAutospacing="0" w:after="0" w:afterAutospacing="0" w:line="360" w:lineRule="auto"/>
        <w:ind w:firstLine="420"/>
        <w:divId w:val="552035724"/>
        <w:rPr>
          <w:sz w:val="21"/>
          <w:szCs w:val="21"/>
        </w:rPr>
      </w:pPr>
      <w:r w:rsidRPr="000A08E3">
        <w:rPr>
          <w:rFonts w:hint="eastAsia"/>
          <w:sz w:val="21"/>
          <w:szCs w:val="21"/>
        </w:rPr>
        <w:t>（二）、</w:t>
      </w:r>
      <w:r w:rsidR="00284027">
        <w:rPr>
          <w:sz w:val="21"/>
          <w:szCs w:val="21"/>
        </w:rPr>
        <w:t xml:space="preserve"> </w:t>
      </w:r>
      <w:r w:rsidRPr="000A08E3">
        <w:rPr>
          <w:rFonts w:hint="eastAsia"/>
          <w:sz w:val="21"/>
          <w:szCs w:val="21"/>
        </w:rPr>
        <w:t>2019年08月27日，我公司公告了《博时上证50交易型开放式指数证券投资基金联接基金2019年半年度报告（摘要）》；</w:t>
      </w:r>
    </w:p>
    <w:p w:rsidR="000A08E3" w:rsidRPr="000A08E3" w:rsidRDefault="000A08E3">
      <w:pPr>
        <w:pStyle w:val="a3"/>
        <w:spacing w:before="0" w:beforeAutospacing="0" w:after="0" w:afterAutospacing="0" w:line="360" w:lineRule="auto"/>
        <w:ind w:firstLine="420"/>
        <w:divId w:val="552035724"/>
        <w:rPr>
          <w:sz w:val="21"/>
          <w:szCs w:val="21"/>
        </w:rPr>
      </w:pPr>
      <w:r w:rsidRPr="000A08E3">
        <w:rPr>
          <w:rFonts w:hint="eastAsia"/>
          <w:sz w:val="21"/>
          <w:szCs w:val="21"/>
        </w:rPr>
        <w:t>（三）、</w:t>
      </w:r>
      <w:r w:rsidR="00284027">
        <w:rPr>
          <w:sz w:val="21"/>
          <w:szCs w:val="21"/>
        </w:rPr>
        <w:t xml:space="preserve"> </w:t>
      </w:r>
      <w:r w:rsidRPr="000A08E3">
        <w:rPr>
          <w:rFonts w:hint="eastAsia"/>
          <w:sz w:val="21"/>
          <w:szCs w:val="21"/>
        </w:rPr>
        <w:t>2019年08月02日，我公司公告了《关于博时旗下部分开放式基金增加国信证券为代销机构的公告》；</w:t>
      </w:r>
    </w:p>
    <w:p w:rsidR="000A08E3" w:rsidRPr="000A08E3" w:rsidRDefault="000A08E3">
      <w:pPr>
        <w:pStyle w:val="a3"/>
        <w:spacing w:before="0" w:beforeAutospacing="0" w:after="0" w:afterAutospacing="0" w:line="360" w:lineRule="auto"/>
        <w:ind w:firstLine="420"/>
        <w:divId w:val="552035724"/>
        <w:rPr>
          <w:sz w:val="21"/>
          <w:szCs w:val="21"/>
        </w:rPr>
      </w:pPr>
      <w:r w:rsidRPr="000A08E3">
        <w:rPr>
          <w:rFonts w:hint="eastAsia"/>
          <w:sz w:val="21"/>
          <w:szCs w:val="21"/>
        </w:rPr>
        <w:t>（四）、</w:t>
      </w:r>
      <w:r w:rsidR="00284027">
        <w:rPr>
          <w:sz w:val="21"/>
          <w:szCs w:val="21"/>
        </w:rPr>
        <w:t xml:space="preserve"> </w:t>
      </w:r>
      <w:r w:rsidRPr="000A08E3">
        <w:rPr>
          <w:rFonts w:hint="eastAsia"/>
          <w:sz w:val="21"/>
          <w:szCs w:val="21"/>
        </w:rPr>
        <w:t>2019年07月18日，我公司公告了《博时上证50交易型开放式指数证券投资基金联接基金2019年第2季度报告》、《关于博时旗下部分开放式基金增加中信建投证券为代销机构的公告》；</w:t>
      </w:r>
    </w:p>
    <w:p w:rsidR="000A08E3" w:rsidRPr="000A08E3" w:rsidRDefault="000A08E3">
      <w:pPr>
        <w:pStyle w:val="a3"/>
        <w:spacing w:before="0" w:beforeAutospacing="0" w:after="0" w:afterAutospacing="0" w:line="360" w:lineRule="auto"/>
        <w:ind w:firstLine="420"/>
        <w:divId w:val="552035724"/>
        <w:rPr>
          <w:sz w:val="21"/>
          <w:szCs w:val="21"/>
        </w:rPr>
      </w:pPr>
      <w:r w:rsidRPr="000A08E3">
        <w:rPr>
          <w:rFonts w:hint="eastAsia"/>
          <w:sz w:val="21"/>
          <w:szCs w:val="21"/>
        </w:rPr>
        <w:t>（五）、</w:t>
      </w:r>
      <w:r w:rsidR="00284027">
        <w:rPr>
          <w:sz w:val="21"/>
          <w:szCs w:val="21"/>
        </w:rPr>
        <w:t xml:space="preserve"> </w:t>
      </w:r>
      <w:r w:rsidRPr="000A08E3">
        <w:rPr>
          <w:rFonts w:hint="eastAsia"/>
          <w:sz w:val="21"/>
          <w:szCs w:val="21"/>
        </w:rPr>
        <w:t>2019年07月15日，我公司公告了《20190715关于博时旗下部分开放式基金新增银河证券为代销机构的公告》；</w:t>
      </w:r>
    </w:p>
    <w:p w:rsidR="00DA11FA" w:rsidRDefault="000A08E3">
      <w:pPr>
        <w:pStyle w:val="a3"/>
        <w:spacing w:before="0" w:beforeAutospacing="0" w:after="0" w:afterAutospacing="0" w:line="360" w:lineRule="auto"/>
        <w:ind w:firstLine="420"/>
        <w:divId w:val="552035724"/>
        <w:rPr>
          <w:sz w:val="21"/>
          <w:szCs w:val="21"/>
        </w:rPr>
      </w:pPr>
      <w:r w:rsidRPr="000A08E3">
        <w:rPr>
          <w:rFonts w:hint="eastAsia"/>
          <w:sz w:val="21"/>
          <w:szCs w:val="21"/>
        </w:rPr>
        <w:t>（六）、</w:t>
      </w:r>
      <w:r w:rsidR="00284027">
        <w:rPr>
          <w:sz w:val="21"/>
          <w:szCs w:val="21"/>
        </w:rPr>
        <w:t xml:space="preserve"> </w:t>
      </w:r>
      <w:r w:rsidRPr="000A08E3">
        <w:rPr>
          <w:rFonts w:hint="eastAsia"/>
          <w:sz w:val="21"/>
          <w:szCs w:val="21"/>
        </w:rPr>
        <w:t>2019年06月13日，我公司公告了《关于博时上证50ETF联接基金增加浙</w:t>
      </w:r>
      <w:bookmarkStart w:id="214" w:name="chapter_level1_25_3499_section_1_end"/>
      <w:bookmarkEnd w:id="214"/>
      <w:r w:rsidRPr="000A08E3">
        <w:rPr>
          <w:rFonts w:hint="eastAsia"/>
          <w:sz w:val="21"/>
          <w:szCs w:val="21"/>
        </w:rPr>
        <w:t>商证券为代销机构的公告》。</w:t>
      </w:r>
      <w:bookmarkStart w:id="215" w:name="field_0_bsrevealinfo_1_end"/>
      <w:bookmarkEnd w:id="215"/>
      <w:r w:rsidR="00284027">
        <w:rPr>
          <w:sz w:val="21"/>
          <w:szCs w:val="21"/>
        </w:rPr>
        <w:t xml:space="preserve"> </w:t>
      </w:r>
    </w:p>
    <w:p w:rsidR="000A08E3" w:rsidRDefault="00DA11FA">
      <w:pPr>
        <w:pStyle w:val="a3"/>
        <w:spacing w:before="0" w:beforeAutospacing="0" w:after="0" w:afterAutospacing="0" w:line="360" w:lineRule="auto"/>
        <w:ind w:firstLine="420"/>
        <w:divId w:val="552035724"/>
        <w:rPr>
          <w:sz w:val="21"/>
          <w:szCs w:val="21"/>
        </w:rPr>
      </w:pPr>
      <w:r>
        <w:rPr>
          <w:rFonts w:hint="eastAsia"/>
          <w:sz w:val="21"/>
          <w:szCs w:val="21"/>
        </w:rPr>
        <w:t>（七</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05</w:t>
      </w:r>
      <w:r w:rsidRPr="000A08E3">
        <w:rPr>
          <w:rFonts w:hint="eastAsia"/>
          <w:sz w:val="21"/>
          <w:szCs w:val="21"/>
        </w:rPr>
        <w:t>月</w:t>
      </w:r>
      <w:r>
        <w:rPr>
          <w:rFonts w:hint="eastAsia"/>
          <w:sz w:val="21"/>
          <w:szCs w:val="21"/>
        </w:rPr>
        <w:t>24</w:t>
      </w:r>
      <w:r w:rsidRPr="000A08E3">
        <w:rPr>
          <w:rFonts w:hint="eastAsia"/>
          <w:sz w:val="21"/>
          <w:szCs w:val="21"/>
        </w:rPr>
        <w:t>日，我公司公告了《</w:t>
      </w:r>
      <w:r w:rsidRPr="00DA11FA">
        <w:rPr>
          <w:rFonts w:hint="eastAsia"/>
          <w:sz w:val="21"/>
          <w:szCs w:val="21"/>
        </w:rPr>
        <w:t>关于博时旗下部分开放式基金增加部分券商为代销机构的公告</w:t>
      </w:r>
      <w:r w:rsidRPr="000A08E3">
        <w:rPr>
          <w:rFonts w:hint="eastAsia"/>
          <w:sz w:val="21"/>
          <w:szCs w:val="21"/>
        </w:rPr>
        <w:t>》。</w:t>
      </w:r>
    </w:p>
    <w:p w:rsidR="00DA11FA" w:rsidRDefault="00DA11FA">
      <w:pPr>
        <w:pStyle w:val="a3"/>
        <w:spacing w:before="0" w:beforeAutospacing="0" w:after="0" w:afterAutospacing="0" w:line="360" w:lineRule="auto"/>
        <w:ind w:firstLine="420"/>
        <w:divId w:val="552035724"/>
        <w:rPr>
          <w:sz w:val="21"/>
          <w:szCs w:val="21"/>
        </w:rPr>
      </w:pPr>
      <w:r>
        <w:rPr>
          <w:rFonts w:hint="eastAsia"/>
          <w:sz w:val="21"/>
          <w:szCs w:val="21"/>
        </w:rPr>
        <w:t>（八</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04</w:t>
      </w:r>
      <w:r w:rsidRPr="000A08E3">
        <w:rPr>
          <w:rFonts w:hint="eastAsia"/>
          <w:sz w:val="21"/>
          <w:szCs w:val="21"/>
        </w:rPr>
        <w:t>月3</w:t>
      </w:r>
      <w:r>
        <w:rPr>
          <w:rFonts w:hint="eastAsia"/>
          <w:sz w:val="21"/>
          <w:szCs w:val="21"/>
        </w:rPr>
        <w:t>0</w:t>
      </w:r>
      <w:r w:rsidRPr="000A08E3">
        <w:rPr>
          <w:rFonts w:hint="eastAsia"/>
          <w:sz w:val="21"/>
          <w:szCs w:val="21"/>
        </w:rPr>
        <w:t>日，我公司公告了《</w:t>
      </w:r>
      <w:r w:rsidRPr="00DA11FA">
        <w:rPr>
          <w:rFonts w:hint="eastAsia"/>
          <w:sz w:val="21"/>
          <w:szCs w:val="21"/>
        </w:rPr>
        <w:t>关于博时旗下部分开放式基金增加中信建投证券为代销机构的公告</w:t>
      </w:r>
      <w:r w:rsidRPr="000A08E3">
        <w:rPr>
          <w:rFonts w:hint="eastAsia"/>
          <w:sz w:val="21"/>
          <w:szCs w:val="21"/>
        </w:rPr>
        <w:t>》。</w:t>
      </w:r>
    </w:p>
    <w:p w:rsidR="00DA11FA" w:rsidRDefault="00DA11FA">
      <w:pPr>
        <w:pStyle w:val="a3"/>
        <w:spacing w:before="0" w:beforeAutospacing="0" w:after="0" w:afterAutospacing="0" w:line="360" w:lineRule="auto"/>
        <w:ind w:firstLine="420"/>
        <w:divId w:val="552035724"/>
        <w:rPr>
          <w:sz w:val="21"/>
          <w:szCs w:val="21"/>
        </w:rPr>
      </w:pPr>
      <w:r>
        <w:rPr>
          <w:rFonts w:hint="eastAsia"/>
          <w:sz w:val="21"/>
          <w:szCs w:val="21"/>
        </w:rPr>
        <w:t>（九</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04</w:t>
      </w:r>
      <w:r w:rsidRPr="000A08E3">
        <w:rPr>
          <w:rFonts w:hint="eastAsia"/>
          <w:sz w:val="21"/>
          <w:szCs w:val="21"/>
        </w:rPr>
        <w:t>月</w:t>
      </w:r>
      <w:r>
        <w:rPr>
          <w:rFonts w:hint="eastAsia"/>
          <w:sz w:val="21"/>
          <w:szCs w:val="21"/>
        </w:rPr>
        <w:t>22</w:t>
      </w:r>
      <w:r w:rsidRPr="000A08E3">
        <w:rPr>
          <w:rFonts w:hint="eastAsia"/>
          <w:sz w:val="21"/>
          <w:szCs w:val="21"/>
        </w:rPr>
        <w:t>日，我公司公告了《</w:t>
      </w:r>
      <w:r w:rsidRPr="00DA11FA">
        <w:rPr>
          <w:rFonts w:hint="eastAsia"/>
          <w:sz w:val="21"/>
          <w:szCs w:val="21"/>
        </w:rPr>
        <w:t>博时上证50交易型开放式指数证券投资基金联接基金2019年第1季度报告</w:t>
      </w:r>
      <w:r w:rsidRPr="000A08E3">
        <w:rPr>
          <w:rFonts w:hint="eastAsia"/>
          <w:sz w:val="21"/>
          <w:szCs w:val="21"/>
        </w:rPr>
        <w:t>》。</w:t>
      </w:r>
    </w:p>
    <w:p w:rsidR="00DA11FA" w:rsidRDefault="00DA11FA">
      <w:pPr>
        <w:pStyle w:val="a3"/>
        <w:spacing w:before="0" w:beforeAutospacing="0" w:after="0" w:afterAutospacing="0" w:line="360" w:lineRule="auto"/>
        <w:ind w:firstLine="420"/>
        <w:divId w:val="552035724"/>
        <w:rPr>
          <w:sz w:val="21"/>
          <w:szCs w:val="21"/>
        </w:rPr>
      </w:pPr>
      <w:r>
        <w:rPr>
          <w:rFonts w:hint="eastAsia"/>
          <w:sz w:val="21"/>
          <w:szCs w:val="21"/>
        </w:rPr>
        <w:t>（十</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03</w:t>
      </w:r>
      <w:r w:rsidRPr="000A08E3">
        <w:rPr>
          <w:rFonts w:hint="eastAsia"/>
          <w:sz w:val="21"/>
          <w:szCs w:val="21"/>
        </w:rPr>
        <w:t>月</w:t>
      </w:r>
      <w:r>
        <w:rPr>
          <w:rFonts w:hint="eastAsia"/>
          <w:sz w:val="21"/>
          <w:szCs w:val="21"/>
        </w:rPr>
        <w:t>29</w:t>
      </w:r>
      <w:r w:rsidRPr="000A08E3">
        <w:rPr>
          <w:rFonts w:hint="eastAsia"/>
          <w:sz w:val="21"/>
          <w:szCs w:val="21"/>
        </w:rPr>
        <w:t>日，我公司公告了《</w:t>
      </w:r>
      <w:r w:rsidRPr="00DA11FA">
        <w:rPr>
          <w:rFonts w:hint="eastAsia"/>
          <w:sz w:val="21"/>
          <w:szCs w:val="21"/>
        </w:rPr>
        <w:t>博时上证50交易型开放式指数证券投资基金联接基金2018年年度报告（摘要）</w:t>
      </w:r>
      <w:r w:rsidRPr="000A08E3">
        <w:rPr>
          <w:rFonts w:hint="eastAsia"/>
          <w:sz w:val="21"/>
          <w:szCs w:val="21"/>
        </w:rPr>
        <w:t>》。</w:t>
      </w:r>
    </w:p>
    <w:p w:rsidR="00DA11FA" w:rsidRDefault="00DA11FA">
      <w:pPr>
        <w:pStyle w:val="a3"/>
        <w:spacing w:before="0" w:beforeAutospacing="0" w:after="0" w:afterAutospacing="0" w:line="360" w:lineRule="auto"/>
        <w:ind w:firstLine="420"/>
        <w:divId w:val="552035724"/>
        <w:rPr>
          <w:sz w:val="21"/>
          <w:szCs w:val="21"/>
        </w:rPr>
      </w:pPr>
      <w:r>
        <w:rPr>
          <w:rFonts w:hint="eastAsia"/>
          <w:sz w:val="21"/>
          <w:szCs w:val="21"/>
        </w:rPr>
        <w:t>（十一</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03</w:t>
      </w:r>
      <w:r w:rsidRPr="000A08E3">
        <w:rPr>
          <w:rFonts w:hint="eastAsia"/>
          <w:sz w:val="21"/>
          <w:szCs w:val="21"/>
        </w:rPr>
        <w:t>月</w:t>
      </w:r>
      <w:r>
        <w:rPr>
          <w:rFonts w:hint="eastAsia"/>
          <w:sz w:val="21"/>
          <w:szCs w:val="21"/>
        </w:rPr>
        <w:t>04</w:t>
      </w:r>
      <w:r w:rsidRPr="000A08E3">
        <w:rPr>
          <w:rFonts w:hint="eastAsia"/>
          <w:sz w:val="21"/>
          <w:szCs w:val="21"/>
        </w:rPr>
        <w:t>日，我公司公告了《</w:t>
      </w:r>
      <w:r w:rsidRPr="00DA11FA">
        <w:rPr>
          <w:rFonts w:hint="eastAsia"/>
          <w:sz w:val="21"/>
          <w:szCs w:val="21"/>
        </w:rPr>
        <w:t>关于博时上证50ETF联接A类基金增加部分券商渠道为代销机构的公告</w:t>
      </w:r>
      <w:r w:rsidRPr="000A08E3">
        <w:rPr>
          <w:rFonts w:hint="eastAsia"/>
          <w:sz w:val="21"/>
          <w:szCs w:val="21"/>
        </w:rPr>
        <w:t>》。</w:t>
      </w:r>
    </w:p>
    <w:p w:rsidR="00DA11FA" w:rsidRDefault="00DA11FA">
      <w:pPr>
        <w:pStyle w:val="a3"/>
        <w:spacing w:before="0" w:beforeAutospacing="0" w:after="0" w:afterAutospacing="0" w:line="360" w:lineRule="auto"/>
        <w:ind w:firstLine="420"/>
        <w:divId w:val="552035724"/>
        <w:rPr>
          <w:sz w:val="21"/>
          <w:szCs w:val="21"/>
        </w:rPr>
      </w:pPr>
      <w:r>
        <w:rPr>
          <w:rFonts w:hint="eastAsia"/>
          <w:sz w:val="21"/>
          <w:szCs w:val="21"/>
        </w:rPr>
        <w:t>（十二</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01</w:t>
      </w:r>
      <w:r w:rsidRPr="000A08E3">
        <w:rPr>
          <w:rFonts w:hint="eastAsia"/>
          <w:sz w:val="21"/>
          <w:szCs w:val="21"/>
        </w:rPr>
        <w:t>月</w:t>
      </w:r>
      <w:r>
        <w:rPr>
          <w:rFonts w:hint="eastAsia"/>
          <w:sz w:val="21"/>
          <w:szCs w:val="21"/>
        </w:rPr>
        <w:t>19</w:t>
      </w:r>
      <w:r w:rsidRPr="000A08E3">
        <w:rPr>
          <w:rFonts w:hint="eastAsia"/>
          <w:sz w:val="21"/>
          <w:szCs w:val="21"/>
        </w:rPr>
        <w:t>日，我公司公告了《</w:t>
      </w:r>
      <w:r w:rsidRPr="00DA11FA">
        <w:rPr>
          <w:rFonts w:hint="eastAsia"/>
          <w:sz w:val="21"/>
          <w:szCs w:val="21"/>
        </w:rPr>
        <w:t>博时上证50交易型开放式指数证券投资基金联接基金2018年第4季度报告</w:t>
      </w:r>
      <w:r w:rsidRPr="000A08E3">
        <w:rPr>
          <w:rFonts w:hint="eastAsia"/>
          <w:sz w:val="21"/>
          <w:szCs w:val="21"/>
        </w:rPr>
        <w:t>》。</w:t>
      </w:r>
    </w:p>
    <w:p w:rsidR="00DA11FA" w:rsidRDefault="00DA11FA" w:rsidP="005B6222">
      <w:pPr>
        <w:pStyle w:val="a3"/>
        <w:spacing w:line="360" w:lineRule="auto"/>
        <w:ind w:firstLine="420"/>
        <w:divId w:val="552035724"/>
        <w:rPr>
          <w:sz w:val="21"/>
          <w:szCs w:val="21"/>
        </w:rPr>
      </w:pPr>
      <w:r>
        <w:rPr>
          <w:rFonts w:hint="eastAsia"/>
          <w:sz w:val="21"/>
          <w:szCs w:val="21"/>
        </w:rPr>
        <w:t>（十三</w:t>
      </w:r>
      <w:r w:rsidRPr="000A08E3">
        <w:rPr>
          <w:rFonts w:hint="eastAsia"/>
          <w:sz w:val="21"/>
          <w:szCs w:val="21"/>
        </w:rPr>
        <w:t>）、</w:t>
      </w:r>
      <w:r>
        <w:rPr>
          <w:sz w:val="21"/>
          <w:szCs w:val="21"/>
        </w:rPr>
        <w:t xml:space="preserve"> </w:t>
      </w:r>
      <w:r w:rsidRPr="000A08E3">
        <w:rPr>
          <w:rFonts w:hint="eastAsia"/>
          <w:sz w:val="21"/>
          <w:szCs w:val="21"/>
        </w:rPr>
        <w:t>2019年</w:t>
      </w:r>
      <w:r>
        <w:rPr>
          <w:rFonts w:hint="eastAsia"/>
          <w:sz w:val="21"/>
          <w:szCs w:val="21"/>
        </w:rPr>
        <w:t>01</w:t>
      </w:r>
      <w:r w:rsidRPr="000A08E3">
        <w:rPr>
          <w:rFonts w:hint="eastAsia"/>
          <w:sz w:val="21"/>
          <w:szCs w:val="21"/>
        </w:rPr>
        <w:t>月</w:t>
      </w:r>
      <w:r>
        <w:rPr>
          <w:rFonts w:hint="eastAsia"/>
          <w:sz w:val="21"/>
          <w:szCs w:val="21"/>
        </w:rPr>
        <w:t>11</w:t>
      </w:r>
      <w:r w:rsidRPr="000A08E3">
        <w:rPr>
          <w:rFonts w:hint="eastAsia"/>
          <w:sz w:val="21"/>
          <w:szCs w:val="21"/>
        </w:rPr>
        <w:t>日，我公司公告了《</w:t>
      </w:r>
      <w:r w:rsidRPr="00DA11FA">
        <w:rPr>
          <w:rFonts w:hint="eastAsia"/>
          <w:sz w:val="21"/>
          <w:szCs w:val="21"/>
        </w:rPr>
        <w:t>博时上证50交易型开放式证券投资基金联接基金招募说明书2019年第1号（摘要）</w:t>
      </w:r>
      <w:r w:rsidRPr="000A08E3">
        <w:rPr>
          <w:rFonts w:hint="eastAsia"/>
          <w:sz w:val="21"/>
          <w:szCs w:val="21"/>
        </w:rPr>
        <w:t>》。</w:t>
      </w:r>
    </w:p>
    <w:p w:rsidR="000A08E3" w:rsidRPr="000A08E3" w:rsidRDefault="000A08E3">
      <w:pPr>
        <w:widowControl/>
        <w:jc w:val="left"/>
        <w:rPr>
          <w:rFonts w:ascii="宋体" w:eastAsia="宋体" w:hAnsi="宋体"/>
        </w:rPr>
      </w:pPr>
      <w:r w:rsidRPr="000A08E3">
        <w:rPr>
          <w:rFonts w:ascii="宋体" w:eastAsia="宋体" w:hAnsi="宋体"/>
        </w:rPr>
        <w:lastRenderedPageBreak/>
        <w:br w:type="page"/>
      </w:r>
    </w:p>
    <w:p w:rsidR="000A08E3" w:rsidRPr="000A08E3" w:rsidRDefault="000A08E3" w:rsidP="000A08E3">
      <w:pPr>
        <w:pStyle w:val="2"/>
        <w:jc w:val="center"/>
        <w:rPr>
          <w:rFonts w:ascii="宋体" w:eastAsia="宋体" w:hAnsi="宋体"/>
          <w:sz w:val="30"/>
        </w:rPr>
      </w:pPr>
      <w:bookmarkStart w:id="216" w:name="chapter_level1_26_77"/>
      <w:bookmarkStart w:id="217" w:name="_Toc26382927"/>
      <w:r w:rsidRPr="000A08E3">
        <w:rPr>
          <w:rFonts w:ascii="宋体" w:eastAsia="宋体" w:hAnsi="宋体" w:hint="eastAsia"/>
          <w:sz w:val="30"/>
        </w:rPr>
        <w:lastRenderedPageBreak/>
        <w:t>第二十三部分  招募说明书存放及查阅方式</w:t>
      </w:r>
      <w:bookmarkEnd w:id="216"/>
      <w:bookmarkEnd w:id="217"/>
    </w:p>
    <w:p w:rsidR="000A08E3" w:rsidRPr="000A08E3" w:rsidRDefault="002C6DD1">
      <w:pPr>
        <w:pStyle w:val="a3"/>
        <w:spacing w:before="0" w:beforeAutospacing="0" w:after="0" w:afterAutospacing="0" w:line="360" w:lineRule="auto"/>
        <w:ind w:firstLine="420"/>
        <w:divId w:val="353728001"/>
        <w:rPr>
          <w:sz w:val="21"/>
          <w:szCs w:val="21"/>
        </w:rPr>
      </w:pPr>
      <w:bookmarkStart w:id="218" w:name="chapter_level1_26_77_section_1"/>
      <w:bookmarkEnd w:id="218"/>
      <w:r w:rsidRPr="002C6DD1">
        <w:rPr>
          <w:rFonts w:hint="eastAsia"/>
          <w:sz w:val="21"/>
          <w:szCs w:val="21"/>
        </w:rPr>
        <w:t>依法必须披露的信息发布后，基金管理人、基金托管人应当按照相关法律法规规定将信息置备于各自住所，供</w:t>
      </w:r>
      <w:r>
        <w:rPr>
          <w:rFonts w:hint="eastAsia"/>
          <w:sz w:val="21"/>
          <w:szCs w:val="21"/>
        </w:rPr>
        <w:t>社会公众查阅、复制</w:t>
      </w:r>
      <w:r w:rsidR="000A08E3" w:rsidRPr="000A08E3">
        <w:rPr>
          <w:rFonts w:hint="eastAsia"/>
          <w:sz w:val="21"/>
          <w:szCs w:val="21"/>
        </w:rPr>
        <w:t>。投资人可在办公时间查阅；投资人在支付工本费后，可在合理时间内取得上述文件复制件或复印件。对投资人按此种方式所获得的文件及其复印件，基金管理人保证文本的内容与所公告的内容完全一致。</w:t>
      </w:r>
      <w:r w:rsidR="00284027">
        <w:rPr>
          <w:sz w:val="21"/>
          <w:szCs w:val="21"/>
        </w:rPr>
        <w:t xml:space="preserve"> </w:t>
      </w:r>
      <w:r w:rsidR="000A08E3"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353728001"/>
        <w:rPr>
          <w:sz w:val="21"/>
          <w:szCs w:val="21"/>
        </w:rPr>
      </w:pPr>
      <w:bookmarkStart w:id="219" w:name="chapter_level1_26_77_section_1_end"/>
      <w:bookmarkEnd w:id="219"/>
      <w:r w:rsidRPr="000A08E3">
        <w:rPr>
          <w:rFonts w:hint="eastAsia"/>
          <w:sz w:val="21"/>
          <w:szCs w:val="21"/>
        </w:rPr>
        <w:t xml:space="preserve">投资人还可以直接登录基金管理人的网站（www.bosera.com）查阅和下载招募说明书。 </w:t>
      </w:r>
    </w:p>
    <w:p w:rsidR="000A08E3" w:rsidRPr="000A08E3" w:rsidRDefault="000A08E3">
      <w:pPr>
        <w:widowControl/>
        <w:jc w:val="left"/>
        <w:rPr>
          <w:rFonts w:ascii="宋体" w:eastAsia="宋体" w:hAnsi="宋体"/>
        </w:rPr>
      </w:pPr>
      <w:r w:rsidRPr="000A08E3">
        <w:rPr>
          <w:rFonts w:ascii="宋体" w:eastAsia="宋体" w:hAnsi="宋体"/>
        </w:rPr>
        <w:br w:type="page"/>
      </w:r>
    </w:p>
    <w:p w:rsidR="000A08E3" w:rsidRPr="000A08E3" w:rsidRDefault="000A08E3" w:rsidP="000A08E3">
      <w:pPr>
        <w:pStyle w:val="2"/>
        <w:jc w:val="center"/>
        <w:rPr>
          <w:rFonts w:ascii="宋体" w:eastAsia="宋体" w:hAnsi="宋体"/>
          <w:sz w:val="30"/>
        </w:rPr>
      </w:pPr>
      <w:bookmarkStart w:id="220" w:name="chapter_level1_27_332"/>
      <w:bookmarkStart w:id="221" w:name="_Toc26382928"/>
      <w:r w:rsidRPr="000A08E3">
        <w:rPr>
          <w:rFonts w:ascii="宋体" w:eastAsia="宋体" w:hAnsi="宋体" w:hint="eastAsia"/>
          <w:sz w:val="30"/>
        </w:rPr>
        <w:lastRenderedPageBreak/>
        <w:t>第二十四部分  备查文件</w:t>
      </w:r>
      <w:bookmarkEnd w:id="220"/>
      <w:bookmarkEnd w:id="221"/>
    </w:p>
    <w:p w:rsidR="000A08E3" w:rsidRPr="000A08E3" w:rsidRDefault="000A08E3">
      <w:pPr>
        <w:pStyle w:val="a3"/>
        <w:spacing w:before="0" w:beforeAutospacing="0" w:after="0" w:afterAutospacing="0" w:line="360" w:lineRule="auto"/>
        <w:ind w:firstLine="420"/>
        <w:divId w:val="1564757001"/>
        <w:rPr>
          <w:sz w:val="21"/>
          <w:szCs w:val="21"/>
        </w:rPr>
      </w:pPr>
      <w:bookmarkStart w:id="222" w:name="chapter_level1_27_332_section_1"/>
      <w:bookmarkEnd w:id="222"/>
      <w:r w:rsidRPr="000A08E3">
        <w:rPr>
          <w:rFonts w:hint="eastAsia"/>
          <w:sz w:val="21"/>
          <w:szCs w:val="21"/>
        </w:rPr>
        <w:t>以下备查文件存放在基金管理人的办公场所，在办公时间可供免费查阅。</w:t>
      </w:r>
      <w:r w:rsidR="00284027">
        <w:rPr>
          <w:sz w:val="21"/>
          <w:szCs w:val="21"/>
        </w:rPr>
        <w:t xml:space="preserve"> </w:t>
      </w:r>
      <w:r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（一）中国证监会准予</w:t>
      </w:r>
      <w:bookmarkStart w:id="223" w:name="field_49_productfullname_10"/>
      <w:r w:rsidR="00284027">
        <w:rPr>
          <w:rFonts w:hint="eastAsia"/>
          <w:sz w:val="21"/>
          <w:szCs w:val="21"/>
        </w:rPr>
        <w:t>博时上证</w:t>
      </w:r>
      <w:r w:rsidR="00284027">
        <w:rPr>
          <w:sz w:val="21"/>
          <w:szCs w:val="21"/>
        </w:rPr>
        <w:t>50交易型开放式指数证券投资基金联接基金</w:t>
      </w:r>
      <w:bookmarkEnd w:id="223"/>
      <w:r w:rsidRPr="000A08E3">
        <w:rPr>
          <w:rFonts w:hint="eastAsia"/>
          <w:sz w:val="21"/>
          <w:szCs w:val="21"/>
        </w:rPr>
        <w:t xml:space="preserve">募集注册的文件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（二）《</w:t>
      </w:r>
      <w:bookmarkStart w:id="224" w:name="field_49_productfullname_11"/>
      <w:r w:rsidR="00284027">
        <w:rPr>
          <w:rFonts w:hint="eastAsia"/>
          <w:sz w:val="21"/>
          <w:szCs w:val="21"/>
        </w:rPr>
        <w:t>博时上证</w:t>
      </w:r>
      <w:r w:rsidR="00284027">
        <w:rPr>
          <w:sz w:val="21"/>
          <w:szCs w:val="21"/>
        </w:rPr>
        <w:t>50交易型开放式指数证券投资基金联接基金</w:t>
      </w:r>
      <w:bookmarkEnd w:id="224"/>
      <w:r w:rsidRPr="000A08E3">
        <w:rPr>
          <w:rFonts w:hint="eastAsia"/>
          <w:sz w:val="21"/>
          <w:szCs w:val="21"/>
        </w:rPr>
        <w:t xml:space="preserve">基金合同》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（三）《</w:t>
      </w:r>
      <w:bookmarkStart w:id="225" w:name="field_49_productfullname_12"/>
      <w:r w:rsidR="00284027">
        <w:rPr>
          <w:rFonts w:hint="eastAsia"/>
          <w:sz w:val="21"/>
          <w:szCs w:val="21"/>
        </w:rPr>
        <w:t>博时上证</w:t>
      </w:r>
      <w:r w:rsidR="00284027">
        <w:rPr>
          <w:sz w:val="21"/>
          <w:szCs w:val="21"/>
        </w:rPr>
        <w:t>50交易型开放式指数证券投资基金联接基金</w:t>
      </w:r>
      <w:bookmarkEnd w:id="225"/>
      <w:r w:rsidRPr="000A08E3">
        <w:rPr>
          <w:rFonts w:hint="eastAsia"/>
          <w:sz w:val="21"/>
          <w:szCs w:val="21"/>
        </w:rPr>
        <w:t xml:space="preserve">托管协议》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 xml:space="preserve">（四）基金管理人业务资格批件、营业执照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 xml:space="preserve">（五）基金托管人业务资格批件、营业执照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（六）关于申请募集注册</w:t>
      </w:r>
      <w:bookmarkStart w:id="226" w:name="field_49_productfullname_13"/>
      <w:r w:rsidR="00284027">
        <w:rPr>
          <w:rFonts w:hint="eastAsia"/>
          <w:sz w:val="21"/>
          <w:szCs w:val="21"/>
        </w:rPr>
        <w:t>博时上证</w:t>
      </w:r>
      <w:r w:rsidR="00284027">
        <w:rPr>
          <w:sz w:val="21"/>
          <w:szCs w:val="21"/>
        </w:rPr>
        <w:t>50交易型开放式指数证券投资基金联接基金</w:t>
      </w:r>
      <w:bookmarkEnd w:id="226"/>
      <w:r w:rsidRPr="000A08E3">
        <w:rPr>
          <w:rFonts w:hint="eastAsia"/>
          <w:sz w:val="21"/>
          <w:szCs w:val="21"/>
        </w:rPr>
        <w:t xml:space="preserve">之法律意见书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 xml:space="preserve">（七）中国证监会要求的其他文件 </w:t>
      </w:r>
    </w:p>
    <w:p w:rsidR="000A08E3" w:rsidRPr="000A08E3" w:rsidRDefault="000A08E3">
      <w:pPr>
        <w:pStyle w:val="a3"/>
        <w:spacing w:before="0" w:beforeAutospacing="0" w:after="0" w:afterAutospacing="0" w:line="360" w:lineRule="auto"/>
        <w:ind w:firstLine="420"/>
        <w:divId w:val="1564757001"/>
        <w:rPr>
          <w:sz w:val="21"/>
          <w:szCs w:val="21"/>
        </w:rPr>
      </w:pPr>
      <w:r w:rsidRPr="000A08E3">
        <w:rPr>
          <w:rFonts w:hint="eastAsia"/>
          <w:sz w:val="21"/>
          <w:szCs w:val="21"/>
        </w:rPr>
        <w:t xml:space="preserve">查阅方式：投资人可在营业时间免费查阅，也可按工本费购买复印件。 </w:t>
      </w:r>
    </w:p>
    <w:p w:rsidR="000A08E3" w:rsidRPr="000A08E3" w:rsidRDefault="000A08E3">
      <w:pPr>
        <w:pStyle w:val="a3"/>
        <w:spacing w:before="0" w:beforeAutospacing="0" w:after="0" w:afterAutospacing="0" w:line="360" w:lineRule="auto"/>
        <w:ind w:firstLine="420"/>
        <w:divId w:val="1564757001"/>
        <w:rPr>
          <w:sz w:val="21"/>
          <w:szCs w:val="21"/>
        </w:rPr>
      </w:pPr>
    </w:p>
    <w:p w:rsidR="000A08E3" w:rsidRPr="000A08E3" w:rsidRDefault="000A08E3">
      <w:pPr>
        <w:pStyle w:val="a3"/>
        <w:spacing w:before="0" w:beforeAutospacing="0" w:after="0" w:afterAutospacing="0" w:line="360" w:lineRule="auto"/>
        <w:ind w:firstLine="420"/>
        <w:divId w:val="1564757001"/>
        <w:rPr>
          <w:sz w:val="21"/>
          <w:szCs w:val="21"/>
        </w:rPr>
      </w:pPr>
    </w:p>
    <w:p w:rsidR="000A08E3" w:rsidRPr="000A08E3" w:rsidRDefault="000A08E3">
      <w:pPr>
        <w:pStyle w:val="a3"/>
        <w:spacing w:before="0" w:beforeAutospacing="0" w:after="0" w:afterAutospacing="0" w:line="360" w:lineRule="auto"/>
        <w:ind w:firstLine="420"/>
        <w:divId w:val="1564757001"/>
        <w:rPr>
          <w:sz w:val="21"/>
          <w:szCs w:val="21"/>
        </w:rPr>
      </w:pPr>
    </w:p>
    <w:p w:rsidR="000A08E3" w:rsidRPr="000A08E3" w:rsidRDefault="00284027">
      <w:pPr>
        <w:pStyle w:val="a3"/>
        <w:spacing w:before="0" w:beforeAutospacing="0" w:after="0" w:afterAutospacing="0" w:line="360" w:lineRule="auto"/>
        <w:ind w:firstLine="420"/>
        <w:jc w:val="right"/>
        <w:divId w:val="1564757001"/>
        <w:rPr>
          <w:sz w:val="21"/>
          <w:szCs w:val="21"/>
        </w:rPr>
      </w:pPr>
      <w:bookmarkStart w:id="227" w:name="field_49_managerorgfullname_8"/>
      <w:r>
        <w:rPr>
          <w:rFonts w:hint="eastAsia"/>
          <w:sz w:val="21"/>
          <w:szCs w:val="21"/>
        </w:rPr>
        <w:t>博时基金管理有限公司</w:t>
      </w:r>
      <w:bookmarkEnd w:id="227"/>
      <w:r>
        <w:rPr>
          <w:sz w:val="21"/>
          <w:szCs w:val="21"/>
        </w:rPr>
        <w:t xml:space="preserve"> </w:t>
      </w:r>
      <w:r w:rsidR="000A08E3" w:rsidRPr="000A08E3">
        <w:rPr>
          <w:rFonts w:hint="eastAsia"/>
          <w:sz w:val="21"/>
          <w:szCs w:val="21"/>
        </w:rPr>
        <w:t xml:space="preserve"> </w:t>
      </w:r>
    </w:p>
    <w:p w:rsidR="000A08E3" w:rsidRPr="000A08E3" w:rsidRDefault="00E778BE">
      <w:pPr>
        <w:pStyle w:val="a3"/>
        <w:spacing w:before="0" w:beforeAutospacing="0" w:after="0" w:afterAutospacing="0" w:line="360" w:lineRule="auto"/>
        <w:ind w:firstLine="420"/>
        <w:jc w:val="right"/>
        <w:divId w:val="1564757001"/>
        <w:rPr>
          <w:sz w:val="21"/>
          <w:szCs w:val="21"/>
        </w:rPr>
      </w:pPr>
      <w:bookmarkStart w:id="228" w:name="field_0_commitmenttime_1"/>
      <w:r>
        <w:rPr>
          <w:sz w:val="21"/>
          <w:szCs w:val="21"/>
        </w:rPr>
        <w:t>2019年12月</w:t>
      </w:r>
      <w:r>
        <w:rPr>
          <w:rFonts w:hint="eastAsia"/>
          <w:sz w:val="21"/>
          <w:szCs w:val="21"/>
        </w:rPr>
        <w:t>31</w:t>
      </w:r>
      <w:r w:rsidR="00284027">
        <w:rPr>
          <w:sz w:val="21"/>
          <w:szCs w:val="21"/>
        </w:rPr>
        <w:t>日</w:t>
      </w:r>
      <w:bookmarkEnd w:id="228"/>
      <w:r w:rsidR="00284027">
        <w:rPr>
          <w:sz w:val="21"/>
          <w:szCs w:val="21"/>
        </w:rPr>
        <w:t xml:space="preserve"> </w:t>
      </w:r>
      <w:r w:rsidR="000A08E3" w:rsidRPr="000A08E3">
        <w:rPr>
          <w:rFonts w:hint="eastAsia"/>
          <w:sz w:val="21"/>
          <w:szCs w:val="21"/>
        </w:rPr>
        <w:t xml:space="preserve"> </w:t>
      </w:r>
    </w:p>
    <w:p w:rsidR="000A08E3" w:rsidRPr="000A08E3" w:rsidRDefault="000A08E3">
      <w:pPr>
        <w:pStyle w:val="a3"/>
        <w:spacing w:before="0" w:beforeAutospacing="0" w:after="0" w:afterAutospacing="0" w:line="360" w:lineRule="auto"/>
        <w:ind w:firstLine="420"/>
        <w:divId w:val="1564757001"/>
        <w:rPr>
          <w:sz w:val="21"/>
          <w:szCs w:val="21"/>
        </w:rPr>
      </w:pPr>
      <w:bookmarkStart w:id="229" w:name="chapter_level1_27_332_section_1_end"/>
      <w:bookmarkEnd w:id="229"/>
    </w:p>
    <w:p w:rsidR="000A08E3" w:rsidRPr="000A08E3" w:rsidRDefault="000A08E3" w:rsidP="000A08E3">
      <w:pPr>
        <w:rPr>
          <w:rFonts w:ascii="宋体" w:eastAsia="宋体" w:hAnsi="宋体"/>
        </w:rPr>
      </w:pPr>
      <w:bookmarkStart w:id="230" w:name="end"/>
      <w:bookmarkEnd w:id="230"/>
    </w:p>
    <w:sectPr w:rsidR="000A08E3" w:rsidRPr="000A08E3" w:rsidSect="000A08E3">
      <w:headerReference w:type="default" r:id="rId9"/>
      <w:footerReference w:type="default" r:id="rId10"/>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701" w:rsidRDefault="00B76701" w:rsidP="000A08E3">
      <w:r>
        <w:separator/>
      </w:r>
    </w:p>
  </w:endnote>
  <w:endnote w:type="continuationSeparator" w:id="0">
    <w:p w:rsidR="00B76701" w:rsidRDefault="00B76701" w:rsidP="000A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C3" w:rsidRPr="000A08E3" w:rsidRDefault="004F1DC3" w:rsidP="000A08E3">
    <w:pPr>
      <w:pStyle w:val="a7"/>
      <w:jc w:val="center"/>
    </w:pPr>
    <w:r w:rsidRPr="000A08E3">
      <w:rPr>
        <w:rFonts w:hint="eastAsia"/>
      </w:rPr>
      <w:t>第</w:t>
    </w:r>
    <w:r w:rsidRPr="000A08E3">
      <w:fldChar w:fldCharType="begin"/>
    </w:r>
    <w:r w:rsidRPr="000A08E3">
      <w:instrText xml:space="preserve"> </w:instrText>
    </w:r>
    <w:r w:rsidRPr="000A08E3">
      <w:rPr>
        <w:rFonts w:hint="eastAsia"/>
      </w:rPr>
      <w:instrText>Page \* MERGEFORMAT</w:instrText>
    </w:r>
    <w:r w:rsidRPr="000A08E3">
      <w:instrText xml:space="preserve"> </w:instrText>
    </w:r>
    <w:r w:rsidRPr="000A08E3">
      <w:fldChar w:fldCharType="separate"/>
    </w:r>
    <w:r w:rsidR="00CB7A13">
      <w:rPr>
        <w:noProof/>
      </w:rPr>
      <w:t>142</w:t>
    </w:r>
    <w:r w:rsidRPr="000A08E3">
      <w:fldChar w:fldCharType="end"/>
    </w:r>
    <w:r w:rsidRPr="000A08E3">
      <w:rPr>
        <w:rFonts w:hint="eastAsia"/>
      </w:rPr>
      <w:t>页</w:t>
    </w:r>
    <w:r w:rsidRPr="000A08E3">
      <w:rPr>
        <w:rFonts w:hint="eastAsia"/>
      </w:rPr>
      <w:t xml:space="preserve"> </w:t>
    </w:r>
    <w:r w:rsidRPr="000A08E3">
      <w:rPr>
        <w:rFonts w:hint="eastAsia"/>
      </w:rPr>
      <w:t>共</w:t>
    </w:r>
    <w:r>
      <w:rPr>
        <w:noProof/>
      </w:rPr>
      <w:fldChar w:fldCharType="begin"/>
    </w:r>
    <w:r>
      <w:rPr>
        <w:noProof/>
      </w:rPr>
      <w:instrText xml:space="preserve"> NumPages \* MERGEFORMAT </w:instrText>
    </w:r>
    <w:r>
      <w:rPr>
        <w:noProof/>
      </w:rPr>
      <w:fldChar w:fldCharType="separate"/>
    </w:r>
    <w:r w:rsidR="00CB7A13">
      <w:rPr>
        <w:noProof/>
      </w:rPr>
      <w:t>144</w:t>
    </w:r>
    <w:r>
      <w:rPr>
        <w:noProof/>
      </w:rPr>
      <w:fldChar w:fldCharType="end"/>
    </w:r>
    <w:r w:rsidRPr="000A08E3">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701" w:rsidRDefault="00B76701" w:rsidP="000A08E3">
      <w:r>
        <w:separator/>
      </w:r>
    </w:p>
  </w:footnote>
  <w:footnote w:type="continuationSeparator" w:id="0">
    <w:p w:rsidR="00B76701" w:rsidRDefault="00B76701" w:rsidP="000A0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DC3" w:rsidRPr="000A08E3" w:rsidRDefault="004F1DC3" w:rsidP="000A08E3">
    <w:pPr>
      <w:pStyle w:val="a6"/>
      <w:jc w:val="right"/>
    </w:pPr>
    <w:r w:rsidRPr="000A08E3">
      <w:rPr>
        <w:rFonts w:hint="eastAsia"/>
      </w:rPr>
      <w:t>博时上证</w:t>
    </w:r>
    <w:r w:rsidRPr="000A08E3">
      <w:rPr>
        <w:rFonts w:hint="eastAsia"/>
      </w:rPr>
      <w:t>50</w:t>
    </w:r>
    <w:r w:rsidRPr="000A08E3">
      <w:rPr>
        <w:rFonts w:hint="eastAsia"/>
      </w:rPr>
      <w:t>交易型开放式指数证券投资基金联接基金更新招募说明书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8E3"/>
    <w:rsid w:val="00064A45"/>
    <w:rsid w:val="000A08E3"/>
    <w:rsid w:val="002314EC"/>
    <w:rsid w:val="00284027"/>
    <w:rsid w:val="002A4BC4"/>
    <w:rsid w:val="002B7D4C"/>
    <w:rsid w:val="002C6DD1"/>
    <w:rsid w:val="00315BBA"/>
    <w:rsid w:val="00316C9A"/>
    <w:rsid w:val="003519F8"/>
    <w:rsid w:val="003C0FD5"/>
    <w:rsid w:val="00427C06"/>
    <w:rsid w:val="004D342B"/>
    <w:rsid w:val="004F1DC3"/>
    <w:rsid w:val="00587012"/>
    <w:rsid w:val="005B6222"/>
    <w:rsid w:val="005C05C2"/>
    <w:rsid w:val="005D3076"/>
    <w:rsid w:val="005F7B8F"/>
    <w:rsid w:val="006540CF"/>
    <w:rsid w:val="00680778"/>
    <w:rsid w:val="006A4C96"/>
    <w:rsid w:val="006D6000"/>
    <w:rsid w:val="00741727"/>
    <w:rsid w:val="0084771D"/>
    <w:rsid w:val="008E70F0"/>
    <w:rsid w:val="008F015A"/>
    <w:rsid w:val="0097344A"/>
    <w:rsid w:val="009F0FE3"/>
    <w:rsid w:val="00A052F3"/>
    <w:rsid w:val="00A26471"/>
    <w:rsid w:val="00A67A1F"/>
    <w:rsid w:val="00AE1F4A"/>
    <w:rsid w:val="00B0739B"/>
    <w:rsid w:val="00B76701"/>
    <w:rsid w:val="00B86001"/>
    <w:rsid w:val="00B935DB"/>
    <w:rsid w:val="00BF45B6"/>
    <w:rsid w:val="00CB7A13"/>
    <w:rsid w:val="00CE4D7C"/>
    <w:rsid w:val="00D42C15"/>
    <w:rsid w:val="00D52014"/>
    <w:rsid w:val="00D94FB0"/>
    <w:rsid w:val="00DA11FA"/>
    <w:rsid w:val="00DD6D18"/>
    <w:rsid w:val="00E56FDA"/>
    <w:rsid w:val="00E778BE"/>
    <w:rsid w:val="00F22690"/>
    <w:rsid w:val="00FD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A08E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A08E3"/>
    <w:rPr>
      <w:rFonts w:asciiTheme="majorHAnsi" w:eastAsiaTheme="majorEastAsia" w:hAnsiTheme="majorHAnsi" w:cstheme="majorBidi"/>
      <w:b/>
      <w:bCs/>
      <w:sz w:val="32"/>
      <w:szCs w:val="32"/>
    </w:rPr>
  </w:style>
  <w:style w:type="paragraph" w:styleId="a3">
    <w:name w:val="Normal (Web)"/>
    <w:basedOn w:val="a"/>
    <w:uiPriority w:val="99"/>
    <w:unhideWhenUsed/>
    <w:rsid w:val="000A08E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08E3"/>
    <w:rPr>
      <w:b/>
      <w:bCs/>
    </w:rPr>
  </w:style>
  <w:style w:type="character" w:styleId="a5">
    <w:name w:val="Hyperlink"/>
    <w:basedOn w:val="a0"/>
    <w:uiPriority w:val="99"/>
    <w:unhideWhenUsed/>
    <w:rsid w:val="000A08E3"/>
    <w:rPr>
      <w:color w:val="0000FF"/>
      <w:u w:val="single"/>
    </w:rPr>
  </w:style>
  <w:style w:type="paragraph" w:styleId="20">
    <w:name w:val="toc 2"/>
    <w:basedOn w:val="a"/>
    <w:next w:val="a"/>
    <w:autoRedefine/>
    <w:uiPriority w:val="39"/>
    <w:unhideWhenUsed/>
    <w:rsid w:val="000A08E3"/>
    <w:pPr>
      <w:ind w:leftChars="200" w:left="420"/>
    </w:pPr>
  </w:style>
  <w:style w:type="paragraph" w:styleId="a6">
    <w:name w:val="header"/>
    <w:basedOn w:val="a"/>
    <w:link w:val="Char"/>
    <w:uiPriority w:val="99"/>
    <w:unhideWhenUsed/>
    <w:rsid w:val="000A0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A08E3"/>
    <w:rPr>
      <w:sz w:val="18"/>
      <w:szCs w:val="18"/>
    </w:rPr>
  </w:style>
  <w:style w:type="paragraph" w:styleId="a7">
    <w:name w:val="footer"/>
    <w:basedOn w:val="a"/>
    <w:link w:val="Char0"/>
    <w:uiPriority w:val="99"/>
    <w:unhideWhenUsed/>
    <w:rsid w:val="000A08E3"/>
    <w:pPr>
      <w:tabs>
        <w:tab w:val="center" w:pos="4153"/>
        <w:tab w:val="right" w:pos="8306"/>
      </w:tabs>
      <w:snapToGrid w:val="0"/>
      <w:jc w:val="left"/>
    </w:pPr>
    <w:rPr>
      <w:sz w:val="18"/>
      <w:szCs w:val="18"/>
    </w:rPr>
  </w:style>
  <w:style w:type="character" w:customStyle="1" w:styleId="Char0">
    <w:name w:val="页脚 Char"/>
    <w:basedOn w:val="a0"/>
    <w:link w:val="a7"/>
    <w:uiPriority w:val="99"/>
    <w:rsid w:val="000A08E3"/>
    <w:rPr>
      <w:sz w:val="18"/>
      <w:szCs w:val="18"/>
    </w:rPr>
  </w:style>
  <w:style w:type="table" w:styleId="a8">
    <w:name w:val="Table Grid"/>
    <w:basedOn w:val="a1"/>
    <w:uiPriority w:val="59"/>
    <w:rsid w:val="000A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x.x三级"/>
    <w:basedOn w:val="a"/>
    <w:link w:val="xxChar"/>
    <w:qFormat/>
    <w:rsid w:val="006540CF"/>
    <w:pPr>
      <w:keepNext/>
      <w:keepLines/>
      <w:widowControl/>
      <w:spacing w:before="260" w:after="260"/>
      <w:ind w:firstLine="360"/>
      <w:jc w:val="left"/>
      <w:outlineLvl w:val="2"/>
    </w:pPr>
    <w:rPr>
      <w:rFonts w:asciiTheme="minorEastAsia" w:eastAsia="宋体" w:hAnsiTheme="minorEastAsia"/>
      <w:b/>
      <w:bCs/>
      <w:sz w:val="24"/>
      <w:szCs w:val="24"/>
    </w:rPr>
  </w:style>
  <w:style w:type="character" w:customStyle="1" w:styleId="xxChar">
    <w:name w:val="x.x三级 Char"/>
    <w:basedOn w:val="a0"/>
    <w:link w:val="xx"/>
    <w:rsid w:val="006540CF"/>
    <w:rPr>
      <w:rFonts w:asciiTheme="minorEastAsia" w:eastAsia="宋体" w:hAnsiTheme="minorEastAsia"/>
      <w:b/>
      <w:bCs/>
      <w:sz w:val="24"/>
      <w:szCs w:val="24"/>
    </w:rPr>
  </w:style>
  <w:style w:type="paragraph" w:styleId="a9">
    <w:name w:val="Balloon Text"/>
    <w:basedOn w:val="a"/>
    <w:link w:val="Char1"/>
    <w:uiPriority w:val="99"/>
    <w:semiHidden/>
    <w:unhideWhenUsed/>
    <w:rsid w:val="004F1DC3"/>
    <w:rPr>
      <w:sz w:val="18"/>
      <w:szCs w:val="18"/>
    </w:rPr>
  </w:style>
  <w:style w:type="character" w:customStyle="1" w:styleId="Char1">
    <w:name w:val="批注框文本 Char"/>
    <w:basedOn w:val="a0"/>
    <w:link w:val="a9"/>
    <w:uiPriority w:val="99"/>
    <w:semiHidden/>
    <w:rsid w:val="004F1DC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A08E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A08E3"/>
    <w:rPr>
      <w:rFonts w:asciiTheme="majorHAnsi" w:eastAsiaTheme="majorEastAsia" w:hAnsiTheme="majorHAnsi" w:cstheme="majorBidi"/>
      <w:b/>
      <w:bCs/>
      <w:sz w:val="32"/>
      <w:szCs w:val="32"/>
    </w:rPr>
  </w:style>
  <w:style w:type="paragraph" w:styleId="a3">
    <w:name w:val="Normal (Web)"/>
    <w:basedOn w:val="a"/>
    <w:uiPriority w:val="99"/>
    <w:unhideWhenUsed/>
    <w:rsid w:val="000A08E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08E3"/>
    <w:rPr>
      <w:b/>
      <w:bCs/>
    </w:rPr>
  </w:style>
  <w:style w:type="character" w:styleId="a5">
    <w:name w:val="Hyperlink"/>
    <w:basedOn w:val="a0"/>
    <w:uiPriority w:val="99"/>
    <w:unhideWhenUsed/>
    <w:rsid w:val="000A08E3"/>
    <w:rPr>
      <w:color w:val="0000FF"/>
      <w:u w:val="single"/>
    </w:rPr>
  </w:style>
  <w:style w:type="paragraph" w:styleId="20">
    <w:name w:val="toc 2"/>
    <w:basedOn w:val="a"/>
    <w:next w:val="a"/>
    <w:autoRedefine/>
    <w:uiPriority w:val="39"/>
    <w:unhideWhenUsed/>
    <w:rsid w:val="000A08E3"/>
    <w:pPr>
      <w:ind w:leftChars="200" w:left="420"/>
    </w:pPr>
  </w:style>
  <w:style w:type="paragraph" w:styleId="a6">
    <w:name w:val="header"/>
    <w:basedOn w:val="a"/>
    <w:link w:val="Char"/>
    <w:uiPriority w:val="99"/>
    <w:unhideWhenUsed/>
    <w:rsid w:val="000A08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A08E3"/>
    <w:rPr>
      <w:sz w:val="18"/>
      <w:szCs w:val="18"/>
    </w:rPr>
  </w:style>
  <w:style w:type="paragraph" w:styleId="a7">
    <w:name w:val="footer"/>
    <w:basedOn w:val="a"/>
    <w:link w:val="Char0"/>
    <w:uiPriority w:val="99"/>
    <w:unhideWhenUsed/>
    <w:rsid w:val="000A08E3"/>
    <w:pPr>
      <w:tabs>
        <w:tab w:val="center" w:pos="4153"/>
        <w:tab w:val="right" w:pos="8306"/>
      </w:tabs>
      <w:snapToGrid w:val="0"/>
      <w:jc w:val="left"/>
    </w:pPr>
    <w:rPr>
      <w:sz w:val="18"/>
      <w:szCs w:val="18"/>
    </w:rPr>
  </w:style>
  <w:style w:type="character" w:customStyle="1" w:styleId="Char0">
    <w:name w:val="页脚 Char"/>
    <w:basedOn w:val="a0"/>
    <w:link w:val="a7"/>
    <w:uiPriority w:val="99"/>
    <w:rsid w:val="000A08E3"/>
    <w:rPr>
      <w:sz w:val="18"/>
      <w:szCs w:val="18"/>
    </w:rPr>
  </w:style>
  <w:style w:type="table" w:styleId="a8">
    <w:name w:val="Table Grid"/>
    <w:basedOn w:val="a1"/>
    <w:uiPriority w:val="59"/>
    <w:rsid w:val="000A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x.x三级"/>
    <w:basedOn w:val="a"/>
    <w:link w:val="xxChar"/>
    <w:qFormat/>
    <w:rsid w:val="006540CF"/>
    <w:pPr>
      <w:keepNext/>
      <w:keepLines/>
      <w:widowControl/>
      <w:spacing w:before="260" w:after="260"/>
      <w:ind w:firstLine="360"/>
      <w:jc w:val="left"/>
      <w:outlineLvl w:val="2"/>
    </w:pPr>
    <w:rPr>
      <w:rFonts w:asciiTheme="minorEastAsia" w:eastAsia="宋体" w:hAnsiTheme="minorEastAsia"/>
      <w:b/>
      <w:bCs/>
      <w:sz w:val="24"/>
      <w:szCs w:val="24"/>
    </w:rPr>
  </w:style>
  <w:style w:type="character" w:customStyle="1" w:styleId="xxChar">
    <w:name w:val="x.x三级 Char"/>
    <w:basedOn w:val="a0"/>
    <w:link w:val="xx"/>
    <w:rsid w:val="006540CF"/>
    <w:rPr>
      <w:rFonts w:asciiTheme="minorEastAsia" w:eastAsia="宋体" w:hAnsiTheme="minorEastAsia"/>
      <w:b/>
      <w:bCs/>
      <w:sz w:val="24"/>
      <w:szCs w:val="24"/>
    </w:rPr>
  </w:style>
  <w:style w:type="paragraph" w:styleId="a9">
    <w:name w:val="Balloon Text"/>
    <w:basedOn w:val="a"/>
    <w:link w:val="Char1"/>
    <w:uiPriority w:val="99"/>
    <w:semiHidden/>
    <w:unhideWhenUsed/>
    <w:rsid w:val="004F1DC3"/>
    <w:rPr>
      <w:sz w:val="18"/>
      <w:szCs w:val="18"/>
    </w:rPr>
  </w:style>
  <w:style w:type="character" w:customStyle="1" w:styleId="Char1">
    <w:name w:val="批注框文本 Char"/>
    <w:basedOn w:val="a0"/>
    <w:link w:val="a9"/>
    <w:uiPriority w:val="99"/>
    <w:semiHidden/>
    <w:rsid w:val="004F1D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33701">
      <w:bodyDiv w:val="1"/>
      <w:marLeft w:val="0"/>
      <w:marRight w:val="0"/>
      <w:marTop w:val="0"/>
      <w:marBottom w:val="0"/>
      <w:divBdr>
        <w:top w:val="none" w:sz="0" w:space="0" w:color="auto"/>
        <w:left w:val="none" w:sz="0" w:space="0" w:color="auto"/>
        <w:bottom w:val="none" w:sz="0" w:space="0" w:color="auto"/>
        <w:right w:val="none" w:sz="0" w:space="0" w:color="auto"/>
      </w:divBdr>
    </w:div>
    <w:div w:id="70394171">
      <w:bodyDiv w:val="1"/>
      <w:marLeft w:val="0"/>
      <w:marRight w:val="0"/>
      <w:marTop w:val="0"/>
      <w:marBottom w:val="0"/>
      <w:divBdr>
        <w:top w:val="none" w:sz="0" w:space="0" w:color="auto"/>
        <w:left w:val="none" w:sz="0" w:space="0" w:color="auto"/>
        <w:bottom w:val="none" w:sz="0" w:space="0" w:color="auto"/>
        <w:right w:val="none" w:sz="0" w:space="0" w:color="auto"/>
      </w:divBdr>
    </w:div>
    <w:div w:id="109129079">
      <w:bodyDiv w:val="1"/>
      <w:marLeft w:val="0"/>
      <w:marRight w:val="0"/>
      <w:marTop w:val="0"/>
      <w:marBottom w:val="0"/>
      <w:divBdr>
        <w:top w:val="none" w:sz="0" w:space="0" w:color="auto"/>
        <w:left w:val="none" w:sz="0" w:space="0" w:color="auto"/>
        <w:bottom w:val="none" w:sz="0" w:space="0" w:color="auto"/>
        <w:right w:val="none" w:sz="0" w:space="0" w:color="auto"/>
      </w:divBdr>
    </w:div>
    <w:div w:id="156305417">
      <w:bodyDiv w:val="1"/>
      <w:marLeft w:val="0"/>
      <w:marRight w:val="0"/>
      <w:marTop w:val="0"/>
      <w:marBottom w:val="0"/>
      <w:divBdr>
        <w:top w:val="none" w:sz="0" w:space="0" w:color="auto"/>
        <w:left w:val="none" w:sz="0" w:space="0" w:color="auto"/>
        <w:bottom w:val="none" w:sz="0" w:space="0" w:color="auto"/>
        <w:right w:val="none" w:sz="0" w:space="0" w:color="auto"/>
      </w:divBdr>
    </w:div>
    <w:div w:id="187262440">
      <w:bodyDiv w:val="1"/>
      <w:marLeft w:val="0"/>
      <w:marRight w:val="0"/>
      <w:marTop w:val="0"/>
      <w:marBottom w:val="0"/>
      <w:divBdr>
        <w:top w:val="none" w:sz="0" w:space="0" w:color="auto"/>
        <w:left w:val="none" w:sz="0" w:space="0" w:color="auto"/>
        <w:bottom w:val="none" w:sz="0" w:space="0" w:color="auto"/>
        <w:right w:val="none" w:sz="0" w:space="0" w:color="auto"/>
      </w:divBdr>
      <w:divsChild>
        <w:div w:id="914626709">
          <w:marLeft w:val="0"/>
          <w:marRight w:val="0"/>
          <w:marTop w:val="0"/>
          <w:marBottom w:val="0"/>
          <w:divBdr>
            <w:top w:val="none" w:sz="0" w:space="0" w:color="auto"/>
            <w:left w:val="none" w:sz="0" w:space="0" w:color="auto"/>
            <w:bottom w:val="none" w:sz="0" w:space="0" w:color="auto"/>
            <w:right w:val="none" w:sz="0" w:space="0" w:color="auto"/>
          </w:divBdr>
        </w:div>
      </w:divsChild>
    </w:div>
    <w:div w:id="214778148">
      <w:bodyDiv w:val="1"/>
      <w:marLeft w:val="0"/>
      <w:marRight w:val="0"/>
      <w:marTop w:val="0"/>
      <w:marBottom w:val="0"/>
      <w:divBdr>
        <w:top w:val="none" w:sz="0" w:space="0" w:color="auto"/>
        <w:left w:val="none" w:sz="0" w:space="0" w:color="auto"/>
        <w:bottom w:val="none" w:sz="0" w:space="0" w:color="auto"/>
        <w:right w:val="none" w:sz="0" w:space="0" w:color="auto"/>
      </w:divBdr>
    </w:div>
    <w:div w:id="285161635">
      <w:bodyDiv w:val="1"/>
      <w:marLeft w:val="0"/>
      <w:marRight w:val="0"/>
      <w:marTop w:val="0"/>
      <w:marBottom w:val="0"/>
      <w:divBdr>
        <w:top w:val="none" w:sz="0" w:space="0" w:color="auto"/>
        <w:left w:val="none" w:sz="0" w:space="0" w:color="auto"/>
        <w:bottom w:val="none" w:sz="0" w:space="0" w:color="auto"/>
        <w:right w:val="none" w:sz="0" w:space="0" w:color="auto"/>
      </w:divBdr>
    </w:div>
    <w:div w:id="353728001">
      <w:bodyDiv w:val="1"/>
      <w:marLeft w:val="0"/>
      <w:marRight w:val="0"/>
      <w:marTop w:val="0"/>
      <w:marBottom w:val="0"/>
      <w:divBdr>
        <w:top w:val="none" w:sz="0" w:space="0" w:color="auto"/>
        <w:left w:val="none" w:sz="0" w:space="0" w:color="auto"/>
        <w:bottom w:val="none" w:sz="0" w:space="0" w:color="auto"/>
        <w:right w:val="none" w:sz="0" w:space="0" w:color="auto"/>
      </w:divBdr>
    </w:div>
    <w:div w:id="390814052">
      <w:bodyDiv w:val="1"/>
      <w:marLeft w:val="0"/>
      <w:marRight w:val="0"/>
      <w:marTop w:val="0"/>
      <w:marBottom w:val="0"/>
      <w:divBdr>
        <w:top w:val="none" w:sz="0" w:space="0" w:color="auto"/>
        <w:left w:val="none" w:sz="0" w:space="0" w:color="auto"/>
        <w:bottom w:val="none" w:sz="0" w:space="0" w:color="auto"/>
        <w:right w:val="none" w:sz="0" w:space="0" w:color="auto"/>
      </w:divBdr>
    </w:div>
    <w:div w:id="489710278">
      <w:bodyDiv w:val="1"/>
      <w:marLeft w:val="0"/>
      <w:marRight w:val="0"/>
      <w:marTop w:val="0"/>
      <w:marBottom w:val="0"/>
      <w:divBdr>
        <w:top w:val="none" w:sz="0" w:space="0" w:color="auto"/>
        <w:left w:val="none" w:sz="0" w:space="0" w:color="auto"/>
        <w:bottom w:val="none" w:sz="0" w:space="0" w:color="auto"/>
        <w:right w:val="none" w:sz="0" w:space="0" w:color="auto"/>
      </w:divBdr>
    </w:div>
    <w:div w:id="495266629">
      <w:bodyDiv w:val="1"/>
      <w:marLeft w:val="0"/>
      <w:marRight w:val="0"/>
      <w:marTop w:val="0"/>
      <w:marBottom w:val="0"/>
      <w:divBdr>
        <w:top w:val="none" w:sz="0" w:space="0" w:color="auto"/>
        <w:left w:val="none" w:sz="0" w:space="0" w:color="auto"/>
        <w:bottom w:val="none" w:sz="0" w:space="0" w:color="auto"/>
        <w:right w:val="none" w:sz="0" w:space="0" w:color="auto"/>
      </w:divBdr>
    </w:div>
    <w:div w:id="535050437">
      <w:bodyDiv w:val="1"/>
      <w:marLeft w:val="0"/>
      <w:marRight w:val="0"/>
      <w:marTop w:val="0"/>
      <w:marBottom w:val="0"/>
      <w:divBdr>
        <w:top w:val="none" w:sz="0" w:space="0" w:color="auto"/>
        <w:left w:val="none" w:sz="0" w:space="0" w:color="auto"/>
        <w:bottom w:val="none" w:sz="0" w:space="0" w:color="auto"/>
        <w:right w:val="none" w:sz="0" w:space="0" w:color="auto"/>
      </w:divBdr>
    </w:div>
    <w:div w:id="552035724">
      <w:bodyDiv w:val="1"/>
      <w:marLeft w:val="0"/>
      <w:marRight w:val="0"/>
      <w:marTop w:val="0"/>
      <w:marBottom w:val="0"/>
      <w:divBdr>
        <w:top w:val="none" w:sz="0" w:space="0" w:color="auto"/>
        <w:left w:val="none" w:sz="0" w:space="0" w:color="auto"/>
        <w:bottom w:val="none" w:sz="0" w:space="0" w:color="auto"/>
        <w:right w:val="none" w:sz="0" w:space="0" w:color="auto"/>
      </w:divBdr>
    </w:div>
    <w:div w:id="552429813">
      <w:bodyDiv w:val="1"/>
      <w:marLeft w:val="0"/>
      <w:marRight w:val="0"/>
      <w:marTop w:val="0"/>
      <w:marBottom w:val="0"/>
      <w:divBdr>
        <w:top w:val="none" w:sz="0" w:space="0" w:color="auto"/>
        <w:left w:val="none" w:sz="0" w:space="0" w:color="auto"/>
        <w:bottom w:val="none" w:sz="0" w:space="0" w:color="auto"/>
        <w:right w:val="none" w:sz="0" w:space="0" w:color="auto"/>
      </w:divBdr>
    </w:div>
    <w:div w:id="572593292">
      <w:bodyDiv w:val="1"/>
      <w:marLeft w:val="0"/>
      <w:marRight w:val="0"/>
      <w:marTop w:val="0"/>
      <w:marBottom w:val="0"/>
      <w:divBdr>
        <w:top w:val="none" w:sz="0" w:space="0" w:color="auto"/>
        <w:left w:val="none" w:sz="0" w:space="0" w:color="auto"/>
        <w:bottom w:val="none" w:sz="0" w:space="0" w:color="auto"/>
        <w:right w:val="none" w:sz="0" w:space="0" w:color="auto"/>
      </w:divBdr>
      <w:divsChild>
        <w:div w:id="1362053502">
          <w:marLeft w:val="0"/>
          <w:marRight w:val="0"/>
          <w:marTop w:val="0"/>
          <w:marBottom w:val="0"/>
          <w:divBdr>
            <w:top w:val="none" w:sz="0" w:space="0" w:color="auto"/>
            <w:left w:val="none" w:sz="0" w:space="0" w:color="auto"/>
            <w:bottom w:val="none" w:sz="0" w:space="0" w:color="auto"/>
            <w:right w:val="none" w:sz="0" w:space="0" w:color="auto"/>
          </w:divBdr>
        </w:div>
        <w:div w:id="131292538">
          <w:marLeft w:val="0"/>
          <w:marRight w:val="0"/>
          <w:marTop w:val="0"/>
          <w:marBottom w:val="0"/>
          <w:divBdr>
            <w:top w:val="none" w:sz="0" w:space="0" w:color="auto"/>
            <w:left w:val="none" w:sz="0" w:space="0" w:color="auto"/>
            <w:bottom w:val="none" w:sz="0" w:space="0" w:color="auto"/>
            <w:right w:val="none" w:sz="0" w:space="0" w:color="auto"/>
          </w:divBdr>
        </w:div>
      </w:divsChild>
    </w:div>
    <w:div w:id="600189273">
      <w:bodyDiv w:val="1"/>
      <w:marLeft w:val="0"/>
      <w:marRight w:val="0"/>
      <w:marTop w:val="0"/>
      <w:marBottom w:val="0"/>
      <w:divBdr>
        <w:top w:val="none" w:sz="0" w:space="0" w:color="auto"/>
        <w:left w:val="none" w:sz="0" w:space="0" w:color="auto"/>
        <w:bottom w:val="none" w:sz="0" w:space="0" w:color="auto"/>
        <w:right w:val="none" w:sz="0" w:space="0" w:color="auto"/>
      </w:divBdr>
    </w:div>
    <w:div w:id="629282541">
      <w:bodyDiv w:val="1"/>
      <w:marLeft w:val="0"/>
      <w:marRight w:val="0"/>
      <w:marTop w:val="0"/>
      <w:marBottom w:val="0"/>
      <w:divBdr>
        <w:top w:val="none" w:sz="0" w:space="0" w:color="auto"/>
        <w:left w:val="none" w:sz="0" w:space="0" w:color="auto"/>
        <w:bottom w:val="none" w:sz="0" w:space="0" w:color="auto"/>
        <w:right w:val="none" w:sz="0" w:space="0" w:color="auto"/>
      </w:divBdr>
    </w:div>
    <w:div w:id="633878015">
      <w:bodyDiv w:val="1"/>
      <w:marLeft w:val="0"/>
      <w:marRight w:val="0"/>
      <w:marTop w:val="0"/>
      <w:marBottom w:val="0"/>
      <w:divBdr>
        <w:top w:val="none" w:sz="0" w:space="0" w:color="auto"/>
        <w:left w:val="none" w:sz="0" w:space="0" w:color="auto"/>
        <w:bottom w:val="none" w:sz="0" w:space="0" w:color="auto"/>
        <w:right w:val="none" w:sz="0" w:space="0" w:color="auto"/>
      </w:divBdr>
    </w:div>
    <w:div w:id="643314128">
      <w:bodyDiv w:val="1"/>
      <w:marLeft w:val="0"/>
      <w:marRight w:val="0"/>
      <w:marTop w:val="0"/>
      <w:marBottom w:val="0"/>
      <w:divBdr>
        <w:top w:val="none" w:sz="0" w:space="0" w:color="auto"/>
        <w:left w:val="none" w:sz="0" w:space="0" w:color="auto"/>
        <w:bottom w:val="none" w:sz="0" w:space="0" w:color="auto"/>
        <w:right w:val="none" w:sz="0" w:space="0" w:color="auto"/>
      </w:divBdr>
    </w:div>
    <w:div w:id="643969481">
      <w:bodyDiv w:val="1"/>
      <w:marLeft w:val="0"/>
      <w:marRight w:val="0"/>
      <w:marTop w:val="0"/>
      <w:marBottom w:val="0"/>
      <w:divBdr>
        <w:top w:val="none" w:sz="0" w:space="0" w:color="auto"/>
        <w:left w:val="none" w:sz="0" w:space="0" w:color="auto"/>
        <w:bottom w:val="none" w:sz="0" w:space="0" w:color="auto"/>
        <w:right w:val="none" w:sz="0" w:space="0" w:color="auto"/>
      </w:divBdr>
    </w:div>
    <w:div w:id="730619407">
      <w:bodyDiv w:val="1"/>
      <w:marLeft w:val="0"/>
      <w:marRight w:val="0"/>
      <w:marTop w:val="0"/>
      <w:marBottom w:val="0"/>
      <w:divBdr>
        <w:top w:val="none" w:sz="0" w:space="0" w:color="auto"/>
        <w:left w:val="none" w:sz="0" w:space="0" w:color="auto"/>
        <w:bottom w:val="none" w:sz="0" w:space="0" w:color="auto"/>
        <w:right w:val="none" w:sz="0" w:space="0" w:color="auto"/>
      </w:divBdr>
    </w:div>
    <w:div w:id="779642958">
      <w:bodyDiv w:val="1"/>
      <w:marLeft w:val="0"/>
      <w:marRight w:val="0"/>
      <w:marTop w:val="0"/>
      <w:marBottom w:val="0"/>
      <w:divBdr>
        <w:top w:val="none" w:sz="0" w:space="0" w:color="auto"/>
        <w:left w:val="none" w:sz="0" w:space="0" w:color="auto"/>
        <w:bottom w:val="none" w:sz="0" w:space="0" w:color="auto"/>
        <w:right w:val="none" w:sz="0" w:space="0" w:color="auto"/>
      </w:divBdr>
    </w:div>
    <w:div w:id="800420810">
      <w:bodyDiv w:val="1"/>
      <w:marLeft w:val="0"/>
      <w:marRight w:val="0"/>
      <w:marTop w:val="0"/>
      <w:marBottom w:val="0"/>
      <w:divBdr>
        <w:top w:val="none" w:sz="0" w:space="0" w:color="auto"/>
        <w:left w:val="none" w:sz="0" w:space="0" w:color="auto"/>
        <w:bottom w:val="none" w:sz="0" w:space="0" w:color="auto"/>
        <w:right w:val="none" w:sz="0" w:space="0" w:color="auto"/>
      </w:divBdr>
    </w:div>
    <w:div w:id="868757413">
      <w:bodyDiv w:val="1"/>
      <w:marLeft w:val="0"/>
      <w:marRight w:val="0"/>
      <w:marTop w:val="0"/>
      <w:marBottom w:val="0"/>
      <w:divBdr>
        <w:top w:val="none" w:sz="0" w:space="0" w:color="auto"/>
        <w:left w:val="none" w:sz="0" w:space="0" w:color="auto"/>
        <w:bottom w:val="none" w:sz="0" w:space="0" w:color="auto"/>
        <w:right w:val="none" w:sz="0" w:space="0" w:color="auto"/>
      </w:divBdr>
    </w:div>
    <w:div w:id="959920029">
      <w:bodyDiv w:val="1"/>
      <w:marLeft w:val="0"/>
      <w:marRight w:val="0"/>
      <w:marTop w:val="0"/>
      <w:marBottom w:val="0"/>
      <w:divBdr>
        <w:top w:val="none" w:sz="0" w:space="0" w:color="auto"/>
        <w:left w:val="none" w:sz="0" w:space="0" w:color="auto"/>
        <w:bottom w:val="none" w:sz="0" w:space="0" w:color="auto"/>
        <w:right w:val="none" w:sz="0" w:space="0" w:color="auto"/>
      </w:divBdr>
    </w:div>
    <w:div w:id="962535066">
      <w:bodyDiv w:val="1"/>
      <w:marLeft w:val="0"/>
      <w:marRight w:val="0"/>
      <w:marTop w:val="0"/>
      <w:marBottom w:val="0"/>
      <w:divBdr>
        <w:top w:val="none" w:sz="0" w:space="0" w:color="auto"/>
        <w:left w:val="none" w:sz="0" w:space="0" w:color="auto"/>
        <w:bottom w:val="none" w:sz="0" w:space="0" w:color="auto"/>
        <w:right w:val="none" w:sz="0" w:space="0" w:color="auto"/>
      </w:divBdr>
    </w:div>
    <w:div w:id="1048839738">
      <w:bodyDiv w:val="1"/>
      <w:marLeft w:val="0"/>
      <w:marRight w:val="0"/>
      <w:marTop w:val="0"/>
      <w:marBottom w:val="0"/>
      <w:divBdr>
        <w:top w:val="none" w:sz="0" w:space="0" w:color="auto"/>
        <w:left w:val="none" w:sz="0" w:space="0" w:color="auto"/>
        <w:bottom w:val="none" w:sz="0" w:space="0" w:color="auto"/>
        <w:right w:val="none" w:sz="0" w:space="0" w:color="auto"/>
      </w:divBdr>
    </w:div>
    <w:div w:id="1120952062">
      <w:bodyDiv w:val="1"/>
      <w:marLeft w:val="0"/>
      <w:marRight w:val="0"/>
      <w:marTop w:val="0"/>
      <w:marBottom w:val="0"/>
      <w:divBdr>
        <w:top w:val="none" w:sz="0" w:space="0" w:color="auto"/>
        <w:left w:val="none" w:sz="0" w:space="0" w:color="auto"/>
        <w:bottom w:val="none" w:sz="0" w:space="0" w:color="auto"/>
        <w:right w:val="none" w:sz="0" w:space="0" w:color="auto"/>
      </w:divBdr>
    </w:div>
    <w:div w:id="1152403130">
      <w:bodyDiv w:val="1"/>
      <w:marLeft w:val="0"/>
      <w:marRight w:val="0"/>
      <w:marTop w:val="0"/>
      <w:marBottom w:val="0"/>
      <w:divBdr>
        <w:top w:val="none" w:sz="0" w:space="0" w:color="auto"/>
        <w:left w:val="none" w:sz="0" w:space="0" w:color="auto"/>
        <w:bottom w:val="none" w:sz="0" w:space="0" w:color="auto"/>
        <w:right w:val="none" w:sz="0" w:space="0" w:color="auto"/>
      </w:divBdr>
    </w:div>
    <w:div w:id="1164710038">
      <w:bodyDiv w:val="1"/>
      <w:marLeft w:val="0"/>
      <w:marRight w:val="0"/>
      <w:marTop w:val="0"/>
      <w:marBottom w:val="0"/>
      <w:divBdr>
        <w:top w:val="none" w:sz="0" w:space="0" w:color="auto"/>
        <w:left w:val="none" w:sz="0" w:space="0" w:color="auto"/>
        <w:bottom w:val="none" w:sz="0" w:space="0" w:color="auto"/>
        <w:right w:val="none" w:sz="0" w:space="0" w:color="auto"/>
      </w:divBdr>
    </w:div>
    <w:div w:id="1289703646">
      <w:bodyDiv w:val="1"/>
      <w:marLeft w:val="0"/>
      <w:marRight w:val="0"/>
      <w:marTop w:val="0"/>
      <w:marBottom w:val="0"/>
      <w:divBdr>
        <w:top w:val="none" w:sz="0" w:space="0" w:color="auto"/>
        <w:left w:val="none" w:sz="0" w:space="0" w:color="auto"/>
        <w:bottom w:val="none" w:sz="0" w:space="0" w:color="auto"/>
        <w:right w:val="none" w:sz="0" w:space="0" w:color="auto"/>
      </w:divBdr>
    </w:div>
    <w:div w:id="1337155335">
      <w:bodyDiv w:val="1"/>
      <w:marLeft w:val="0"/>
      <w:marRight w:val="0"/>
      <w:marTop w:val="0"/>
      <w:marBottom w:val="0"/>
      <w:divBdr>
        <w:top w:val="none" w:sz="0" w:space="0" w:color="auto"/>
        <w:left w:val="none" w:sz="0" w:space="0" w:color="auto"/>
        <w:bottom w:val="none" w:sz="0" w:space="0" w:color="auto"/>
        <w:right w:val="none" w:sz="0" w:space="0" w:color="auto"/>
      </w:divBdr>
    </w:div>
    <w:div w:id="1357541329">
      <w:bodyDiv w:val="1"/>
      <w:marLeft w:val="0"/>
      <w:marRight w:val="0"/>
      <w:marTop w:val="0"/>
      <w:marBottom w:val="0"/>
      <w:divBdr>
        <w:top w:val="none" w:sz="0" w:space="0" w:color="auto"/>
        <w:left w:val="none" w:sz="0" w:space="0" w:color="auto"/>
        <w:bottom w:val="none" w:sz="0" w:space="0" w:color="auto"/>
        <w:right w:val="none" w:sz="0" w:space="0" w:color="auto"/>
      </w:divBdr>
    </w:div>
    <w:div w:id="1377269656">
      <w:bodyDiv w:val="1"/>
      <w:marLeft w:val="0"/>
      <w:marRight w:val="0"/>
      <w:marTop w:val="0"/>
      <w:marBottom w:val="0"/>
      <w:divBdr>
        <w:top w:val="none" w:sz="0" w:space="0" w:color="auto"/>
        <w:left w:val="none" w:sz="0" w:space="0" w:color="auto"/>
        <w:bottom w:val="none" w:sz="0" w:space="0" w:color="auto"/>
        <w:right w:val="none" w:sz="0" w:space="0" w:color="auto"/>
      </w:divBdr>
    </w:div>
    <w:div w:id="1431003783">
      <w:bodyDiv w:val="1"/>
      <w:marLeft w:val="0"/>
      <w:marRight w:val="0"/>
      <w:marTop w:val="0"/>
      <w:marBottom w:val="0"/>
      <w:divBdr>
        <w:top w:val="none" w:sz="0" w:space="0" w:color="auto"/>
        <w:left w:val="none" w:sz="0" w:space="0" w:color="auto"/>
        <w:bottom w:val="none" w:sz="0" w:space="0" w:color="auto"/>
        <w:right w:val="none" w:sz="0" w:space="0" w:color="auto"/>
      </w:divBdr>
    </w:div>
    <w:div w:id="1501039691">
      <w:bodyDiv w:val="1"/>
      <w:marLeft w:val="0"/>
      <w:marRight w:val="0"/>
      <w:marTop w:val="0"/>
      <w:marBottom w:val="0"/>
      <w:divBdr>
        <w:top w:val="none" w:sz="0" w:space="0" w:color="auto"/>
        <w:left w:val="none" w:sz="0" w:space="0" w:color="auto"/>
        <w:bottom w:val="none" w:sz="0" w:space="0" w:color="auto"/>
        <w:right w:val="none" w:sz="0" w:space="0" w:color="auto"/>
      </w:divBdr>
    </w:div>
    <w:div w:id="1531070965">
      <w:bodyDiv w:val="1"/>
      <w:marLeft w:val="0"/>
      <w:marRight w:val="0"/>
      <w:marTop w:val="0"/>
      <w:marBottom w:val="0"/>
      <w:divBdr>
        <w:top w:val="none" w:sz="0" w:space="0" w:color="auto"/>
        <w:left w:val="none" w:sz="0" w:space="0" w:color="auto"/>
        <w:bottom w:val="none" w:sz="0" w:space="0" w:color="auto"/>
        <w:right w:val="none" w:sz="0" w:space="0" w:color="auto"/>
      </w:divBdr>
    </w:div>
    <w:div w:id="1564486104">
      <w:bodyDiv w:val="1"/>
      <w:marLeft w:val="0"/>
      <w:marRight w:val="0"/>
      <w:marTop w:val="0"/>
      <w:marBottom w:val="0"/>
      <w:divBdr>
        <w:top w:val="none" w:sz="0" w:space="0" w:color="auto"/>
        <w:left w:val="none" w:sz="0" w:space="0" w:color="auto"/>
        <w:bottom w:val="none" w:sz="0" w:space="0" w:color="auto"/>
        <w:right w:val="none" w:sz="0" w:space="0" w:color="auto"/>
      </w:divBdr>
      <w:divsChild>
        <w:div w:id="1618413758">
          <w:marLeft w:val="0"/>
          <w:marRight w:val="0"/>
          <w:marTop w:val="0"/>
          <w:marBottom w:val="0"/>
          <w:divBdr>
            <w:top w:val="none" w:sz="0" w:space="0" w:color="auto"/>
            <w:left w:val="none" w:sz="0" w:space="0" w:color="auto"/>
            <w:bottom w:val="none" w:sz="0" w:space="0" w:color="auto"/>
            <w:right w:val="none" w:sz="0" w:space="0" w:color="auto"/>
          </w:divBdr>
        </w:div>
      </w:divsChild>
    </w:div>
    <w:div w:id="1564757001">
      <w:bodyDiv w:val="1"/>
      <w:marLeft w:val="0"/>
      <w:marRight w:val="0"/>
      <w:marTop w:val="0"/>
      <w:marBottom w:val="0"/>
      <w:divBdr>
        <w:top w:val="none" w:sz="0" w:space="0" w:color="auto"/>
        <w:left w:val="none" w:sz="0" w:space="0" w:color="auto"/>
        <w:bottom w:val="none" w:sz="0" w:space="0" w:color="auto"/>
        <w:right w:val="none" w:sz="0" w:space="0" w:color="auto"/>
      </w:divBdr>
    </w:div>
    <w:div w:id="1590964778">
      <w:bodyDiv w:val="1"/>
      <w:marLeft w:val="0"/>
      <w:marRight w:val="0"/>
      <w:marTop w:val="0"/>
      <w:marBottom w:val="0"/>
      <w:divBdr>
        <w:top w:val="none" w:sz="0" w:space="0" w:color="auto"/>
        <w:left w:val="none" w:sz="0" w:space="0" w:color="auto"/>
        <w:bottom w:val="none" w:sz="0" w:space="0" w:color="auto"/>
        <w:right w:val="none" w:sz="0" w:space="0" w:color="auto"/>
      </w:divBdr>
    </w:div>
    <w:div w:id="1593705966">
      <w:bodyDiv w:val="1"/>
      <w:marLeft w:val="0"/>
      <w:marRight w:val="0"/>
      <w:marTop w:val="0"/>
      <w:marBottom w:val="0"/>
      <w:divBdr>
        <w:top w:val="none" w:sz="0" w:space="0" w:color="auto"/>
        <w:left w:val="none" w:sz="0" w:space="0" w:color="auto"/>
        <w:bottom w:val="none" w:sz="0" w:space="0" w:color="auto"/>
        <w:right w:val="none" w:sz="0" w:space="0" w:color="auto"/>
      </w:divBdr>
    </w:div>
    <w:div w:id="1688216028">
      <w:bodyDiv w:val="1"/>
      <w:marLeft w:val="0"/>
      <w:marRight w:val="0"/>
      <w:marTop w:val="0"/>
      <w:marBottom w:val="0"/>
      <w:divBdr>
        <w:top w:val="none" w:sz="0" w:space="0" w:color="auto"/>
        <w:left w:val="none" w:sz="0" w:space="0" w:color="auto"/>
        <w:bottom w:val="none" w:sz="0" w:space="0" w:color="auto"/>
        <w:right w:val="none" w:sz="0" w:space="0" w:color="auto"/>
      </w:divBdr>
    </w:div>
    <w:div w:id="1724525355">
      <w:bodyDiv w:val="1"/>
      <w:marLeft w:val="0"/>
      <w:marRight w:val="0"/>
      <w:marTop w:val="0"/>
      <w:marBottom w:val="0"/>
      <w:divBdr>
        <w:top w:val="none" w:sz="0" w:space="0" w:color="auto"/>
        <w:left w:val="none" w:sz="0" w:space="0" w:color="auto"/>
        <w:bottom w:val="none" w:sz="0" w:space="0" w:color="auto"/>
        <w:right w:val="none" w:sz="0" w:space="0" w:color="auto"/>
      </w:divBdr>
    </w:div>
    <w:div w:id="1770924750">
      <w:bodyDiv w:val="1"/>
      <w:marLeft w:val="0"/>
      <w:marRight w:val="0"/>
      <w:marTop w:val="0"/>
      <w:marBottom w:val="0"/>
      <w:divBdr>
        <w:top w:val="none" w:sz="0" w:space="0" w:color="auto"/>
        <w:left w:val="none" w:sz="0" w:space="0" w:color="auto"/>
        <w:bottom w:val="none" w:sz="0" w:space="0" w:color="auto"/>
        <w:right w:val="none" w:sz="0" w:space="0" w:color="auto"/>
      </w:divBdr>
    </w:div>
    <w:div w:id="1792940056">
      <w:bodyDiv w:val="1"/>
      <w:marLeft w:val="0"/>
      <w:marRight w:val="0"/>
      <w:marTop w:val="0"/>
      <w:marBottom w:val="0"/>
      <w:divBdr>
        <w:top w:val="none" w:sz="0" w:space="0" w:color="auto"/>
        <w:left w:val="none" w:sz="0" w:space="0" w:color="auto"/>
        <w:bottom w:val="none" w:sz="0" w:space="0" w:color="auto"/>
        <w:right w:val="none" w:sz="0" w:space="0" w:color="auto"/>
      </w:divBdr>
    </w:div>
    <w:div w:id="1836334976">
      <w:bodyDiv w:val="1"/>
      <w:marLeft w:val="0"/>
      <w:marRight w:val="0"/>
      <w:marTop w:val="0"/>
      <w:marBottom w:val="0"/>
      <w:divBdr>
        <w:top w:val="none" w:sz="0" w:space="0" w:color="auto"/>
        <w:left w:val="none" w:sz="0" w:space="0" w:color="auto"/>
        <w:bottom w:val="none" w:sz="0" w:space="0" w:color="auto"/>
        <w:right w:val="none" w:sz="0" w:space="0" w:color="auto"/>
      </w:divBdr>
    </w:div>
    <w:div w:id="1904170552">
      <w:bodyDiv w:val="1"/>
      <w:marLeft w:val="0"/>
      <w:marRight w:val="0"/>
      <w:marTop w:val="0"/>
      <w:marBottom w:val="0"/>
      <w:divBdr>
        <w:top w:val="none" w:sz="0" w:space="0" w:color="auto"/>
        <w:left w:val="none" w:sz="0" w:space="0" w:color="auto"/>
        <w:bottom w:val="none" w:sz="0" w:space="0" w:color="auto"/>
        <w:right w:val="none" w:sz="0" w:space="0" w:color="auto"/>
      </w:divBdr>
    </w:div>
    <w:div w:id="1925912766">
      <w:bodyDiv w:val="1"/>
      <w:marLeft w:val="0"/>
      <w:marRight w:val="0"/>
      <w:marTop w:val="0"/>
      <w:marBottom w:val="0"/>
      <w:divBdr>
        <w:top w:val="none" w:sz="0" w:space="0" w:color="auto"/>
        <w:left w:val="none" w:sz="0" w:space="0" w:color="auto"/>
        <w:bottom w:val="none" w:sz="0" w:space="0" w:color="auto"/>
        <w:right w:val="none" w:sz="0" w:space="0" w:color="auto"/>
      </w:divBdr>
    </w:div>
    <w:div w:id="2045131154">
      <w:bodyDiv w:val="1"/>
      <w:marLeft w:val="0"/>
      <w:marRight w:val="0"/>
      <w:marTop w:val="0"/>
      <w:marBottom w:val="0"/>
      <w:divBdr>
        <w:top w:val="none" w:sz="0" w:space="0" w:color="auto"/>
        <w:left w:val="none" w:sz="0" w:space="0" w:color="auto"/>
        <w:bottom w:val="none" w:sz="0" w:space="0" w:color="auto"/>
        <w:right w:val="none" w:sz="0" w:space="0" w:color="auto"/>
      </w:divBdr>
    </w:div>
    <w:div w:id="209270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144</Pages>
  <Words>17522</Words>
  <Characters>99878</Characters>
  <Application>Microsoft Office Word</Application>
  <DocSecurity>0</DocSecurity>
  <Lines>832</Lines>
  <Paragraphs>234</Paragraphs>
  <ScaleCrop>false</ScaleCrop>
  <Company>Bosera Funds</Company>
  <LinksUpToDate>false</LinksUpToDate>
  <CharactersWithSpaces>117166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汤玲</cp:lastModifiedBy>
  <cp:revision>7</cp:revision>
  <dcterms:created xsi:type="dcterms:W3CDTF">2019-12-26T10:31:00Z</dcterms:created>
  <dcterms:modified xsi:type="dcterms:W3CDTF">2019-12-28T10:05:00Z</dcterms:modified>
</cp:coreProperties>
</file>