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ind w:firstLine="482" w:firstLineChars="200"/>
        <w:jc w:val="center"/>
        <w:rPr>
          <w:rFonts w:ascii="Tahoma" w:hAnsi="Tahoma" w:cs="Times New Roman"/>
          <w:b/>
          <w:kern w:val="0"/>
          <w:sz w:val="18"/>
          <w:szCs w:val="18"/>
        </w:rPr>
      </w:pPr>
      <w:r>
        <w:rPr>
          <w:rFonts w:hint="eastAsia" w:ascii="宋体" w:hAnsi="宋体" w:eastAsia="宋体" w:cs="Times New Roman"/>
          <w:b/>
          <w:bCs/>
          <w:kern w:val="0"/>
        </w:rPr>
        <w:t> </w:t>
      </w:r>
      <w:r>
        <w:rPr>
          <w:rFonts w:hint="eastAsia" w:ascii="华文中宋" w:hAnsi="华文中宋" w:eastAsia="华文中宋" w:cs="Times New Roman"/>
          <w:b/>
          <w:bCs/>
          <w:kern w:val="0"/>
        </w:rPr>
        <w:t> 竞 买 须 知  </w:t>
      </w:r>
    </w:p>
    <w:p>
      <w:pPr>
        <w:widowControl/>
        <w:spacing w:before="330" w:after="330" w:line="39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广东南粤银行股份有限公司</w:t>
      </w:r>
      <w:r>
        <w:rPr>
          <w:rFonts w:ascii="Tahoma" w:hAnsi="Tahoma" w:cs="Times New Roman"/>
          <w:color w:val="000000"/>
          <w:kern w:val="0"/>
          <w:sz w:val="18"/>
          <w:szCs w:val="18"/>
        </w:rPr>
        <w:t>定于</w:t>
      </w:r>
      <w:r>
        <w:rPr>
          <w:rFonts w:hint="eastAsia" w:ascii="Tahoma" w:hAnsi="Tahoma" w:cs="Times New Roman"/>
          <w:color w:val="000000"/>
          <w:kern w:val="0"/>
          <w:sz w:val="18"/>
          <w:szCs w:val="18"/>
        </w:rPr>
        <w:t>2020年6月23日9 时起至15 时止</w:t>
      </w:r>
      <w:r>
        <w:rPr>
          <w:rFonts w:ascii="Tahoma" w:hAnsi="Tahoma" w:cs="Times New Roman"/>
          <w:color w:val="000000"/>
          <w:kern w:val="0"/>
          <w:sz w:val="18"/>
          <w:szCs w:val="18"/>
        </w:rPr>
        <w:t>（延时除外）在</w:t>
      </w:r>
      <w:r>
        <w:rPr>
          <w:rFonts w:hint="eastAsia" w:ascii="Tahoma" w:hAnsi="Tahoma" w:cs="Times New Roman"/>
          <w:color w:val="000000"/>
          <w:kern w:val="0"/>
          <w:sz w:val="18"/>
          <w:szCs w:val="18"/>
          <w:u w:val="single"/>
        </w:rPr>
        <w:t>广东南粤银行股份有限公司</w:t>
      </w:r>
      <w:r>
        <w:rPr>
          <w:rFonts w:ascii="Tahoma" w:hAnsi="Tahoma" w:cs="Times New Roman"/>
          <w:color w:val="000000"/>
          <w:kern w:val="0"/>
          <w:sz w:val="18"/>
          <w:szCs w:val="18"/>
        </w:rPr>
        <w:t>淘宝网资产竞价网络平台上(网址：</w:t>
      </w:r>
      <w:r>
        <w:fldChar w:fldCharType="begin"/>
      </w:r>
      <w:r>
        <w:instrText xml:space="preserve"> HYPERLINK "http://zc.paimai.taobao.com/" </w:instrText>
      </w:r>
      <w:r>
        <w:fldChar w:fldCharType="separate"/>
      </w:r>
      <w:r>
        <w:rPr>
          <w:rFonts w:ascii="Tahoma" w:hAnsi="Tahoma" w:cs="Times New Roman"/>
          <w:color w:val="000000"/>
          <w:kern w:val="0"/>
          <w:sz w:val="18"/>
          <w:szCs w:val="18"/>
        </w:rPr>
        <w:t>http://zc.paimai.taobao.com</w:t>
      </w:r>
      <w:r>
        <w:rPr>
          <w:rFonts w:ascii="Tahoma" w:hAnsi="Tahoma" w:cs="Times New Roman"/>
          <w:color w:val="000000"/>
          <w:kern w:val="0"/>
          <w:sz w:val="18"/>
          <w:szCs w:val="18"/>
        </w:rPr>
        <w:fldChar w:fldCharType="end"/>
      </w:r>
      <w:r>
        <w:rPr>
          <w:rFonts w:ascii="Tahoma" w:hAnsi="Tahoma" w:cs="Times New Roman"/>
          <w:color w:val="000000"/>
          <w:kern w:val="0"/>
          <w:sz w:val="18"/>
          <w:szCs w:val="18"/>
        </w:rPr>
        <w:t>；户名：</w:t>
      </w:r>
      <w:r>
        <w:rPr>
          <w:rFonts w:hint="eastAsia" w:ascii="Tahoma" w:hAnsi="Tahoma" w:cs="Times New Roman"/>
          <w:color w:val="000000"/>
          <w:kern w:val="0"/>
          <w:sz w:val="18"/>
          <w:szCs w:val="18"/>
          <w:u w:val="single"/>
        </w:rPr>
        <w:t>广东南粤银行股份公司</w:t>
      </w:r>
      <w:r>
        <w:rPr>
          <w:rFonts w:ascii="Tahoma" w:hAnsi="Tahoma" w:cs="Times New Roman"/>
          <w:color w:val="000000"/>
          <w:kern w:val="0"/>
          <w:sz w:val="18"/>
          <w:szCs w:val="18"/>
        </w:rPr>
        <w:t>)进行公开竞价活动，现就有关的网上竞价事宜敬告各位竞买人：</w:t>
      </w:r>
    </w:p>
    <w:p>
      <w:pPr>
        <w:widowControl/>
        <w:spacing w:line="46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各竞买方在竞价前须详细阅读此《竞买须知》。竞买人应认真仔细阅读，了解本须知的全部内容。本次竞价活动遵循“公开、公平、公正、诚实守信”的原则，竞价活动具备法律效力。参加本次竞价活动的当事人和竞买人必须遵守本须知的各项条款，并对自己的行为承担法律责任。</w:t>
      </w:r>
    </w:p>
    <w:p>
      <w:pPr>
        <w:pStyle w:val="11"/>
        <w:widowControl/>
        <w:numPr>
          <w:ilvl w:val="0"/>
          <w:numId w:val="1"/>
        </w:numPr>
        <w:spacing w:line="400" w:lineRule="atLeast"/>
        <w:ind w:firstLineChars="0"/>
        <w:jc w:val="left"/>
        <w:outlineLvl w:val="0"/>
        <w:rPr>
          <w:rFonts w:ascii="Tahoma" w:hAnsi="Tahoma" w:cs="Times New Roman"/>
          <w:color w:val="000000"/>
          <w:kern w:val="0"/>
          <w:sz w:val="18"/>
          <w:szCs w:val="18"/>
          <w:u w:val="single"/>
        </w:rPr>
      </w:pPr>
      <w:r>
        <w:rPr>
          <w:rFonts w:hint="eastAsia" w:ascii="Tahoma" w:hAnsi="Tahoma" w:cs="Times New Roman"/>
          <w:color w:val="000000"/>
          <w:kern w:val="0"/>
          <w:sz w:val="18"/>
          <w:szCs w:val="18"/>
        </w:rPr>
        <w:t>本次竞价项目的转让方：</w:t>
      </w:r>
      <w:r>
        <w:rPr>
          <w:rFonts w:hint="eastAsia" w:ascii="Tahoma" w:hAnsi="Tahoma" w:cs="Times New Roman"/>
          <w:color w:val="000000"/>
          <w:kern w:val="0"/>
          <w:sz w:val="18"/>
          <w:szCs w:val="18"/>
          <w:u w:val="single"/>
        </w:rPr>
        <w:t>广东南粤银行股份有限公司</w:t>
      </w:r>
      <w:r>
        <w:rPr>
          <w:rFonts w:hint="eastAsia" w:ascii="Tahoma" w:hAnsi="Tahoma" w:cs="Times New Roman"/>
          <w:color w:val="000000"/>
          <w:kern w:val="0"/>
          <w:sz w:val="18"/>
          <w:szCs w:val="18"/>
        </w:rPr>
        <w:t>；</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2.竞价方式：本次竞价活动设置延时出价功能，在竞价活动结束前，每最后5分钟如果有竞买人出价，就自动延至5分钟。；</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3.竞价时间：2020年6月23日9 时起至15 时止（届时正式竞价开始时间以淘宝网网络电子竞价系统时间为准）。本次竞价活动设置延时出价功能，在竞价活动结束前，每最后5分钟如果有竞买人出价，就自动延迟至5分钟。</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4.竞价起始价：</w:t>
      </w:r>
      <w:r>
        <w:rPr>
          <w:rFonts w:hint="eastAsia" w:ascii="Tahoma" w:hAnsi="Tahoma" w:cs="Times New Roman"/>
          <w:color w:val="000000"/>
          <w:kern w:val="0"/>
          <w:sz w:val="18"/>
          <w:szCs w:val="18"/>
          <w:u w:val="single"/>
        </w:rPr>
        <w:t>20056万元</w:t>
      </w:r>
      <w:r>
        <w:rPr>
          <w:rFonts w:hint="eastAsia" w:ascii="Tahoma" w:hAnsi="Tahoma" w:cs="Times New Roman"/>
          <w:color w:val="000000"/>
          <w:kern w:val="0"/>
          <w:sz w:val="18"/>
          <w:szCs w:val="18"/>
        </w:rPr>
        <w:t>；报价的加价幅度以</w:t>
      </w:r>
      <w:r>
        <w:rPr>
          <w:rFonts w:hint="eastAsia" w:ascii="Tahoma" w:hAnsi="Tahoma" w:cs="Times New Roman"/>
          <w:color w:val="000000" w:themeColor="text1"/>
          <w:kern w:val="0"/>
          <w:sz w:val="18"/>
          <w:szCs w:val="18"/>
          <w:u w:val="single"/>
          <w14:textFill>
            <w14:solidFill>
              <w14:schemeClr w14:val="tx1"/>
            </w14:solidFill>
          </w14:textFill>
        </w:rPr>
        <w:t>50</w:t>
      </w:r>
      <w:r>
        <w:rPr>
          <w:rFonts w:hint="eastAsia" w:ascii="Tahoma" w:hAnsi="Tahoma" w:cs="Times New Roman"/>
          <w:color w:val="000000"/>
          <w:kern w:val="0"/>
          <w:sz w:val="18"/>
          <w:szCs w:val="18"/>
          <w:u w:val="single"/>
        </w:rPr>
        <w:t>万元</w:t>
      </w:r>
      <w:r>
        <w:rPr>
          <w:rFonts w:hint="eastAsia" w:ascii="Tahoma" w:hAnsi="Tahoma" w:cs="Times New Roman"/>
          <w:color w:val="000000"/>
          <w:kern w:val="0"/>
          <w:sz w:val="18"/>
          <w:szCs w:val="18"/>
        </w:rPr>
        <w:t>的整数倍。</w:t>
      </w:r>
    </w:p>
    <w:p>
      <w:pPr>
        <w:widowControl/>
        <w:spacing w:line="400" w:lineRule="atLeast"/>
        <w:ind w:firstLine="360" w:firstLineChars="200"/>
        <w:jc w:val="left"/>
        <w:rPr>
          <w:rFonts w:ascii="Tahoma" w:hAnsi="Tahoma" w:cs="Times New Roman"/>
          <w:color w:val="auto"/>
          <w:kern w:val="0"/>
          <w:sz w:val="18"/>
          <w:szCs w:val="18"/>
        </w:rPr>
      </w:pPr>
      <w:r>
        <w:rPr>
          <w:rFonts w:hint="eastAsia" w:ascii="Tahoma" w:hAnsi="Tahoma" w:cs="Times New Roman"/>
          <w:color w:val="000000"/>
          <w:kern w:val="0"/>
          <w:sz w:val="18"/>
          <w:szCs w:val="18"/>
        </w:rPr>
        <w:t>5.参与本次竞价需交纳竞价保证金人民币：</w:t>
      </w:r>
      <w:r>
        <w:rPr>
          <w:rFonts w:hint="eastAsia" w:ascii="Tahoma" w:hAnsi="Tahoma" w:cs="Times New Roman"/>
          <w:color w:val="000000"/>
          <w:kern w:val="0"/>
          <w:sz w:val="18"/>
          <w:szCs w:val="18"/>
          <w:u w:val="single"/>
        </w:rPr>
        <w:t>贰仟万元整</w:t>
      </w:r>
      <w:r>
        <w:rPr>
          <w:rFonts w:hint="eastAsia" w:ascii="Tahoma" w:hAnsi="Tahoma" w:cs="Times New Roman"/>
          <w:color w:val="000000"/>
          <w:kern w:val="0"/>
          <w:sz w:val="18"/>
          <w:szCs w:val="18"/>
        </w:rPr>
        <w:t>（</w:t>
      </w:r>
      <w:r>
        <w:rPr>
          <w:rFonts w:hint="eastAsia" w:ascii="Tahoma" w:hAnsi="Tahoma" w:cs="Times New Roman"/>
          <w:color w:val="000000"/>
          <w:kern w:val="0"/>
          <w:sz w:val="18"/>
          <w:szCs w:val="18"/>
          <w:u w:val="single"/>
        </w:rPr>
        <w:t>￥20,000,000.00元</w:t>
      </w:r>
      <w:r>
        <w:rPr>
          <w:rFonts w:hint="eastAsia" w:ascii="Tahoma" w:hAnsi="Tahoma" w:cs="Times New Roman"/>
          <w:color w:val="000000"/>
          <w:kern w:val="0"/>
          <w:sz w:val="18"/>
          <w:szCs w:val="18"/>
        </w:rPr>
        <w:t>）。竞价前竞买人的银行账户中应有足够的余额（</w:t>
      </w:r>
      <w:r>
        <w:rPr>
          <w:rFonts w:hint="eastAsia" w:ascii="Tahoma" w:hAnsi="Tahoma" w:cs="Times New Roman"/>
          <w:color w:val="000000"/>
          <w:kern w:val="0"/>
          <w:sz w:val="18"/>
          <w:szCs w:val="18"/>
          <w:u w:val="single"/>
        </w:rPr>
        <w:t>20,000,000.00元以上</w:t>
      </w:r>
      <w:r>
        <w:rPr>
          <w:rFonts w:hint="eastAsia" w:ascii="Tahoma" w:hAnsi="Tahoma" w:cs="Times New Roman"/>
          <w:color w:val="000000"/>
          <w:kern w:val="0"/>
          <w:sz w:val="18"/>
          <w:szCs w:val="18"/>
        </w:rPr>
        <w:t>）支付竞价保证金，同时确定银行账户是否开通网上银行及银行</w:t>
      </w:r>
      <w:r>
        <w:rPr>
          <w:rFonts w:hint="eastAsia" w:ascii="Tahoma" w:hAnsi="Tahoma" w:cs="Times New Roman"/>
          <w:color w:val="auto"/>
          <w:kern w:val="0"/>
          <w:sz w:val="18"/>
          <w:szCs w:val="18"/>
        </w:rPr>
        <w:t>限额能否满足一次性支付保证金。资产竞价因标的物本身价值，其起始价、保证金、竞价成交价格相对较高的。竞买人参与竞价，支付保证金及余款可能会碰到当天限额无法支付的情况，请竞买人根据自身情况选择网上充值银行。竞买人在对竞价标的物第一次确认出价竞买前，按淘宝系统提示报名缴纳保证金，系统会自动冻结该笔款项。竞价成交的，本标的物竞得者（以下称买受人）冻结的保证金将自动转入广东南粤银行股份有限公司指定账户。竞价未成交的，竞买人的保证金在竞价活动结束后即时解冻，保证金冻结期间不计利息。</w:t>
      </w:r>
    </w:p>
    <w:p>
      <w:pPr>
        <w:widowControl/>
        <w:spacing w:line="400" w:lineRule="atLeast"/>
        <w:ind w:firstLine="360" w:firstLineChars="200"/>
        <w:jc w:val="left"/>
        <w:rPr>
          <w:rFonts w:ascii="Tahoma" w:hAnsi="Tahoma" w:cs="Times New Roman"/>
          <w:color w:val="auto"/>
          <w:kern w:val="0"/>
          <w:sz w:val="18"/>
          <w:szCs w:val="18"/>
        </w:rPr>
      </w:pPr>
      <w:r>
        <w:rPr>
          <w:rFonts w:hint="eastAsia" w:ascii="Tahoma" w:hAnsi="Tahoma" w:cs="Times New Roman"/>
          <w:color w:val="auto"/>
          <w:kern w:val="0"/>
          <w:sz w:val="18"/>
          <w:szCs w:val="18"/>
        </w:rPr>
        <w:t>6.</w:t>
      </w:r>
      <w:r>
        <w:rPr>
          <w:rFonts w:ascii="Tahoma" w:hAnsi="Tahoma" w:cs="Times New Roman"/>
          <w:color w:val="auto"/>
          <w:kern w:val="0"/>
          <w:sz w:val="18"/>
          <w:szCs w:val="18"/>
        </w:rPr>
        <w:t> </w:t>
      </w:r>
      <w:r>
        <w:rPr>
          <w:rFonts w:hint="eastAsia" w:ascii="Tahoma" w:hAnsi="Tahoma" w:cs="Times New Roman"/>
          <w:color w:val="auto"/>
          <w:kern w:val="0"/>
          <w:sz w:val="18"/>
          <w:szCs w:val="18"/>
          <w:u w:val="single"/>
        </w:rPr>
        <w:t>广东南粤银行股份有限公司</w:t>
      </w:r>
      <w:r>
        <w:rPr>
          <w:rFonts w:hint="eastAsia" w:ascii="Tahoma" w:hAnsi="Tahoma" w:cs="Times New Roman"/>
          <w:color w:val="auto"/>
          <w:kern w:val="0"/>
          <w:sz w:val="18"/>
          <w:szCs w:val="18"/>
        </w:rPr>
        <w:t>佣金缴纳情况，佣金金额百分比为 </w:t>
      </w:r>
      <w:r>
        <w:rPr>
          <w:rFonts w:hint="eastAsia" w:ascii="Tahoma" w:hAnsi="Tahoma" w:cs="Times New Roman"/>
          <w:color w:val="auto"/>
          <w:kern w:val="0"/>
          <w:sz w:val="18"/>
          <w:szCs w:val="18"/>
          <w:u w:val="single"/>
        </w:rPr>
        <w:t>0 %。</w:t>
      </w:r>
    </w:p>
    <w:p>
      <w:pPr>
        <w:widowControl/>
        <w:spacing w:line="400" w:lineRule="atLeast"/>
        <w:ind w:firstLine="360" w:firstLineChars="200"/>
        <w:jc w:val="left"/>
        <w:rPr>
          <w:rFonts w:ascii="Tahoma" w:hAnsi="Tahoma" w:cs="Times New Roman"/>
          <w:color w:val="auto"/>
          <w:kern w:val="0"/>
          <w:sz w:val="18"/>
          <w:szCs w:val="18"/>
        </w:rPr>
      </w:pPr>
      <w:r>
        <w:rPr>
          <w:rFonts w:hint="eastAsia" w:ascii="Tahoma" w:hAnsi="Tahoma" w:cs="Times New Roman"/>
          <w:color w:val="auto"/>
          <w:kern w:val="0"/>
          <w:sz w:val="18"/>
          <w:szCs w:val="18"/>
        </w:rPr>
        <w:t>7.</w:t>
      </w:r>
      <w:r>
        <w:rPr>
          <w:rFonts w:ascii="Tahoma" w:hAnsi="Tahoma" w:cs="Times New Roman"/>
          <w:color w:val="auto"/>
          <w:kern w:val="0"/>
          <w:sz w:val="18"/>
          <w:szCs w:val="18"/>
        </w:rPr>
        <w:t>  </w:t>
      </w:r>
      <w:r>
        <w:rPr>
          <w:rFonts w:hint="eastAsia" w:ascii="Tahoma" w:hAnsi="Tahoma" w:cs="Times New Roman"/>
          <w:color w:val="auto"/>
          <w:kern w:val="0"/>
          <w:sz w:val="18"/>
          <w:szCs w:val="18"/>
        </w:rPr>
        <w:t>成交价款的结算时间和方式：竞价成交后，买受人应在</w:t>
      </w:r>
      <w:r>
        <w:rPr>
          <w:rFonts w:ascii="Tahoma" w:hAnsi="Tahoma" w:cs="Times New Roman"/>
          <w:color w:val="auto"/>
          <w:kern w:val="0"/>
          <w:sz w:val="18"/>
          <w:szCs w:val="18"/>
        </w:rPr>
        <w:t>20</w:t>
      </w:r>
      <w:r>
        <w:rPr>
          <w:rFonts w:hint="eastAsia" w:ascii="Tahoma" w:hAnsi="Tahoma" w:cs="Times New Roman"/>
          <w:color w:val="auto"/>
          <w:kern w:val="0"/>
          <w:sz w:val="18"/>
          <w:szCs w:val="18"/>
        </w:rPr>
        <w:t>20年6月30日15时30分前将竞价成交价余款缴入广东南粤银行股份有限公司指定账户(户名：广</w:t>
      </w:r>
      <w:bookmarkStart w:id="0" w:name="_GoBack"/>
      <w:bookmarkEnd w:id="0"/>
      <w:r>
        <w:rPr>
          <w:rFonts w:hint="eastAsia" w:ascii="Tahoma" w:hAnsi="Tahoma" w:cs="Times New Roman"/>
          <w:color w:val="auto"/>
          <w:kern w:val="0"/>
          <w:sz w:val="18"/>
          <w:szCs w:val="18"/>
        </w:rPr>
        <w:t>东南粤银行股份有限公司（抵债资产处置收入户），开户银行：广东南粤银行股份有限公司清算中心，账号：99900127111026666)。在</w:t>
      </w:r>
      <w:r>
        <w:rPr>
          <w:rFonts w:ascii="Tahoma" w:hAnsi="Tahoma" w:cs="Times New Roman"/>
          <w:color w:val="auto"/>
          <w:kern w:val="0"/>
          <w:sz w:val="18"/>
          <w:szCs w:val="18"/>
        </w:rPr>
        <w:t>20</w:t>
      </w:r>
      <w:r>
        <w:rPr>
          <w:rFonts w:hint="eastAsia" w:ascii="Tahoma" w:hAnsi="Tahoma" w:cs="Times New Roman"/>
          <w:color w:val="auto"/>
          <w:kern w:val="0"/>
          <w:sz w:val="18"/>
          <w:szCs w:val="18"/>
        </w:rPr>
        <w:t>20年7月10日17时前（凭付款凭证及相关身份材料）到广东南粤银行股份有限公司（办公地址：湛江经济技术开发区乐山路27号财富汇广东南粤银行）办理后续交易手续。</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auto"/>
          <w:kern w:val="0"/>
          <w:sz w:val="18"/>
          <w:szCs w:val="18"/>
        </w:rPr>
        <w:t>8.</w:t>
      </w:r>
      <w:r>
        <w:rPr>
          <w:rFonts w:ascii="Tahoma" w:hAnsi="Tahoma" w:cs="Times New Roman"/>
          <w:color w:val="auto"/>
          <w:kern w:val="0"/>
          <w:sz w:val="18"/>
          <w:szCs w:val="18"/>
        </w:rPr>
        <w:t>  </w:t>
      </w:r>
      <w:r>
        <w:rPr>
          <w:rFonts w:hint="eastAsia" w:ascii="Tahoma" w:hAnsi="Tahoma" w:cs="Times New Roman"/>
          <w:color w:val="auto"/>
          <w:kern w:val="0"/>
          <w:sz w:val="18"/>
          <w:szCs w:val="18"/>
        </w:rPr>
        <w:t>竞价成功后，买受人应在广东南粤银行股份有限公司通知的时间内与转让方履行转让协议签约手续。若买受人未在所通知的时间内到场履行转让协议签约手续时，由此引发的一切问题均由买受人承担违约责任。若交易双方届时均未在所通知的时间内履行转让协议签约手续时，由此引发的一切问题均由交易</w:t>
      </w:r>
      <w:r>
        <w:rPr>
          <w:rFonts w:hint="eastAsia" w:ascii="Tahoma" w:hAnsi="Tahoma" w:cs="Times New Roman"/>
          <w:color w:val="000000"/>
          <w:kern w:val="0"/>
          <w:sz w:val="18"/>
          <w:szCs w:val="18"/>
        </w:rPr>
        <w:t>双方通过法律途径自行解决，对此，广东南粤银行股份有限公司不承担任何责任。</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9.</w:t>
      </w:r>
      <w:r>
        <w:rPr>
          <w:rFonts w:ascii="Tahoma" w:hAnsi="Tahoma" w:cs="Times New Roman"/>
          <w:color w:val="000000"/>
          <w:kern w:val="0"/>
          <w:sz w:val="18"/>
          <w:szCs w:val="18"/>
        </w:rPr>
        <w:t>  </w:t>
      </w:r>
      <w:r>
        <w:rPr>
          <w:rFonts w:hint="eastAsia" w:ascii="Tahoma" w:hAnsi="Tahoma" w:cs="Times New Roman"/>
          <w:color w:val="000000"/>
          <w:kern w:val="0"/>
          <w:sz w:val="18"/>
          <w:szCs w:val="18"/>
        </w:rPr>
        <w:t>竞价成功后，有关转让标的交割事项按转让协议有关约定进行交割。</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10.竞价成功后买受人未按有关规定履行相关手续时，买受人将承担违约责任并无权要求返还竞价保证金。买受人逾期未支付竞价款，广东南粤银行股份有限公司有权组织重新竞价。</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11.合格竞买方参与本次竞价时，视同对转让标的已进行过尽职调查，且知悉转让标的所公开披露的全部信息及其可能存在的瑕疵。由此所产生的纠纷广东南粤银行股份有限公司均不承担任何法律责任和赔偿义务。</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12.资产转让过程中出现下列情形的，广东南粤银行股份有限公司可以要求转让方立即中止或者终结资产转让活动，同时广东南粤银行股份有限公司有权直接做出资产转让活动中止和终结的决定：（1）存在违反国家法律法规或其他有关方提出争议情形时；（2）资产转让申请提交广东南粤银行股份有限公司后，未实际在广东南粤银行股份有限公司履行交易程序的；（3）在资产交易过程中出现违反各项交易规则、细则等相关规定，并妨碍正常交易秩序的；（4）交易双方及相关主体因纠纷争讼，由仲裁机构（或法院）做出中止和终结决定的。</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13.本竞价须知由广东南粤银行股份有限公司负责解释。</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14.特别说明：</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1）重大事项披露：取得银监会核发的金融许可证、可批量收购金融企业不良资产的国有资产管理公司，及广东省人民政府依法设立或授权的资产管理公司均可参加竞买。竞买人需向广东南粤银行股份有限公司提供营业执照、金融机构许可证，并通过广东南粤银行股份有限公司后台认可后，方可报名参拍。</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（2）限购、过户情况：由竞买人自行向拍卖标的所在房地产登记管理部门咨询确认；</w:t>
      </w:r>
    </w:p>
    <w:p>
      <w:pPr>
        <w:widowControl/>
        <w:spacing w:line="400" w:lineRule="atLeast"/>
        <w:ind w:firstLine="360" w:firstLineChars="200"/>
        <w:jc w:val="left"/>
        <w:rPr>
          <w:rFonts w:ascii="Tahoma" w:hAnsi="Tahoma" w:cs="Times New Roman"/>
          <w:color w:val="000000"/>
          <w:kern w:val="0"/>
          <w:sz w:val="18"/>
          <w:szCs w:val="18"/>
        </w:rPr>
      </w:pPr>
      <w:r>
        <w:rPr>
          <w:rFonts w:hint="eastAsia" w:ascii="Tahoma" w:hAnsi="Tahoma" w:cs="Times New Roman"/>
          <w:color w:val="000000"/>
          <w:kern w:val="0"/>
          <w:sz w:val="18"/>
          <w:szCs w:val="18"/>
        </w:rPr>
        <w:t>（3）本次拍卖底价为净收价格，涉及的税费等全部由买受人承担；</w:t>
      </w:r>
    </w:p>
    <w:p>
      <w:pPr>
        <w:widowControl/>
        <w:spacing w:line="400" w:lineRule="atLeast"/>
        <w:ind w:firstLine="360" w:firstLineChars="200"/>
        <w:jc w:val="left"/>
        <w:rPr>
          <w:rFonts w:ascii="Tahoma" w:hAnsi="Tahoma" w:cs="Times New Roman"/>
          <w:color w:val="000000"/>
          <w:kern w:val="0"/>
          <w:sz w:val="18"/>
          <w:szCs w:val="18"/>
        </w:rPr>
      </w:pPr>
    </w:p>
    <w:p>
      <w:pPr>
        <w:widowControl/>
        <w:spacing w:line="400" w:lineRule="atLeast"/>
        <w:ind w:firstLine="360" w:firstLineChars="200"/>
        <w:jc w:val="left"/>
        <w:rPr>
          <w:rFonts w:ascii="Tahoma" w:hAnsi="Tahoma" w:cs="Times New Roman"/>
          <w:color w:val="000000"/>
          <w:kern w:val="0"/>
          <w:sz w:val="18"/>
          <w:szCs w:val="18"/>
        </w:rPr>
      </w:pPr>
    </w:p>
    <w:p>
      <w:pPr>
        <w:widowControl/>
        <w:spacing w:line="400" w:lineRule="atLeast"/>
        <w:ind w:right="270" w:firstLine="482" w:firstLineChars="200"/>
        <w:jc w:val="right"/>
        <w:rPr>
          <w:rFonts w:ascii="Tahoma" w:hAnsi="Tahoma" w:cs="Times New Roman"/>
          <w:b/>
          <w:color w:val="000000"/>
          <w:kern w:val="0"/>
        </w:rPr>
      </w:pPr>
      <w:r>
        <w:rPr>
          <w:rFonts w:hint="eastAsia" w:ascii="Tahoma" w:hAnsi="Tahoma" w:cs="Times New Roman"/>
          <w:b/>
          <w:color w:val="000000"/>
          <w:kern w:val="0"/>
        </w:rPr>
        <w:t>广东南粤银行股份有限公司</w:t>
      </w:r>
    </w:p>
    <w:p>
      <w:pPr>
        <w:widowControl/>
        <w:spacing w:line="400" w:lineRule="atLeast"/>
        <w:ind w:right="480" w:firstLine="482" w:firstLineChars="200"/>
        <w:jc w:val="center"/>
        <w:rPr>
          <w:rFonts w:ascii="Tahoma" w:hAnsi="Tahoma" w:cs="Times New Roman"/>
          <w:b/>
          <w:color w:val="000000"/>
          <w:kern w:val="0"/>
        </w:rPr>
      </w:pPr>
      <w:r>
        <w:rPr>
          <w:rFonts w:hint="eastAsia" w:ascii="Tahoma" w:hAnsi="Tahoma" w:cs="Times New Roman"/>
          <w:b/>
          <w:color w:val="000000"/>
          <w:kern w:val="0"/>
        </w:rPr>
        <w:t xml:space="preserve">                                           </w:t>
      </w:r>
      <w:r>
        <w:rPr>
          <w:rFonts w:ascii="Tahoma" w:hAnsi="Tahoma" w:cs="Times New Roman"/>
          <w:b/>
          <w:color w:val="000000"/>
          <w:kern w:val="0"/>
        </w:rPr>
        <w:t>20</w:t>
      </w:r>
      <w:r>
        <w:rPr>
          <w:rFonts w:hint="eastAsia" w:ascii="Tahoma" w:hAnsi="Tahoma" w:cs="Times New Roman"/>
          <w:b/>
          <w:color w:val="000000"/>
          <w:kern w:val="0"/>
        </w:rPr>
        <w:t>20年6月17日</w:t>
      </w:r>
    </w:p>
    <w:p>
      <w:pPr>
        <w:widowControl/>
        <w:ind w:firstLine="400" w:firstLineChars="200"/>
        <w:jc w:val="left"/>
        <w:rPr>
          <w:rFonts w:ascii="Times" w:hAnsi="Times" w:eastAsia="Times New Roman" w:cs="Times New Roman"/>
          <w:kern w:val="0"/>
          <w:sz w:val="20"/>
          <w:szCs w:val="20"/>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CG Times"/>
    <w:panose1 w:val="02020603050405020304"/>
    <w:charset w:val="00"/>
    <w:family w:val="roman"/>
    <w:pitch w:val="default"/>
    <w:sig w:usb0="00000000"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0085"/>
    <w:multiLevelType w:val="multilevel"/>
    <w:tmpl w:val="22A60085"/>
    <w:lvl w:ilvl="0" w:tentative="0">
      <w:start w:val="1"/>
      <w:numFmt w:val="decimal"/>
      <w:lvlText w:val="%1."/>
      <w:lvlJc w:val="left"/>
      <w:pPr>
        <w:ind w:left="720" w:hanging="360"/>
      </w:pPr>
      <w:rPr>
        <w:rFonts w:hint="default"/>
        <w:u w:val="none"/>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38"/>
    <w:rsid w:val="000222BC"/>
    <w:rsid w:val="00084FE5"/>
    <w:rsid w:val="0009046D"/>
    <w:rsid w:val="000B212E"/>
    <w:rsid w:val="000C057F"/>
    <w:rsid w:val="00141BC9"/>
    <w:rsid w:val="00162A42"/>
    <w:rsid w:val="001A08BA"/>
    <w:rsid w:val="001B313A"/>
    <w:rsid w:val="001D7678"/>
    <w:rsid w:val="001E708A"/>
    <w:rsid w:val="00202277"/>
    <w:rsid w:val="00207996"/>
    <w:rsid w:val="00245898"/>
    <w:rsid w:val="00253D79"/>
    <w:rsid w:val="00263A02"/>
    <w:rsid w:val="002A4480"/>
    <w:rsid w:val="002C6771"/>
    <w:rsid w:val="002D39DA"/>
    <w:rsid w:val="002E07C1"/>
    <w:rsid w:val="003265AF"/>
    <w:rsid w:val="00331109"/>
    <w:rsid w:val="0033632D"/>
    <w:rsid w:val="003746DB"/>
    <w:rsid w:val="003B4A61"/>
    <w:rsid w:val="003C27B2"/>
    <w:rsid w:val="003C6410"/>
    <w:rsid w:val="003E4779"/>
    <w:rsid w:val="003E6738"/>
    <w:rsid w:val="00473A32"/>
    <w:rsid w:val="004B1926"/>
    <w:rsid w:val="004B76C2"/>
    <w:rsid w:val="004C211C"/>
    <w:rsid w:val="004C449C"/>
    <w:rsid w:val="00501541"/>
    <w:rsid w:val="005324B4"/>
    <w:rsid w:val="0054261E"/>
    <w:rsid w:val="00543BAD"/>
    <w:rsid w:val="0054524B"/>
    <w:rsid w:val="00593529"/>
    <w:rsid w:val="006241D3"/>
    <w:rsid w:val="00695B9E"/>
    <w:rsid w:val="006C3371"/>
    <w:rsid w:val="006E69C3"/>
    <w:rsid w:val="00724177"/>
    <w:rsid w:val="00744D0F"/>
    <w:rsid w:val="00764295"/>
    <w:rsid w:val="00767F90"/>
    <w:rsid w:val="007B0889"/>
    <w:rsid w:val="007B4189"/>
    <w:rsid w:val="00800389"/>
    <w:rsid w:val="00857731"/>
    <w:rsid w:val="008B4ED4"/>
    <w:rsid w:val="008D0910"/>
    <w:rsid w:val="008E132F"/>
    <w:rsid w:val="008E2168"/>
    <w:rsid w:val="008F02AA"/>
    <w:rsid w:val="0091191C"/>
    <w:rsid w:val="0095311F"/>
    <w:rsid w:val="00963B3C"/>
    <w:rsid w:val="00974F2B"/>
    <w:rsid w:val="00985FA6"/>
    <w:rsid w:val="00A17085"/>
    <w:rsid w:val="00A2304C"/>
    <w:rsid w:val="00A628D9"/>
    <w:rsid w:val="00A92248"/>
    <w:rsid w:val="00AD0AEB"/>
    <w:rsid w:val="00B0398C"/>
    <w:rsid w:val="00B35AF7"/>
    <w:rsid w:val="00B36BBD"/>
    <w:rsid w:val="00B568D6"/>
    <w:rsid w:val="00B7249B"/>
    <w:rsid w:val="00B85FED"/>
    <w:rsid w:val="00BB6E56"/>
    <w:rsid w:val="00C0654A"/>
    <w:rsid w:val="00C07DAF"/>
    <w:rsid w:val="00C11A9F"/>
    <w:rsid w:val="00C2676C"/>
    <w:rsid w:val="00C741FA"/>
    <w:rsid w:val="00C94649"/>
    <w:rsid w:val="00C96DAC"/>
    <w:rsid w:val="00CD11D6"/>
    <w:rsid w:val="00CD791B"/>
    <w:rsid w:val="00CE7B88"/>
    <w:rsid w:val="00D500EA"/>
    <w:rsid w:val="00D7489A"/>
    <w:rsid w:val="00DA2E52"/>
    <w:rsid w:val="00E05DA3"/>
    <w:rsid w:val="00E103A9"/>
    <w:rsid w:val="00E33F22"/>
    <w:rsid w:val="00E45A40"/>
    <w:rsid w:val="00E61CB4"/>
    <w:rsid w:val="00E879F8"/>
    <w:rsid w:val="00EC6E55"/>
    <w:rsid w:val="00EC795D"/>
    <w:rsid w:val="00ED1AD5"/>
    <w:rsid w:val="00EE7192"/>
    <w:rsid w:val="00F061BA"/>
    <w:rsid w:val="00F11E38"/>
    <w:rsid w:val="00F508CC"/>
    <w:rsid w:val="00F66530"/>
    <w:rsid w:val="00F6722E"/>
    <w:rsid w:val="00FB52EB"/>
    <w:rsid w:val="00FC7DE5"/>
    <w:rsid w:val="00FF22B9"/>
    <w:rsid w:val="00FF7F4C"/>
    <w:rsid w:val="4FB271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Times" w:hAnsi="Times" w:cs="Times New Roman"/>
      <w:kern w:val="0"/>
      <w:sz w:val="20"/>
      <w:szCs w:val="20"/>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rPr>
      <w:sz w:val="21"/>
      <w:szCs w:val="22"/>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9464C-4ABE-44F0-9AE9-247ED4AB7B1D}">
  <ds:schemaRefs/>
</ds:datastoreItem>
</file>

<file path=docProps/app.xml><?xml version="1.0" encoding="utf-8"?>
<Properties xmlns="http://schemas.openxmlformats.org/officeDocument/2006/extended-properties" xmlns:vt="http://schemas.openxmlformats.org/officeDocument/2006/docPropsVTypes">
  <Template>Normal.dotm</Template>
  <Company>阿里巴巴</Company>
  <Pages>2</Pages>
  <Words>312</Words>
  <Characters>1785</Characters>
  <Lines>14</Lines>
  <Paragraphs>4</Paragraphs>
  <TotalTime>35</TotalTime>
  <ScaleCrop>false</ScaleCrop>
  <LinksUpToDate>false</LinksUpToDate>
  <CharactersWithSpaces>2093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2020-06-17T10:27:00Z</dcterms:created>
  <dc:creator>小挪 潘</dc:creator>
  <cp:lastModifiedBy>杨伟东</cp:lastModifiedBy>
  <cp:lastPrinted>2020-06-17T12:54:00Z</cp:lastPrinted>
  <dcterms:modified xsi:type="dcterms:W3CDTF">2020-06-18T09:54:13Z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