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212313E8" w:rsidR="00A64B97" w:rsidRDefault="000B0046" w:rsidP="00A94551">
      <w:pPr>
        <w:spacing w:before="111"/>
        <w:ind w:right="314"/>
        <w:jc w:val="center"/>
        <w:rPr>
          <w:b/>
          <w:sz w:val="31"/>
          <w:lang w:eastAsia="zh-CN"/>
        </w:rPr>
      </w:pPr>
      <w:r>
        <w:rPr>
          <w:rFonts w:hint="eastAsia"/>
          <w:b/>
          <w:sz w:val="31"/>
          <w:lang w:eastAsia="zh-CN"/>
        </w:rPr>
        <w:t>南方成长先锋混合型证券投资基金</w:t>
      </w:r>
      <w:r w:rsidR="00DE5972">
        <w:rPr>
          <w:rFonts w:hint="eastAsia"/>
          <w:b/>
          <w:sz w:val="31"/>
          <w:lang w:eastAsia="zh-CN"/>
        </w:rPr>
        <w:t>（</w:t>
      </w:r>
      <w:r w:rsidR="001C5F55">
        <w:rPr>
          <w:rFonts w:hint="eastAsia"/>
          <w:b/>
          <w:sz w:val="31"/>
          <w:lang w:eastAsia="zh-CN"/>
        </w:rPr>
        <w:t>C</w:t>
      </w:r>
      <w:r w:rsidR="00DE5972">
        <w:rPr>
          <w:rFonts w:hint="eastAsia"/>
          <w:b/>
          <w:sz w:val="31"/>
          <w:lang w:eastAsia="zh-CN"/>
        </w:rPr>
        <w:t>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75F75135"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0B0046">
        <w:rPr>
          <w:rFonts w:ascii="仿宋" w:eastAsia="仿宋" w:hAnsi="仿宋"/>
          <w:sz w:val="24"/>
          <w:szCs w:val="24"/>
          <w:lang w:eastAsia="zh-CN"/>
        </w:rPr>
        <w:t>2020</w:t>
      </w:r>
      <w:r w:rsidR="000B0046" w:rsidRPr="001657D6">
        <w:rPr>
          <w:rFonts w:ascii="仿宋" w:eastAsia="仿宋" w:hAnsi="仿宋"/>
          <w:sz w:val="24"/>
          <w:szCs w:val="24"/>
          <w:lang w:eastAsia="zh-CN"/>
        </w:rPr>
        <w:t>年</w:t>
      </w:r>
      <w:r w:rsidR="00E152DF">
        <w:rPr>
          <w:rFonts w:ascii="仿宋" w:eastAsia="仿宋" w:hAnsi="仿宋"/>
          <w:sz w:val="24"/>
          <w:szCs w:val="24"/>
          <w:lang w:eastAsia="zh-CN"/>
        </w:rPr>
        <w:t>5</w:t>
      </w:r>
      <w:r w:rsidR="007E2762">
        <w:rPr>
          <w:rFonts w:ascii="仿宋" w:eastAsia="仿宋" w:hAnsi="仿宋" w:hint="eastAsia"/>
          <w:sz w:val="24"/>
          <w:szCs w:val="24"/>
          <w:lang w:eastAsia="zh-CN"/>
        </w:rPr>
        <w:t>月</w:t>
      </w:r>
      <w:r w:rsidR="00E152DF">
        <w:rPr>
          <w:rFonts w:ascii="仿宋" w:eastAsia="仿宋" w:hAnsi="仿宋"/>
          <w:sz w:val="24"/>
          <w:szCs w:val="24"/>
          <w:lang w:eastAsia="zh-CN"/>
        </w:rPr>
        <w:t>18</w:t>
      </w:r>
      <w:r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bookmarkStart w:id="0" w:name="_GoBack"/>
      <w:bookmarkEnd w:id="0"/>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9183"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946"/>
        <w:gridCol w:w="1984"/>
        <w:gridCol w:w="2268"/>
      </w:tblGrid>
      <w:tr w:rsidR="00A93CB8" w:rsidRPr="00615902" w14:paraId="4B7F8E81" w14:textId="77777777" w:rsidTr="00055EF3">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946" w:type="dxa"/>
            <w:shd w:val="clear" w:color="auto" w:fill="auto"/>
            <w:vAlign w:val="center"/>
          </w:tcPr>
          <w:p w14:paraId="56A562C0" w14:textId="59BF6546" w:rsidR="00A93CB8" w:rsidRPr="00615902" w:rsidRDefault="002E04AA" w:rsidP="000B0046">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sidR="000B0046">
              <w:rPr>
                <w:rFonts w:ascii="仿宋" w:eastAsia="仿宋" w:hAnsi="仿宋" w:hint="eastAsia"/>
                <w:color w:val="000000"/>
                <w:sz w:val="24"/>
                <w:szCs w:val="24"/>
                <w:lang w:eastAsia="zh-CN"/>
              </w:rPr>
              <w:t>成长先锋</w:t>
            </w:r>
            <w:r>
              <w:rPr>
                <w:rFonts w:ascii="仿宋" w:eastAsia="仿宋" w:hAnsi="仿宋" w:hint="eastAsia"/>
                <w:color w:val="000000"/>
                <w:sz w:val="24"/>
                <w:szCs w:val="24"/>
                <w:lang w:eastAsia="zh-CN"/>
              </w:rPr>
              <w:t>混合</w:t>
            </w:r>
            <w:r w:rsidR="001C5F55">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6F0CCC3D" w:rsidR="00A93CB8" w:rsidRPr="00C31159" w:rsidRDefault="00090B76"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009319</w:t>
            </w:r>
          </w:p>
        </w:tc>
      </w:tr>
      <w:tr w:rsidR="00A93CB8" w:rsidRPr="00615902" w14:paraId="4A08EC27" w14:textId="77777777" w:rsidTr="00055EF3">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946"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3A4FBDC8" w:rsidR="00A93CB8" w:rsidRPr="00C31159" w:rsidRDefault="00830F0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交通</w:t>
            </w:r>
            <w:r w:rsidRPr="002E04AA">
              <w:rPr>
                <w:rFonts w:ascii="仿宋" w:eastAsia="仿宋" w:hAnsi="仿宋" w:hint="eastAsia"/>
                <w:color w:val="000000"/>
                <w:sz w:val="24"/>
                <w:szCs w:val="24"/>
                <w:lang w:eastAsia="zh-CN"/>
              </w:rPr>
              <w:t>银行股份有限公司</w:t>
            </w:r>
          </w:p>
        </w:tc>
      </w:tr>
      <w:tr w:rsidR="00777AFC" w:rsidRPr="00615902" w14:paraId="54FAD552" w14:textId="77777777" w:rsidTr="00055EF3">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946"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055EF3">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946" w:type="dxa"/>
            <w:shd w:val="clear" w:color="auto" w:fill="auto"/>
            <w:vAlign w:val="center"/>
          </w:tcPr>
          <w:p w14:paraId="05AE87F8" w14:textId="06D822FF" w:rsidR="00777AFC" w:rsidRPr="00615902" w:rsidRDefault="002E04A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9A6799">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EC225C" w:rsidR="00777AFC" w:rsidRPr="00C31159"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512E8B" w:rsidRPr="00615902" w14:paraId="3AE82E26" w14:textId="77777777" w:rsidTr="00CB5FC6">
        <w:trPr>
          <w:trHeight w:val="285"/>
        </w:trPr>
        <w:tc>
          <w:tcPr>
            <w:tcW w:w="1985" w:type="dxa"/>
            <w:shd w:val="clear" w:color="auto" w:fill="auto"/>
            <w:noWrap/>
            <w:vAlign w:val="center"/>
            <w:hideMark/>
          </w:tcPr>
          <w:p w14:paraId="62E7D4CA" w14:textId="77777777" w:rsidR="00512E8B" w:rsidRPr="0091358C" w:rsidRDefault="00512E8B"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7198" w:type="dxa"/>
            <w:gridSpan w:val="3"/>
            <w:shd w:val="clear" w:color="auto" w:fill="auto"/>
            <w:vAlign w:val="center"/>
          </w:tcPr>
          <w:p w14:paraId="5017C4DD" w14:textId="78F67C5F" w:rsidR="00512E8B" w:rsidRPr="00C31159" w:rsidRDefault="00512E8B" w:rsidP="00512E8B">
            <w:pPr>
              <w:widowControl/>
              <w:autoSpaceDE/>
              <w:autoSpaceDN/>
              <w:rPr>
                <w:rFonts w:ascii="仿宋" w:eastAsia="仿宋" w:hAnsi="仿宋"/>
                <w:color w:val="000000"/>
                <w:sz w:val="24"/>
                <w:szCs w:val="24"/>
                <w:lang w:eastAsia="zh-CN"/>
              </w:rPr>
            </w:pPr>
            <w:r w:rsidRPr="00512E8B">
              <w:rPr>
                <w:rFonts w:ascii="仿宋" w:eastAsia="仿宋" w:hAnsi="仿宋" w:hint="eastAsia"/>
                <w:color w:val="000000"/>
                <w:sz w:val="24"/>
                <w:szCs w:val="24"/>
                <w:lang w:eastAsia="zh-CN"/>
              </w:rPr>
              <w:t>契约型开放式</w:t>
            </w:r>
          </w:p>
        </w:tc>
      </w:tr>
      <w:tr w:rsidR="00777AFC" w:rsidRPr="00A93CB8" w14:paraId="273D5D1B" w14:textId="77777777" w:rsidTr="00055EF3">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946" w:type="dxa"/>
            <w:vMerge w:val="restart"/>
            <w:shd w:val="clear" w:color="auto" w:fill="auto"/>
            <w:vAlign w:val="center"/>
          </w:tcPr>
          <w:p w14:paraId="2BFFFD0C" w14:textId="230E3070" w:rsidR="00777AFC" w:rsidRPr="00615902" w:rsidRDefault="00D517B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茅炜、</w:t>
            </w:r>
            <w:r>
              <w:rPr>
                <w:rFonts w:ascii="仿宋" w:eastAsia="仿宋" w:hAnsi="仿宋"/>
                <w:color w:val="000000"/>
                <w:sz w:val="24"/>
                <w:szCs w:val="24"/>
                <w:lang w:eastAsia="zh-CN"/>
              </w:rPr>
              <w:t>王博</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055EF3">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946"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CCA2C03" w14:textId="2A289ADB" w:rsidR="00777AFC" w:rsidRDefault="002566DB" w:rsidP="00815FF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茅炜</w:t>
            </w:r>
            <w:r>
              <w:rPr>
                <w:rFonts w:ascii="仿宋" w:eastAsia="仿宋" w:hAnsi="仿宋"/>
                <w:color w:val="000000"/>
                <w:sz w:val="24"/>
                <w:szCs w:val="24"/>
                <w:lang w:eastAsia="zh-CN"/>
              </w:rPr>
              <w:t>：</w:t>
            </w:r>
            <w:r w:rsidR="00815FF9">
              <w:rPr>
                <w:rFonts w:ascii="仿宋" w:eastAsia="仿宋" w:hAnsi="仿宋"/>
                <w:color w:val="000000"/>
                <w:sz w:val="24"/>
                <w:szCs w:val="24"/>
                <w:lang w:eastAsia="zh-CN"/>
              </w:rPr>
              <w:t>20</w:t>
            </w:r>
            <w:r w:rsidR="009A6799">
              <w:rPr>
                <w:rFonts w:ascii="仿宋" w:eastAsia="仿宋" w:hAnsi="仿宋"/>
                <w:color w:val="000000"/>
                <w:sz w:val="24"/>
                <w:szCs w:val="24"/>
                <w:lang w:eastAsia="zh-CN"/>
              </w:rPr>
              <w:t>0</w:t>
            </w:r>
            <w:r w:rsidR="002E04AA">
              <w:rPr>
                <w:rFonts w:ascii="仿宋" w:eastAsia="仿宋" w:hAnsi="仿宋"/>
                <w:color w:val="000000"/>
                <w:sz w:val="24"/>
                <w:szCs w:val="24"/>
                <w:lang w:eastAsia="zh-CN"/>
              </w:rPr>
              <w:t>8</w:t>
            </w:r>
            <w:r w:rsidR="00326ADB">
              <w:rPr>
                <w:rFonts w:ascii="仿宋" w:eastAsia="仿宋" w:hAnsi="仿宋" w:hint="eastAsia"/>
                <w:color w:val="000000"/>
                <w:sz w:val="24"/>
                <w:szCs w:val="24"/>
                <w:lang w:eastAsia="zh-CN"/>
              </w:rPr>
              <w:t>年</w:t>
            </w:r>
            <w:r w:rsidR="00FC142C">
              <w:rPr>
                <w:rFonts w:ascii="仿宋" w:eastAsia="仿宋" w:hAnsi="仿宋"/>
                <w:color w:val="000000"/>
                <w:sz w:val="24"/>
                <w:szCs w:val="24"/>
                <w:lang w:eastAsia="zh-CN"/>
              </w:rPr>
              <w:t>1</w:t>
            </w:r>
            <w:r w:rsidR="00326ADB">
              <w:rPr>
                <w:rFonts w:ascii="仿宋" w:eastAsia="仿宋" w:hAnsi="仿宋" w:hint="eastAsia"/>
                <w:color w:val="000000"/>
                <w:sz w:val="24"/>
                <w:szCs w:val="24"/>
                <w:lang w:eastAsia="zh-CN"/>
              </w:rPr>
              <w:t>月</w:t>
            </w:r>
            <w:r w:rsidR="00FC142C">
              <w:rPr>
                <w:rFonts w:ascii="仿宋" w:eastAsia="仿宋" w:hAnsi="仿宋"/>
                <w:color w:val="000000"/>
                <w:sz w:val="24"/>
                <w:szCs w:val="24"/>
                <w:lang w:eastAsia="zh-CN"/>
              </w:rPr>
              <w:t>20</w:t>
            </w:r>
            <w:r w:rsidR="00326ADB">
              <w:rPr>
                <w:rFonts w:ascii="仿宋" w:eastAsia="仿宋" w:hAnsi="仿宋" w:hint="eastAsia"/>
                <w:color w:val="000000"/>
                <w:sz w:val="24"/>
                <w:szCs w:val="24"/>
                <w:lang w:eastAsia="zh-CN"/>
              </w:rPr>
              <w:t>日</w:t>
            </w:r>
          </w:p>
          <w:p w14:paraId="31405115" w14:textId="4562859D" w:rsidR="002566DB" w:rsidRPr="00A020C0" w:rsidRDefault="002566DB" w:rsidP="00815FF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王博</w:t>
            </w:r>
            <w:r>
              <w:rPr>
                <w:rFonts w:ascii="仿宋" w:eastAsia="仿宋" w:hAnsi="仿宋"/>
                <w:color w:val="000000"/>
                <w:sz w:val="24"/>
                <w:szCs w:val="24"/>
                <w:lang w:eastAsia="zh-CN"/>
              </w:rPr>
              <w:t>：</w:t>
            </w:r>
            <w:r w:rsidR="00FC142C">
              <w:rPr>
                <w:rFonts w:ascii="仿宋" w:eastAsia="仿宋" w:hAnsi="仿宋" w:hint="eastAsia"/>
                <w:color w:val="000000"/>
                <w:sz w:val="24"/>
                <w:szCs w:val="24"/>
                <w:lang w:eastAsia="zh-CN"/>
              </w:rPr>
              <w:t>201</w:t>
            </w:r>
            <w:r w:rsidR="00FC142C">
              <w:rPr>
                <w:rFonts w:ascii="仿宋" w:eastAsia="仿宋" w:hAnsi="仿宋"/>
                <w:color w:val="000000"/>
                <w:sz w:val="24"/>
                <w:szCs w:val="24"/>
                <w:lang w:eastAsia="zh-CN"/>
              </w:rPr>
              <w:t>5</w:t>
            </w:r>
            <w:r w:rsidR="00FC142C">
              <w:rPr>
                <w:rFonts w:ascii="仿宋" w:eastAsia="仿宋" w:hAnsi="仿宋" w:hint="eastAsia"/>
                <w:color w:val="000000"/>
                <w:sz w:val="24"/>
                <w:szCs w:val="24"/>
                <w:lang w:eastAsia="zh-CN"/>
              </w:rPr>
              <w:t>年7月6日</w:t>
            </w:r>
          </w:p>
        </w:tc>
      </w:tr>
      <w:tr w:rsidR="00D20491" w:rsidRPr="00615902" w14:paraId="009804DC" w14:textId="77777777" w:rsidTr="00CF39AE">
        <w:trPr>
          <w:trHeight w:val="285"/>
        </w:trPr>
        <w:tc>
          <w:tcPr>
            <w:tcW w:w="1985" w:type="dxa"/>
            <w:shd w:val="clear" w:color="auto" w:fill="auto"/>
            <w:vAlign w:val="center"/>
          </w:tcPr>
          <w:p w14:paraId="4D146F4E" w14:textId="6F02CDA2" w:rsidR="00D20491" w:rsidRPr="0091358C" w:rsidRDefault="00D20491"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7198" w:type="dxa"/>
            <w:gridSpan w:val="3"/>
            <w:shd w:val="clear" w:color="auto" w:fill="auto"/>
            <w:vAlign w:val="center"/>
          </w:tcPr>
          <w:p w14:paraId="27871E3E" w14:textId="23DA6444" w:rsidR="002566DB" w:rsidRPr="002566DB" w:rsidRDefault="002566DB" w:rsidP="002566DB">
            <w:pPr>
              <w:widowControl/>
              <w:autoSpaceDE/>
              <w:autoSpaceDN/>
              <w:rPr>
                <w:rFonts w:ascii="仿宋" w:eastAsia="仿宋" w:hAnsi="仿宋"/>
                <w:bCs/>
                <w:color w:val="000000"/>
                <w:sz w:val="24"/>
                <w:szCs w:val="24"/>
                <w:lang w:eastAsia="zh-CN"/>
              </w:rPr>
            </w:pPr>
            <w:r w:rsidRPr="002566DB">
              <w:rPr>
                <w:rFonts w:ascii="仿宋" w:eastAsia="仿宋" w:hAnsi="仿宋" w:hint="eastAsia"/>
                <w:bCs/>
                <w:color w:val="000000"/>
                <w:sz w:val="24"/>
                <w:szCs w:val="24"/>
                <w:lang w:eastAsia="zh-CN"/>
              </w:rPr>
              <w:t>《基金合同》生效后，连续</w:t>
            </w:r>
            <w:r w:rsidRPr="002566DB">
              <w:rPr>
                <w:rFonts w:ascii="仿宋" w:eastAsia="仿宋" w:hAnsi="仿宋"/>
                <w:bCs/>
                <w:color w:val="000000"/>
                <w:sz w:val="24"/>
                <w:szCs w:val="24"/>
                <w:lang w:eastAsia="zh-CN"/>
              </w:rPr>
              <w:t>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553F832C" w14:textId="05A00918" w:rsidR="002566DB" w:rsidRPr="00D20491" w:rsidRDefault="002566DB" w:rsidP="002566DB">
            <w:pPr>
              <w:widowControl/>
              <w:autoSpaceDE/>
              <w:autoSpaceDN/>
              <w:rPr>
                <w:rFonts w:ascii="仿宋" w:eastAsia="仿宋" w:hAnsi="仿宋"/>
                <w:bCs/>
                <w:color w:val="000000"/>
                <w:sz w:val="24"/>
                <w:szCs w:val="24"/>
                <w:lang w:eastAsia="zh-CN"/>
              </w:rPr>
            </w:pPr>
            <w:r w:rsidRPr="002566DB">
              <w:rPr>
                <w:rFonts w:ascii="仿宋" w:eastAsia="仿宋" w:hAnsi="仿宋" w:hint="eastAsia"/>
                <w:bCs/>
                <w:color w:val="000000"/>
                <w:sz w:val="24"/>
                <w:szCs w:val="24"/>
                <w:lang w:eastAsia="zh-CN"/>
              </w:rPr>
              <w:t>法律法规或中国证监会另有规定时，从其规定。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0C454EA9" w:rsidR="00332EC9" w:rsidRPr="002D1208" w:rsidRDefault="00636A91" w:rsidP="00C863ED">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在有效控制组合风险并保持良好流动性的前提下，精选成长先锋主题中具有核心竞争优势的个股，力争实现基金资产的长期稳定增值。</w:t>
            </w:r>
          </w:p>
        </w:tc>
      </w:tr>
      <w:tr w:rsidR="00332EC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3480608F" w14:textId="79C51EB9" w:rsidR="00636A91" w:rsidRPr="00636A91"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r w:rsidRPr="00636A91">
              <w:rPr>
                <w:rFonts w:ascii="仿宋" w:eastAsia="仿宋" w:hAnsi="仿宋" w:hint="eastAsia"/>
                <w:color w:val="000000"/>
                <w:sz w:val="24"/>
                <w:szCs w:val="24"/>
                <w:lang w:eastAsia="zh-CN"/>
              </w:rPr>
              <w:lastRenderedPageBreak/>
              <w:t>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3C0518A7" w14:textId="77777777" w:rsidR="00636A91" w:rsidRPr="00636A91"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基金的投资组合比例为：本基金股票投资占基金资产的比例范围为</w:t>
            </w:r>
            <w:r w:rsidRPr="00636A91">
              <w:rPr>
                <w:rFonts w:ascii="仿宋" w:eastAsia="仿宋" w:hAnsi="仿宋"/>
                <w:color w:val="000000"/>
                <w:sz w:val="24"/>
                <w:szCs w:val="24"/>
                <w:lang w:eastAsia="zh-CN"/>
              </w:rPr>
              <w:t>60%-95%（其中港股通股票投资比例不得超过股票资产的50%），其中投资于本基金定义的“成长先锋”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4FFDFB85" w14:textId="2A8F9C2E" w:rsidR="00636A91" w:rsidRPr="002D1208"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如法律法规或监管机构以后允许基金投资其他品种，基金管理人在履行适当程序后，可以将其纳入投资范围。</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3DC25E45" w14:textId="77777777" w:rsidR="00755AD3" w:rsidRDefault="009A6799" w:rsidP="00F946F5">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p>
          <w:p w14:paraId="11996496" w14:textId="6A76FF2C" w:rsidR="00332EC9" w:rsidRPr="009A6799" w:rsidRDefault="00636A91" w:rsidP="00F946F5">
            <w:pPr>
              <w:rPr>
                <w:rFonts w:ascii="仿宋" w:eastAsia="仿宋" w:hAnsi="仿宋"/>
                <w:color w:val="000000"/>
                <w:sz w:val="24"/>
                <w:szCs w:val="24"/>
                <w:lang w:eastAsia="zh-CN"/>
              </w:rPr>
            </w:pPr>
            <w:r w:rsidRPr="00636A91">
              <w:rPr>
                <w:rFonts w:ascii="仿宋" w:eastAsia="仿宋" w:hAnsi="仿宋"/>
                <w:color w:val="000000"/>
                <w:sz w:val="24"/>
                <w:szCs w:val="24"/>
                <w:lang w:eastAsia="zh-CN"/>
              </w:rPr>
              <w:t>4、金融衍生品投资策略</w:t>
            </w:r>
            <w:r w:rsidR="009A6799">
              <w:rPr>
                <w:rFonts w:ascii="仿宋" w:eastAsia="仿宋" w:hAnsi="仿宋" w:hint="eastAsia"/>
                <w:color w:val="000000"/>
                <w:sz w:val="24"/>
                <w:szCs w:val="24"/>
                <w:lang w:eastAsia="zh-CN"/>
              </w:rPr>
              <w:t>；</w:t>
            </w:r>
            <w:r w:rsidRPr="00636A91">
              <w:rPr>
                <w:rFonts w:ascii="仿宋" w:eastAsia="仿宋" w:hAnsi="仿宋"/>
                <w:color w:val="000000"/>
                <w:sz w:val="24"/>
                <w:szCs w:val="24"/>
                <w:lang w:eastAsia="zh-CN"/>
              </w:rPr>
              <w:t>5、资产支持证券投资策略</w:t>
            </w:r>
          </w:p>
        </w:tc>
      </w:tr>
      <w:tr w:rsidR="00332EC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573F1478" w:rsidR="00332EC9" w:rsidRPr="002D1208" w:rsidRDefault="00636A91" w:rsidP="00A94551">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中证</w:t>
            </w:r>
            <w:r w:rsidRPr="00636A91">
              <w:rPr>
                <w:rFonts w:ascii="仿宋" w:eastAsia="仿宋" w:hAnsi="仿宋"/>
                <w:color w:val="000000"/>
                <w:sz w:val="24"/>
                <w:szCs w:val="24"/>
                <w:lang w:eastAsia="zh-CN"/>
              </w:rPr>
              <w:t>500成长指数收益率*60%+中证港股通综合指数（人民币）收益率*10%+上证国债指数收益率*30%</w:t>
            </w:r>
          </w:p>
        </w:tc>
      </w:tr>
      <w:tr w:rsidR="00332EC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2A01207A" w:rsidR="00332EC9" w:rsidRPr="002D1208" w:rsidRDefault="00636A91" w:rsidP="00A94551">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6493E5D4"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0B0046">
              <w:rPr>
                <w:rFonts w:ascii="仿宋" w:eastAsia="仿宋" w:hAnsi="仿宋" w:hint="eastAsia"/>
                <w:color w:val="000000"/>
                <w:sz w:val="24"/>
                <w:szCs w:val="24"/>
                <w:lang w:eastAsia="zh-CN"/>
              </w:rPr>
              <w:t>南方成长先锋混合型证券投资基金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929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04"/>
        <w:gridCol w:w="4618"/>
        <w:gridCol w:w="1918"/>
        <w:gridCol w:w="1651"/>
      </w:tblGrid>
      <w:tr w:rsidR="00922B5E" w:rsidRPr="00282810" w14:paraId="5B33F5CE" w14:textId="77777777" w:rsidTr="00C863ED">
        <w:trPr>
          <w:trHeight w:val="623"/>
        </w:trPr>
        <w:tc>
          <w:tcPr>
            <w:tcW w:w="1104"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4618"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18"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51"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692791">
        <w:trPr>
          <w:trHeight w:val="285"/>
        </w:trPr>
        <w:tc>
          <w:tcPr>
            <w:tcW w:w="1104" w:type="dxa"/>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4618" w:type="dxa"/>
            <w:tcBorders>
              <w:top w:val="dashed" w:sz="4" w:space="0" w:color="auto"/>
              <w:bottom w:val="dashed" w:sz="4" w:space="0" w:color="auto"/>
            </w:tcBorders>
            <w:shd w:val="clear" w:color="auto" w:fill="auto"/>
            <w:noWrap/>
            <w:vAlign w:val="center"/>
          </w:tcPr>
          <w:p w14:paraId="3C74B775" w14:textId="0E99EA30"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918" w:type="dxa"/>
            <w:tcBorders>
              <w:top w:val="dashed" w:sz="4" w:space="0" w:color="auto"/>
              <w:bottom w:val="dashed" w:sz="4" w:space="0" w:color="auto"/>
            </w:tcBorders>
            <w:shd w:val="clear" w:color="auto" w:fill="auto"/>
            <w:noWrap/>
            <w:vAlign w:val="center"/>
          </w:tcPr>
          <w:p w14:paraId="64AED10E" w14:textId="135836A2"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2196DFDA" w14:textId="5DE1F1FE"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C</w:t>
            </w:r>
            <w:r>
              <w:rPr>
                <w:rFonts w:ascii="仿宋" w:eastAsia="仿宋" w:hAnsi="仿宋" w:hint="eastAsia"/>
                <w:sz w:val="24"/>
                <w:szCs w:val="24"/>
                <w:lang w:eastAsia="zh-CN"/>
              </w:rPr>
              <w:t>类份额</w:t>
            </w:r>
            <w:r>
              <w:rPr>
                <w:rFonts w:ascii="仿宋" w:eastAsia="仿宋" w:hAnsi="仿宋"/>
                <w:sz w:val="24"/>
                <w:szCs w:val="24"/>
                <w:lang w:eastAsia="zh-CN"/>
              </w:rPr>
              <w:t>不收取认购费</w:t>
            </w:r>
          </w:p>
        </w:tc>
      </w:tr>
      <w:tr w:rsidR="00755AD3" w:rsidRPr="00282810" w14:paraId="48F10B3C" w14:textId="77777777" w:rsidTr="00692791">
        <w:trPr>
          <w:trHeight w:val="300"/>
        </w:trPr>
        <w:tc>
          <w:tcPr>
            <w:tcW w:w="1104" w:type="dxa"/>
            <w:tcBorders>
              <w:top w:val="dashed" w:sz="4" w:space="0" w:color="auto"/>
              <w:bottom w:val="dashed" w:sz="4" w:space="0" w:color="auto"/>
            </w:tcBorders>
            <w:shd w:val="clear" w:color="auto" w:fill="auto"/>
            <w:noWrap/>
            <w:vAlign w:val="center"/>
            <w:hideMark/>
          </w:tcPr>
          <w:p w14:paraId="2FC1ED91" w14:textId="77777777" w:rsidR="00755AD3" w:rsidRPr="00FF1AEB" w:rsidRDefault="00755AD3" w:rsidP="00755AD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4618" w:type="dxa"/>
            <w:tcBorders>
              <w:top w:val="dashed" w:sz="4" w:space="0" w:color="auto"/>
              <w:bottom w:val="dashed" w:sz="4" w:space="0" w:color="auto"/>
            </w:tcBorders>
            <w:shd w:val="clear" w:color="auto" w:fill="auto"/>
            <w:noWrap/>
            <w:vAlign w:val="center"/>
          </w:tcPr>
          <w:p w14:paraId="3DC38E7F" w14:textId="16B68DF2"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918" w:type="dxa"/>
            <w:tcBorders>
              <w:top w:val="dashed" w:sz="4" w:space="0" w:color="auto"/>
              <w:bottom w:val="dashed" w:sz="4" w:space="0" w:color="auto"/>
            </w:tcBorders>
            <w:shd w:val="clear" w:color="auto" w:fill="auto"/>
            <w:noWrap/>
            <w:vAlign w:val="center"/>
          </w:tcPr>
          <w:p w14:paraId="123E682B" w14:textId="0EA14224"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7F2EFEC7" w14:textId="0F679466"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C</w:t>
            </w:r>
            <w:r>
              <w:rPr>
                <w:rFonts w:ascii="仿宋" w:eastAsia="仿宋" w:hAnsi="仿宋" w:hint="eastAsia"/>
                <w:sz w:val="24"/>
                <w:szCs w:val="24"/>
                <w:lang w:eastAsia="zh-CN"/>
              </w:rPr>
              <w:t>类份额</w:t>
            </w:r>
            <w:r>
              <w:rPr>
                <w:rFonts w:ascii="仿宋" w:eastAsia="仿宋" w:hAnsi="仿宋"/>
                <w:sz w:val="24"/>
                <w:szCs w:val="24"/>
                <w:lang w:eastAsia="zh-CN"/>
              </w:rPr>
              <w:t>不收取</w:t>
            </w:r>
            <w:r>
              <w:rPr>
                <w:rFonts w:ascii="仿宋" w:eastAsia="仿宋" w:hAnsi="仿宋" w:hint="eastAsia"/>
                <w:sz w:val="24"/>
                <w:szCs w:val="24"/>
                <w:lang w:eastAsia="zh-CN"/>
              </w:rPr>
              <w:t>申</w:t>
            </w:r>
            <w:r>
              <w:rPr>
                <w:rFonts w:ascii="仿宋" w:eastAsia="仿宋" w:hAnsi="仿宋"/>
                <w:sz w:val="24"/>
                <w:szCs w:val="24"/>
                <w:lang w:eastAsia="zh-CN"/>
              </w:rPr>
              <w:t>购费</w:t>
            </w:r>
          </w:p>
        </w:tc>
      </w:tr>
      <w:tr w:rsidR="00D85A73" w:rsidRPr="00282810" w14:paraId="4A5EFDAC" w14:textId="77777777" w:rsidTr="00B87B2D">
        <w:trPr>
          <w:trHeight w:val="285"/>
        </w:trPr>
        <w:tc>
          <w:tcPr>
            <w:tcW w:w="1104" w:type="dxa"/>
            <w:vMerge w:val="restart"/>
            <w:tcBorders>
              <w:top w:val="dashed" w:sz="4" w:space="0" w:color="auto"/>
            </w:tcBorders>
            <w:shd w:val="clear" w:color="auto" w:fill="auto"/>
            <w:noWrap/>
            <w:vAlign w:val="center"/>
          </w:tcPr>
          <w:p w14:paraId="5A5F9215" w14:textId="4E091310" w:rsidR="00D85A73" w:rsidRPr="00FF1AEB" w:rsidRDefault="00D85A73" w:rsidP="00D85A7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4618" w:type="dxa"/>
            <w:tcBorders>
              <w:top w:val="dashed" w:sz="4" w:space="0" w:color="auto"/>
              <w:bottom w:val="dashed" w:sz="4" w:space="0" w:color="auto"/>
            </w:tcBorders>
            <w:shd w:val="clear" w:color="auto" w:fill="auto"/>
            <w:noWrap/>
          </w:tcPr>
          <w:p w14:paraId="1F74280A" w14:textId="4D2D3E07" w:rsidR="00D85A73" w:rsidRDefault="00D85A73" w:rsidP="00D85A73">
            <w:pPr>
              <w:widowControl/>
              <w:autoSpaceDE/>
              <w:autoSpaceDN/>
              <w:jc w:val="center"/>
              <w:rPr>
                <w:rFonts w:ascii="仿宋" w:eastAsia="仿宋" w:hAnsi="仿宋"/>
                <w:sz w:val="24"/>
                <w:szCs w:val="24"/>
                <w:lang w:eastAsia="zh-CN"/>
              </w:rPr>
            </w:pPr>
            <w:r w:rsidRPr="00347E56">
              <w:t>N＜7日</w:t>
            </w:r>
          </w:p>
        </w:tc>
        <w:tc>
          <w:tcPr>
            <w:tcW w:w="1918" w:type="dxa"/>
            <w:tcBorders>
              <w:top w:val="dashed" w:sz="4" w:space="0" w:color="auto"/>
              <w:bottom w:val="dashed" w:sz="4" w:space="0" w:color="auto"/>
            </w:tcBorders>
            <w:shd w:val="clear" w:color="auto" w:fill="auto"/>
            <w:noWrap/>
          </w:tcPr>
          <w:p w14:paraId="4630DD80" w14:textId="5BB17DFD" w:rsidR="00D85A73" w:rsidRPr="004F1EA4" w:rsidRDefault="00D85A73" w:rsidP="00D85A73">
            <w:pPr>
              <w:widowControl/>
              <w:autoSpaceDE/>
              <w:autoSpaceDN/>
              <w:jc w:val="center"/>
              <w:rPr>
                <w:rFonts w:ascii="仿宋" w:eastAsia="仿宋" w:hAnsi="仿宋"/>
                <w:sz w:val="24"/>
                <w:szCs w:val="24"/>
                <w:lang w:eastAsia="zh-CN"/>
              </w:rPr>
            </w:pPr>
            <w:r w:rsidRPr="00347E56">
              <w:t>1.5</w:t>
            </w:r>
            <w:r>
              <w:t>%</w:t>
            </w:r>
          </w:p>
        </w:tc>
        <w:tc>
          <w:tcPr>
            <w:tcW w:w="1651" w:type="dxa"/>
            <w:tcBorders>
              <w:top w:val="dashed" w:sz="4" w:space="0" w:color="auto"/>
              <w:bottom w:val="dashed" w:sz="4" w:space="0" w:color="auto"/>
            </w:tcBorders>
            <w:shd w:val="clear" w:color="auto" w:fill="auto"/>
            <w:noWrap/>
            <w:vAlign w:val="center"/>
          </w:tcPr>
          <w:p w14:paraId="5BAE577B"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41D901EE" w14:textId="77777777" w:rsidTr="00B87B2D">
        <w:trPr>
          <w:trHeight w:val="285"/>
        </w:trPr>
        <w:tc>
          <w:tcPr>
            <w:tcW w:w="1104" w:type="dxa"/>
            <w:vMerge/>
            <w:shd w:val="clear" w:color="auto" w:fill="auto"/>
            <w:noWrap/>
            <w:vAlign w:val="center"/>
          </w:tcPr>
          <w:p w14:paraId="44CB1647"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3E228021" w14:textId="433B3EE2" w:rsidR="00D85A73" w:rsidRDefault="00D85A73" w:rsidP="00D85A73">
            <w:pPr>
              <w:widowControl/>
              <w:autoSpaceDE/>
              <w:autoSpaceDN/>
              <w:jc w:val="center"/>
              <w:rPr>
                <w:rFonts w:ascii="仿宋" w:eastAsia="仿宋" w:hAnsi="仿宋"/>
                <w:sz w:val="24"/>
                <w:szCs w:val="24"/>
                <w:lang w:eastAsia="zh-CN"/>
              </w:rPr>
            </w:pPr>
            <w:r w:rsidRPr="00347E56">
              <w:t>7日≤N＜30日</w:t>
            </w:r>
          </w:p>
        </w:tc>
        <w:tc>
          <w:tcPr>
            <w:tcW w:w="1918" w:type="dxa"/>
            <w:tcBorders>
              <w:top w:val="dashed" w:sz="4" w:space="0" w:color="auto"/>
              <w:bottom w:val="dashed" w:sz="4" w:space="0" w:color="auto"/>
            </w:tcBorders>
            <w:shd w:val="clear" w:color="auto" w:fill="auto"/>
            <w:noWrap/>
          </w:tcPr>
          <w:p w14:paraId="4C9A3FC3" w14:textId="5B732309" w:rsidR="00D85A73" w:rsidRPr="004F1EA4" w:rsidRDefault="00D85A73" w:rsidP="00D85A73">
            <w:pPr>
              <w:widowControl/>
              <w:autoSpaceDE/>
              <w:autoSpaceDN/>
              <w:jc w:val="center"/>
              <w:rPr>
                <w:rFonts w:ascii="仿宋" w:eastAsia="仿宋" w:hAnsi="仿宋"/>
                <w:sz w:val="24"/>
                <w:szCs w:val="24"/>
                <w:lang w:eastAsia="zh-CN"/>
              </w:rPr>
            </w:pPr>
            <w:r w:rsidRPr="00347E56">
              <w:t>0.5</w:t>
            </w:r>
            <w:r>
              <w:t>%</w:t>
            </w:r>
          </w:p>
        </w:tc>
        <w:tc>
          <w:tcPr>
            <w:tcW w:w="1651" w:type="dxa"/>
            <w:tcBorders>
              <w:top w:val="dashed" w:sz="4" w:space="0" w:color="auto"/>
              <w:bottom w:val="dashed" w:sz="4" w:space="0" w:color="auto"/>
            </w:tcBorders>
            <w:shd w:val="clear" w:color="auto" w:fill="auto"/>
            <w:noWrap/>
            <w:vAlign w:val="center"/>
          </w:tcPr>
          <w:p w14:paraId="548D0A8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E073CBB" w14:textId="77777777" w:rsidTr="00B87B2D">
        <w:trPr>
          <w:trHeight w:val="285"/>
        </w:trPr>
        <w:tc>
          <w:tcPr>
            <w:tcW w:w="1104" w:type="dxa"/>
            <w:vMerge/>
            <w:shd w:val="clear" w:color="auto" w:fill="auto"/>
            <w:noWrap/>
            <w:vAlign w:val="center"/>
          </w:tcPr>
          <w:p w14:paraId="692311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0156CF62" w14:textId="4E8A750E" w:rsidR="00D85A73" w:rsidRDefault="00D85A73" w:rsidP="001C5F55">
            <w:pPr>
              <w:widowControl/>
              <w:autoSpaceDE/>
              <w:autoSpaceDN/>
              <w:jc w:val="center"/>
              <w:rPr>
                <w:rFonts w:ascii="仿宋" w:eastAsia="仿宋" w:hAnsi="仿宋"/>
                <w:sz w:val="24"/>
                <w:szCs w:val="24"/>
                <w:lang w:eastAsia="zh-CN"/>
              </w:rPr>
            </w:pPr>
            <w:r w:rsidRPr="00347E56">
              <w:t>30日≤N</w:t>
            </w:r>
          </w:p>
        </w:tc>
        <w:tc>
          <w:tcPr>
            <w:tcW w:w="1918" w:type="dxa"/>
            <w:tcBorders>
              <w:top w:val="dashed" w:sz="4" w:space="0" w:color="auto"/>
              <w:bottom w:val="dashed" w:sz="4" w:space="0" w:color="auto"/>
            </w:tcBorders>
            <w:shd w:val="clear" w:color="auto" w:fill="auto"/>
            <w:noWrap/>
          </w:tcPr>
          <w:p w14:paraId="7A5E8285" w14:textId="1C511430" w:rsidR="00D85A73" w:rsidRPr="004F1EA4" w:rsidRDefault="001C5F55" w:rsidP="00D85A73">
            <w:pPr>
              <w:widowControl/>
              <w:autoSpaceDE/>
              <w:autoSpaceDN/>
              <w:jc w:val="center"/>
              <w:rPr>
                <w:rFonts w:ascii="仿宋" w:eastAsia="仿宋" w:hAnsi="仿宋"/>
                <w:sz w:val="24"/>
                <w:szCs w:val="24"/>
                <w:lang w:eastAsia="zh-CN"/>
              </w:rPr>
            </w:pPr>
            <w:r>
              <w:t>0</w:t>
            </w:r>
          </w:p>
        </w:tc>
        <w:tc>
          <w:tcPr>
            <w:tcW w:w="1651" w:type="dxa"/>
            <w:tcBorders>
              <w:top w:val="dashed" w:sz="4" w:space="0" w:color="auto"/>
              <w:bottom w:val="dashed" w:sz="4" w:space="0" w:color="auto"/>
            </w:tcBorders>
            <w:shd w:val="clear" w:color="auto" w:fill="auto"/>
            <w:noWrap/>
            <w:vAlign w:val="center"/>
          </w:tcPr>
          <w:p w14:paraId="16C210B2" w14:textId="77777777" w:rsidR="00D85A73" w:rsidRPr="00282810" w:rsidRDefault="00D85A73" w:rsidP="00D85A73">
            <w:pPr>
              <w:widowControl/>
              <w:autoSpaceDE/>
              <w:autoSpaceDN/>
              <w:jc w:val="center"/>
              <w:rPr>
                <w:rFonts w:ascii="仿宋" w:eastAsia="仿宋" w:hAnsi="仿宋"/>
                <w:sz w:val="24"/>
                <w:szCs w:val="24"/>
                <w:lang w:eastAsia="zh-CN"/>
              </w:rPr>
            </w:pPr>
          </w:p>
        </w:tc>
      </w:tr>
    </w:tbl>
    <w:p w14:paraId="391DD5FD" w14:textId="77777777" w:rsidR="00E26ACB"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1ACC3FC"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5B06A9" w:rsidRPr="002D1208" w14:paraId="2A60F772"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13F14FF9" w14:textId="64A7A478" w:rsidR="005B06A9" w:rsidRPr="009261FA" w:rsidRDefault="005B06A9"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2B95BC2E" w14:textId="53EA55D6" w:rsidR="005B06A9" w:rsidRDefault="005B06A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0.6</w:t>
            </w:r>
            <w:r>
              <w:rPr>
                <w:rFonts w:ascii="仿宋" w:eastAsia="仿宋" w:hAnsi="仿宋"/>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A94551">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A94551">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55D5606" w14:textId="26BB627E" w:rsidR="00815FF9" w:rsidRDefault="00091AC9" w:rsidP="00815FF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00815FF9" w:rsidRPr="00815FF9">
        <w:rPr>
          <w:rFonts w:ascii="仿宋" w:eastAsia="仿宋" w:hAnsi="仿宋" w:hint="eastAsia"/>
          <w:sz w:val="24"/>
          <w:szCs w:val="24"/>
          <w:lang w:eastAsia="zh-CN"/>
        </w:rPr>
        <w:t>本基金的特有风险</w:t>
      </w:r>
    </w:p>
    <w:p w14:paraId="7F7DDD18"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14:paraId="1A97EC57"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2、投资港股通股票的风险</w:t>
      </w:r>
    </w:p>
    <w:p w14:paraId="7DBE3E02" w14:textId="51527A94"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705AF0D8" w14:textId="43980219" w:rsidR="00640CF4" w:rsidRDefault="00640CF4" w:rsidP="009A6799">
      <w:pPr>
        <w:spacing w:line="312" w:lineRule="exact"/>
        <w:ind w:firstLineChars="200" w:firstLine="480"/>
        <w:rPr>
          <w:rFonts w:ascii="仿宋" w:eastAsia="仿宋" w:hAnsi="仿宋"/>
          <w:sz w:val="24"/>
          <w:szCs w:val="24"/>
          <w:lang w:eastAsia="zh-CN"/>
        </w:rPr>
      </w:pPr>
      <w:r w:rsidRPr="00640CF4">
        <w:rPr>
          <w:rFonts w:ascii="仿宋" w:eastAsia="仿宋" w:hAnsi="仿宋" w:hint="eastAsia"/>
          <w:sz w:val="24"/>
          <w:szCs w:val="24"/>
          <w:lang w:eastAsia="zh-CN"/>
        </w:rPr>
        <w:t>（</w:t>
      </w:r>
      <w:r w:rsidRPr="00640CF4">
        <w:rPr>
          <w:rFonts w:ascii="仿宋" w:eastAsia="仿宋" w:hAnsi="仿宋"/>
          <w:sz w:val="24"/>
          <w:szCs w:val="24"/>
          <w:lang w:eastAsia="zh-CN"/>
        </w:rPr>
        <w:t>1）汇率风险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2）香港市场风险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3）香港交易市场制度或规则不同带来的风险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4）港股通制度限制或调整带来的风险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5）法律和政治风险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6）会计制度风险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7）税务风险</w:t>
      </w:r>
      <w:r>
        <w:rPr>
          <w:rFonts w:ascii="仿宋" w:eastAsia="仿宋" w:hAnsi="仿宋" w:hint="eastAsia"/>
          <w:sz w:val="24"/>
          <w:szCs w:val="24"/>
          <w:lang w:eastAsia="zh-CN"/>
        </w:rPr>
        <w:t>。</w:t>
      </w:r>
    </w:p>
    <w:p w14:paraId="24E6C372" w14:textId="35AF744E" w:rsidR="00D85A73"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70DB479" w14:textId="32A038E8" w:rsidR="00D85A73" w:rsidRPr="00640CF4"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4、本基金的投资范围包括资产支持证券。资产支持证券存在信用风险、利率风险、流动性风险、提前偿付风险、操作风险和法律风险等。</w:t>
      </w:r>
    </w:p>
    <w:p w14:paraId="6ECA4DDC" w14:textId="25B55CEA"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5、本基金投资流通受限证券的风险。</w:t>
      </w:r>
    </w:p>
    <w:p w14:paraId="6219DE8A"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9D0D0F2" w14:textId="157B4A73"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lastRenderedPageBreak/>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8660BF3" w14:textId="3991EED0" w:rsidR="00D85A73"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二）</w:t>
      </w:r>
      <w:r w:rsidR="00D85A73">
        <w:rPr>
          <w:rFonts w:ascii="仿宋" w:eastAsia="仿宋" w:hAnsi="仿宋" w:hint="eastAsia"/>
          <w:sz w:val="24"/>
          <w:szCs w:val="24"/>
          <w:lang w:eastAsia="zh-CN"/>
        </w:rPr>
        <w:t>债券</w:t>
      </w:r>
      <w:r w:rsidR="00640CF4" w:rsidRPr="00640CF4">
        <w:rPr>
          <w:rFonts w:ascii="仿宋" w:eastAsia="仿宋" w:hAnsi="仿宋" w:hint="eastAsia"/>
          <w:sz w:val="24"/>
          <w:szCs w:val="24"/>
          <w:lang w:eastAsia="zh-CN"/>
        </w:rPr>
        <w:t>市场风险</w:t>
      </w:r>
      <w:r w:rsidRPr="00C943BB">
        <w:rPr>
          <w:rFonts w:ascii="仿宋" w:eastAsia="仿宋" w:hAnsi="仿宋" w:hint="eastAsia"/>
          <w:sz w:val="24"/>
          <w:szCs w:val="24"/>
          <w:lang w:eastAsia="zh-CN"/>
        </w:rPr>
        <w:t>。</w:t>
      </w:r>
      <w:r w:rsidR="00D85A73" w:rsidRPr="00D85A73">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sidR="00D85A73">
        <w:rPr>
          <w:rFonts w:ascii="仿宋" w:eastAsia="仿宋" w:hAnsi="仿宋" w:hint="eastAsia"/>
          <w:sz w:val="24"/>
          <w:szCs w:val="24"/>
          <w:lang w:eastAsia="zh-CN"/>
        </w:rPr>
        <w:t>：</w:t>
      </w:r>
    </w:p>
    <w:p w14:paraId="04437971" w14:textId="7D592210" w:rsidR="00C943BB" w:rsidRDefault="00D85A73"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（1）政策</w:t>
      </w:r>
      <w:r>
        <w:rPr>
          <w:rFonts w:ascii="仿宋" w:eastAsia="仿宋" w:hAnsi="仿宋"/>
          <w:sz w:val="24"/>
          <w:szCs w:val="24"/>
          <w:lang w:eastAsia="zh-CN"/>
        </w:rPr>
        <w:t>风险</w:t>
      </w:r>
      <w:r>
        <w:rPr>
          <w:rFonts w:ascii="仿宋" w:eastAsia="仿宋" w:hAnsi="仿宋" w:hint="eastAsia"/>
          <w:sz w:val="24"/>
          <w:szCs w:val="24"/>
          <w:lang w:eastAsia="zh-CN"/>
        </w:rPr>
        <w:t>、（2）利率</w:t>
      </w:r>
      <w:r>
        <w:rPr>
          <w:rFonts w:ascii="仿宋" w:eastAsia="仿宋" w:hAnsi="仿宋"/>
          <w:sz w:val="24"/>
          <w:szCs w:val="24"/>
          <w:lang w:eastAsia="zh-CN"/>
        </w:rPr>
        <w:t>风险、</w:t>
      </w:r>
      <w:r>
        <w:rPr>
          <w:rFonts w:ascii="仿宋" w:eastAsia="仿宋" w:hAnsi="仿宋" w:hint="eastAsia"/>
          <w:sz w:val="24"/>
          <w:szCs w:val="24"/>
          <w:lang w:eastAsia="zh-CN"/>
        </w:rPr>
        <w:t>（3）信用</w:t>
      </w:r>
      <w:r>
        <w:rPr>
          <w:rFonts w:ascii="仿宋" w:eastAsia="仿宋" w:hAnsi="仿宋"/>
          <w:sz w:val="24"/>
          <w:szCs w:val="24"/>
          <w:lang w:eastAsia="zh-CN"/>
        </w:rPr>
        <w:t>风险、（</w:t>
      </w:r>
      <w:r>
        <w:rPr>
          <w:rFonts w:ascii="仿宋" w:eastAsia="仿宋" w:hAnsi="仿宋" w:hint="eastAsia"/>
          <w:sz w:val="24"/>
          <w:szCs w:val="24"/>
          <w:lang w:eastAsia="zh-CN"/>
        </w:rPr>
        <w:t>4</w:t>
      </w:r>
      <w:r>
        <w:rPr>
          <w:rFonts w:ascii="仿宋" w:eastAsia="仿宋" w:hAnsi="仿宋"/>
          <w:sz w:val="24"/>
          <w:szCs w:val="24"/>
          <w:lang w:eastAsia="zh-CN"/>
        </w:rPr>
        <w:t>）</w:t>
      </w:r>
      <w:r>
        <w:rPr>
          <w:rFonts w:ascii="仿宋" w:eastAsia="仿宋" w:hAnsi="仿宋" w:hint="eastAsia"/>
          <w:sz w:val="24"/>
          <w:szCs w:val="24"/>
          <w:lang w:eastAsia="zh-CN"/>
        </w:rPr>
        <w:t>购买力</w:t>
      </w:r>
      <w:r>
        <w:rPr>
          <w:rFonts w:ascii="仿宋" w:eastAsia="仿宋" w:hAnsi="仿宋"/>
          <w:sz w:val="24"/>
          <w:szCs w:val="24"/>
          <w:lang w:eastAsia="zh-CN"/>
        </w:rPr>
        <w:t>风险、（</w:t>
      </w:r>
      <w:r>
        <w:rPr>
          <w:rFonts w:ascii="仿宋" w:eastAsia="仿宋" w:hAnsi="仿宋" w:hint="eastAsia"/>
          <w:sz w:val="24"/>
          <w:szCs w:val="24"/>
          <w:lang w:eastAsia="zh-CN"/>
        </w:rPr>
        <w:t>5</w:t>
      </w:r>
      <w:r>
        <w:rPr>
          <w:rFonts w:ascii="仿宋" w:eastAsia="仿宋" w:hAnsi="仿宋"/>
          <w:sz w:val="24"/>
          <w:szCs w:val="24"/>
          <w:lang w:eastAsia="zh-CN"/>
        </w:rPr>
        <w:t>）</w:t>
      </w:r>
      <w:r w:rsidRPr="00D85A73">
        <w:rPr>
          <w:rFonts w:ascii="仿宋" w:eastAsia="仿宋" w:hAnsi="仿宋" w:hint="eastAsia"/>
          <w:sz w:val="24"/>
          <w:szCs w:val="24"/>
          <w:lang w:eastAsia="zh-CN"/>
        </w:rPr>
        <w:t>债券收益率曲线变动风险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6</w:t>
      </w:r>
      <w:r>
        <w:rPr>
          <w:rFonts w:ascii="仿宋" w:eastAsia="仿宋" w:hAnsi="仿宋"/>
          <w:sz w:val="24"/>
          <w:szCs w:val="24"/>
          <w:lang w:eastAsia="zh-CN"/>
        </w:rPr>
        <w:t>）</w:t>
      </w:r>
      <w:r w:rsidRPr="00D85A73">
        <w:rPr>
          <w:rFonts w:ascii="仿宋" w:eastAsia="仿宋" w:hAnsi="仿宋" w:hint="eastAsia"/>
          <w:sz w:val="24"/>
          <w:szCs w:val="24"/>
          <w:lang w:eastAsia="zh-CN"/>
        </w:rPr>
        <w:t>再投资风险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7</w:t>
      </w:r>
      <w:r>
        <w:rPr>
          <w:rFonts w:ascii="仿宋" w:eastAsia="仿宋" w:hAnsi="仿宋"/>
          <w:sz w:val="24"/>
          <w:szCs w:val="24"/>
          <w:lang w:eastAsia="zh-CN"/>
        </w:rPr>
        <w:t>）</w:t>
      </w:r>
      <w:r w:rsidRPr="00D85A73">
        <w:rPr>
          <w:rFonts w:ascii="仿宋" w:eastAsia="仿宋" w:hAnsi="仿宋" w:hint="eastAsia"/>
          <w:sz w:val="24"/>
          <w:szCs w:val="24"/>
          <w:lang w:eastAsia="zh-CN"/>
        </w:rPr>
        <w:t>债券回购风险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8</w:t>
      </w:r>
      <w:r>
        <w:rPr>
          <w:rFonts w:ascii="仿宋" w:eastAsia="仿宋" w:hAnsi="仿宋"/>
          <w:sz w:val="24"/>
          <w:szCs w:val="24"/>
          <w:lang w:eastAsia="zh-CN"/>
        </w:rPr>
        <w:t>）</w:t>
      </w:r>
      <w:r w:rsidRPr="00D85A73">
        <w:rPr>
          <w:rFonts w:ascii="仿宋" w:eastAsia="仿宋" w:hAnsi="仿宋" w:hint="eastAsia"/>
          <w:sz w:val="24"/>
          <w:szCs w:val="24"/>
          <w:lang w:eastAsia="zh-CN"/>
        </w:rPr>
        <w:t>经济周期风险</w:t>
      </w:r>
      <w:r>
        <w:rPr>
          <w:rFonts w:ascii="仿宋" w:eastAsia="仿宋" w:hAnsi="仿宋" w:hint="eastAsia"/>
          <w:sz w:val="24"/>
          <w:szCs w:val="24"/>
          <w:lang w:eastAsia="zh-CN"/>
        </w:rPr>
        <w:t>。</w:t>
      </w:r>
    </w:p>
    <w:p w14:paraId="2B968DA3" w14:textId="77777777" w:rsidR="00C943BB" w:rsidRP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三）开放式基金共有的风险如管理风险、流动性风险和其他风险。</w:t>
      </w:r>
    </w:p>
    <w:p w14:paraId="154F8B48" w14:textId="4B357280" w:rsid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四）本基金法律文件风险收益特征表述与销售机构基金风险评价可能不一致的风险</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D05075F"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52B14B9E"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4D2D301D"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30B7" w14:textId="77777777" w:rsidR="00583F1F" w:rsidRDefault="00583F1F" w:rsidP="00674A6F">
      <w:r>
        <w:separator/>
      </w:r>
    </w:p>
  </w:endnote>
  <w:endnote w:type="continuationSeparator" w:id="0">
    <w:p w14:paraId="1DACAB7F" w14:textId="77777777" w:rsidR="00583F1F" w:rsidRDefault="00583F1F"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ECBA" w14:textId="77777777" w:rsidR="00583F1F" w:rsidRDefault="00583F1F" w:rsidP="00674A6F">
      <w:r>
        <w:separator/>
      </w:r>
    </w:p>
  </w:footnote>
  <w:footnote w:type="continuationSeparator" w:id="0">
    <w:p w14:paraId="28E8F917" w14:textId="77777777" w:rsidR="00583F1F" w:rsidRDefault="00583F1F"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39"/>
    <w:rsid w:val="00001981"/>
    <w:rsid w:val="000141EE"/>
    <w:rsid w:val="00031A67"/>
    <w:rsid w:val="00032108"/>
    <w:rsid w:val="00041B3E"/>
    <w:rsid w:val="00046302"/>
    <w:rsid w:val="000501F6"/>
    <w:rsid w:val="00051A41"/>
    <w:rsid w:val="00055EF3"/>
    <w:rsid w:val="0006023C"/>
    <w:rsid w:val="00061E43"/>
    <w:rsid w:val="000626EC"/>
    <w:rsid w:val="00067723"/>
    <w:rsid w:val="000748C6"/>
    <w:rsid w:val="00077617"/>
    <w:rsid w:val="000815B7"/>
    <w:rsid w:val="000855F0"/>
    <w:rsid w:val="00090B76"/>
    <w:rsid w:val="00091AC9"/>
    <w:rsid w:val="00095F0F"/>
    <w:rsid w:val="000B0046"/>
    <w:rsid w:val="000B1F80"/>
    <w:rsid w:val="000E206B"/>
    <w:rsid w:val="000F15EF"/>
    <w:rsid w:val="000F2E0F"/>
    <w:rsid w:val="000F4A93"/>
    <w:rsid w:val="00100CFA"/>
    <w:rsid w:val="00110051"/>
    <w:rsid w:val="001132F7"/>
    <w:rsid w:val="00115462"/>
    <w:rsid w:val="00116B47"/>
    <w:rsid w:val="001173C2"/>
    <w:rsid w:val="00117B10"/>
    <w:rsid w:val="00131A4A"/>
    <w:rsid w:val="00140A65"/>
    <w:rsid w:val="0014131C"/>
    <w:rsid w:val="00141667"/>
    <w:rsid w:val="00142941"/>
    <w:rsid w:val="00156079"/>
    <w:rsid w:val="00157CC8"/>
    <w:rsid w:val="0016334D"/>
    <w:rsid w:val="0016395B"/>
    <w:rsid w:val="001657D6"/>
    <w:rsid w:val="00166025"/>
    <w:rsid w:val="00174BC5"/>
    <w:rsid w:val="00174E54"/>
    <w:rsid w:val="001813B2"/>
    <w:rsid w:val="00195A1F"/>
    <w:rsid w:val="001B0908"/>
    <w:rsid w:val="001B37CF"/>
    <w:rsid w:val="001B4BE0"/>
    <w:rsid w:val="001B62EB"/>
    <w:rsid w:val="001C5F55"/>
    <w:rsid w:val="001C7E4E"/>
    <w:rsid w:val="001F5EF5"/>
    <w:rsid w:val="002058F6"/>
    <w:rsid w:val="00210D59"/>
    <w:rsid w:val="00215EDA"/>
    <w:rsid w:val="002161F6"/>
    <w:rsid w:val="00225D69"/>
    <w:rsid w:val="0023361A"/>
    <w:rsid w:val="00245986"/>
    <w:rsid w:val="002536CB"/>
    <w:rsid w:val="002566DB"/>
    <w:rsid w:val="0026375F"/>
    <w:rsid w:val="00282810"/>
    <w:rsid w:val="0028554D"/>
    <w:rsid w:val="002866BA"/>
    <w:rsid w:val="002C3F1A"/>
    <w:rsid w:val="002C45BC"/>
    <w:rsid w:val="002D1208"/>
    <w:rsid w:val="002E04AA"/>
    <w:rsid w:val="002E41D9"/>
    <w:rsid w:val="002E6F90"/>
    <w:rsid w:val="002F35CE"/>
    <w:rsid w:val="003151A5"/>
    <w:rsid w:val="00316D0A"/>
    <w:rsid w:val="00321DB3"/>
    <w:rsid w:val="003240BD"/>
    <w:rsid w:val="00326ADB"/>
    <w:rsid w:val="00331A3A"/>
    <w:rsid w:val="00332645"/>
    <w:rsid w:val="00332EC9"/>
    <w:rsid w:val="003434B9"/>
    <w:rsid w:val="00350470"/>
    <w:rsid w:val="003601F6"/>
    <w:rsid w:val="00370D1C"/>
    <w:rsid w:val="003745B5"/>
    <w:rsid w:val="00375D36"/>
    <w:rsid w:val="00387175"/>
    <w:rsid w:val="003930BF"/>
    <w:rsid w:val="00394D28"/>
    <w:rsid w:val="003959E0"/>
    <w:rsid w:val="00397423"/>
    <w:rsid w:val="003A3DA4"/>
    <w:rsid w:val="003A4861"/>
    <w:rsid w:val="003B00D4"/>
    <w:rsid w:val="003B03A1"/>
    <w:rsid w:val="003B7A0B"/>
    <w:rsid w:val="003C51B1"/>
    <w:rsid w:val="003F07D5"/>
    <w:rsid w:val="003F2C1C"/>
    <w:rsid w:val="00403078"/>
    <w:rsid w:val="00410E9C"/>
    <w:rsid w:val="004269B7"/>
    <w:rsid w:val="00444587"/>
    <w:rsid w:val="0044732F"/>
    <w:rsid w:val="00457CC9"/>
    <w:rsid w:val="004612B8"/>
    <w:rsid w:val="0046581A"/>
    <w:rsid w:val="004706C5"/>
    <w:rsid w:val="00481ECB"/>
    <w:rsid w:val="00497DA5"/>
    <w:rsid w:val="004A4A25"/>
    <w:rsid w:val="004A7613"/>
    <w:rsid w:val="004B6AC1"/>
    <w:rsid w:val="004C0700"/>
    <w:rsid w:val="004C36D0"/>
    <w:rsid w:val="004C4008"/>
    <w:rsid w:val="004D375C"/>
    <w:rsid w:val="004D7DD0"/>
    <w:rsid w:val="004E1814"/>
    <w:rsid w:val="004E6B4C"/>
    <w:rsid w:val="004F1EA4"/>
    <w:rsid w:val="004F545B"/>
    <w:rsid w:val="004F5566"/>
    <w:rsid w:val="00507FC3"/>
    <w:rsid w:val="00512E8B"/>
    <w:rsid w:val="00521EB5"/>
    <w:rsid w:val="0052527C"/>
    <w:rsid w:val="00526D28"/>
    <w:rsid w:val="005279E8"/>
    <w:rsid w:val="0053329E"/>
    <w:rsid w:val="00546773"/>
    <w:rsid w:val="00564F29"/>
    <w:rsid w:val="00565DCC"/>
    <w:rsid w:val="00573D3A"/>
    <w:rsid w:val="00574ACE"/>
    <w:rsid w:val="00577A0A"/>
    <w:rsid w:val="00583F1F"/>
    <w:rsid w:val="00584AFD"/>
    <w:rsid w:val="00596871"/>
    <w:rsid w:val="005A17D7"/>
    <w:rsid w:val="005A5E96"/>
    <w:rsid w:val="005A6477"/>
    <w:rsid w:val="005B06A9"/>
    <w:rsid w:val="005E2367"/>
    <w:rsid w:val="005E23BD"/>
    <w:rsid w:val="005E4885"/>
    <w:rsid w:val="005F1B4D"/>
    <w:rsid w:val="005F1CC7"/>
    <w:rsid w:val="005F215B"/>
    <w:rsid w:val="005F444D"/>
    <w:rsid w:val="005F6AC2"/>
    <w:rsid w:val="0060677A"/>
    <w:rsid w:val="006115F5"/>
    <w:rsid w:val="00615902"/>
    <w:rsid w:val="00636A91"/>
    <w:rsid w:val="006377E2"/>
    <w:rsid w:val="00640CF4"/>
    <w:rsid w:val="00641690"/>
    <w:rsid w:val="006422EE"/>
    <w:rsid w:val="00674A6F"/>
    <w:rsid w:val="00683DD0"/>
    <w:rsid w:val="00692791"/>
    <w:rsid w:val="00695DA5"/>
    <w:rsid w:val="006A0430"/>
    <w:rsid w:val="006B0A18"/>
    <w:rsid w:val="006B0BC0"/>
    <w:rsid w:val="006C75A9"/>
    <w:rsid w:val="006D0B85"/>
    <w:rsid w:val="006E26DC"/>
    <w:rsid w:val="006E26EE"/>
    <w:rsid w:val="006E35D2"/>
    <w:rsid w:val="006E3B09"/>
    <w:rsid w:val="006E47EF"/>
    <w:rsid w:val="006F1BBF"/>
    <w:rsid w:val="007018BF"/>
    <w:rsid w:val="00704577"/>
    <w:rsid w:val="00726B97"/>
    <w:rsid w:val="00732420"/>
    <w:rsid w:val="007351BE"/>
    <w:rsid w:val="007416FA"/>
    <w:rsid w:val="0075046E"/>
    <w:rsid w:val="00755122"/>
    <w:rsid w:val="00755AD3"/>
    <w:rsid w:val="00760CD1"/>
    <w:rsid w:val="00764714"/>
    <w:rsid w:val="00771CB2"/>
    <w:rsid w:val="00777AFC"/>
    <w:rsid w:val="00780DC4"/>
    <w:rsid w:val="00787BF3"/>
    <w:rsid w:val="007935CD"/>
    <w:rsid w:val="007946E1"/>
    <w:rsid w:val="00794D2F"/>
    <w:rsid w:val="007C0099"/>
    <w:rsid w:val="007C09CD"/>
    <w:rsid w:val="007D0782"/>
    <w:rsid w:val="007D30B0"/>
    <w:rsid w:val="007E2762"/>
    <w:rsid w:val="007E6A37"/>
    <w:rsid w:val="0080552A"/>
    <w:rsid w:val="00806908"/>
    <w:rsid w:val="00807FC2"/>
    <w:rsid w:val="0081233B"/>
    <w:rsid w:val="00814E13"/>
    <w:rsid w:val="00815FF9"/>
    <w:rsid w:val="00817380"/>
    <w:rsid w:val="0082249B"/>
    <w:rsid w:val="00823BDE"/>
    <w:rsid w:val="00827545"/>
    <w:rsid w:val="00827F8D"/>
    <w:rsid w:val="00830F09"/>
    <w:rsid w:val="0083149D"/>
    <w:rsid w:val="00836EA2"/>
    <w:rsid w:val="00843A86"/>
    <w:rsid w:val="008510EE"/>
    <w:rsid w:val="0086165F"/>
    <w:rsid w:val="00863187"/>
    <w:rsid w:val="00872960"/>
    <w:rsid w:val="008742CA"/>
    <w:rsid w:val="00896A3D"/>
    <w:rsid w:val="008C0A48"/>
    <w:rsid w:val="008C237B"/>
    <w:rsid w:val="008C50DC"/>
    <w:rsid w:val="008D1718"/>
    <w:rsid w:val="008E7E80"/>
    <w:rsid w:val="008F3070"/>
    <w:rsid w:val="008F51E6"/>
    <w:rsid w:val="008F5277"/>
    <w:rsid w:val="00901695"/>
    <w:rsid w:val="0091339B"/>
    <w:rsid w:val="0091358C"/>
    <w:rsid w:val="00914726"/>
    <w:rsid w:val="0091744F"/>
    <w:rsid w:val="00922B5E"/>
    <w:rsid w:val="009233AD"/>
    <w:rsid w:val="009261FA"/>
    <w:rsid w:val="009338A7"/>
    <w:rsid w:val="00937839"/>
    <w:rsid w:val="00941AB7"/>
    <w:rsid w:val="00944C5F"/>
    <w:rsid w:val="00946567"/>
    <w:rsid w:val="009479E8"/>
    <w:rsid w:val="00977756"/>
    <w:rsid w:val="009A3D8C"/>
    <w:rsid w:val="009A50E7"/>
    <w:rsid w:val="009A6799"/>
    <w:rsid w:val="009B403D"/>
    <w:rsid w:val="009E27D2"/>
    <w:rsid w:val="009F10E0"/>
    <w:rsid w:val="009F2033"/>
    <w:rsid w:val="009F257C"/>
    <w:rsid w:val="00A020C0"/>
    <w:rsid w:val="00A059F6"/>
    <w:rsid w:val="00A13DEE"/>
    <w:rsid w:val="00A30B61"/>
    <w:rsid w:val="00A3566B"/>
    <w:rsid w:val="00A437EE"/>
    <w:rsid w:val="00A46FBE"/>
    <w:rsid w:val="00A51A57"/>
    <w:rsid w:val="00A55D21"/>
    <w:rsid w:val="00A64436"/>
    <w:rsid w:val="00A64B97"/>
    <w:rsid w:val="00A74680"/>
    <w:rsid w:val="00A85C8E"/>
    <w:rsid w:val="00A871FD"/>
    <w:rsid w:val="00A9142A"/>
    <w:rsid w:val="00A93CB8"/>
    <w:rsid w:val="00A94551"/>
    <w:rsid w:val="00AA13D1"/>
    <w:rsid w:val="00AC0187"/>
    <w:rsid w:val="00AC1E0C"/>
    <w:rsid w:val="00AD07C2"/>
    <w:rsid w:val="00AD45F0"/>
    <w:rsid w:val="00AD7ACA"/>
    <w:rsid w:val="00B01B6A"/>
    <w:rsid w:val="00B03145"/>
    <w:rsid w:val="00B079EA"/>
    <w:rsid w:val="00B07B10"/>
    <w:rsid w:val="00B1324D"/>
    <w:rsid w:val="00B22235"/>
    <w:rsid w:val="00B27718"/>
    <w:rsid w:val="00B31479"/>
    <w:rsid w:val="00B32DCF"/>
    <w:rsid w:val="00B35348"/>
    <w:rsid w:val="00B41116"/>
    <w:rsid w:val="00B51D23"/>
    <w:rsid w:val="00B5464C"/>
    <w:rsid w:val="00B63191"/>
    <w:rsid w:val="00B6480A"/>
    <w:rsid w:val="00B64D03"/>
    <w:rsid w:val="00B73663"/>
    <w:rsid w:val="00B736F9"/>
    <w:rsid w:val="00BA284F"/>
    <w:rsid w:val="00BB3059"/>
    <w:rsid w:val="00BB3341"/>
    <w:rsid w:val="00BB511F"/>
    <w:rsid w:val="00BC7A7D"/>
    <w:rsid w:val="00BD1868"/>
    <w:rsid w:val="00BD4656"/>
    <w:rsid w:val="00BE3588"/>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507EF"/>
    <w:rsid w:val="00C51A3D"/>
    <w:rsid w:val="00C54E95"/>
    <w:rsid w:val="00C55310"/>
    <w:rsid w:val="00C636C0"/>
    <w:rsid w:val="00C63D08"/>
    <w:rsid w:val="00C6471E"/>
    <w:rsid w:val="00C668B3"/>
    <w:rsid w:val="00C72188"/>
    <w:rsid w:val="00C863ED"/>
    <w:rsid w:val="00C86BBD"/>
    <w:rsid w:val="00C90AE7"/>
    <w:rsid w:val="00C943BB"/>
    <w:rsid w:val="00CA343B"/>
    <w:rsid w:val="00CA4EFE"/>
    <w:rsid w:val="00CB3850"/>
    <w:rsid w:val="00CB42AF"/>
    <w:rsid w:val="00CB55EB"/>
    <w:rsid w:val="00CC06EE"/>
    <w:rsid w:val="00CC2C39"/>
    <w:rsid w:val="00CC605D"/>
    <w:rsid w:val="00CE4195"/>
    <w:rsid w:val="00CF3F2D"/>
    <w:rsid w:val="00D054CA"/>
    <w:rsid w:val="00D12518"/>
    <w:rsid w:val="00D20491"/>
    <w:rsid w:val="00D25028"/>
    <w:rsid w:val="00D26D5D"/>
    <w:rsid w:val="00D273CE"/>
    <w:rsid w:val="00D3638B"/>
    <w:rsid w:val="00D36A55"/>
    <w:rsid w:val="00D43ABE"/>
    <w:rsid w:val="00D517BA"/>
    <w:rsid w:val="00D6120B"/>
    <w:rsid w:val="00D666B6"/>
    <w:rsid w:val="00D85844"/>
    <w:rsid w:val="00D85A73"/>
    <w:rsid w:val="00D97F16"/>
    <w:rsid w:val="00DA2CA1"/>
    <w:rsid w:val="00DC1820"/>
    <w:rsid w:val="00DC475C"/>
    <w:rsid w:val="00DD42A0"/>
    <w:rsid w:val="00DE4162"/>
    <w:rsid w:val="00DE5972"/>
    <w:rsid w:val="00DE5A54"/>
    <w:rsid w:val="00DF46F1"/>
    <w:rsid w:val="00DF586B"/>
    <w:rsid w:val="00DF58BB"/>
    <w:rsid w:val="00DF6DB2"/>
    <w:rsid w:val="00E04BBD"/>
    <w:rsid w:val="00E152DF"/>
    <w:rsid w:val="00E26ACB"/>
    <w:rsid w:val="00E276C0"/>
    <w:rsid w:val="00E27E75"/>
    <w:rsid w:val="00E4280A"/>
    <w:rsid w:val="00E4683F"/>
    <w:rsid w:val="00E46A0A"/>
    <w:rsid w:val="00E47A80"/>
    <w:rsid w:val="00E7153E"/>
    <w:rsid w:val="00E83085"/>
    <w:rsid w:val="00E92963"/>
    <w:rsid w:val="00EA12B3"/>
    <w:rsid w:val="00EA1EE7"/>
    <w:rsid w:val="00EB7254"/>
    <w:rsid w:val="00EC5FF7"/>
    <w:rsid w:val="00ED5DC0"/>
    <w:rsid w:val="00ED6B7C"/>
    <w:rsid w:val="00EE1388"/>
    <w:rsid w:val="00EE68F0"/>
    <w:rsid w:val="00EE7C36"/>
    <w:rsid w:val="00EF6D69"/>
    <w:rsid w:val="00F06E0A"/>
    <w:rsid w:val="00F131A8"/>
    <w:rsid w:val="00F1394F"/>
    <w:rsid w:val="00F14C52"/>
    <w:rsid w:val="00F23359"/>
    <w:rsid w:val="00F31A14"/>
    <w:rsid w:val="00F33671"/>
    <w:rsid w:val="00F3694D"/>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946F5"/>
    <w:rsid w:val="00FA022C"/>
    <w:rsid w:val="00FA2D07"/>
    <w:rsid w:val="00FA7F8B"/>
    <w:rsid w:val="00FB0A43"/>
    <w:rsid w:val="00FB50CA"/>
    <w:rsid w:val="00FC142C"/>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DCB434C1-FFF3-4EBA-8EC9-729B70B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 w:type="paragraph" w:styleId="af0">
    <w:name w:val="Revision"/>
    <w:hidden/>
    <w:uiPriority w:val="99"/>
    <w:semiHidden/>
    <w:rsid w:val="00D85A73"/>
    <w:pPr>
      <w:widowControl/>
      <w:autoSpaceDE/>
      <w:autoSpaceDN/>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1DB6-A5A3-4F79-B0B9-D129F746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70</cp:revision>
  <cp:lastPrinted>2019-03-21T04:31:00Z</cp:lastPrinted>
  <dcterms:created xsi:type="dcterms:W3CDTF">2019-09-12T02:55:00Z</dcterms:created>
  <dcterms:modified xsi:type="dcterms:W3CDTF">2020-05-15T09:00:00Z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