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69A57" w14:textId="77777777" w:rsidR="00D0083C" w:rsidRDefault="00854AE5">
      <w:pPr>
        <w:pStyle w:val="a3"/>
        <w:spacing w:before="0" w:beforeAutospacing="0" w:after="0" w:afterAutospacing="0" w:line="360" w:lineRule="auto"/>
        <w:ind w:left="8880" w:hanging="8880"/>
        <w:jc w:val="both"/>
        <w:divId w:val="277690115"/>
      </w:pPr>
      <w:bookmarkStart w:id="0" w:name="_GoBack"/>
      <w:bookmarkEnd w:id="0"/>
      <w:r>
        <w:rPr>
          <w:noProof/>
        </w:rPr>
        <w:drawing>
          <wp:inline distT="0" distB="0" distL="0" distR="0" wp14:anchorId="44CDA4CB" wp14:editId="2037CC7A">
            <wp:extent cx="3067050" cy="381000"/>
            <wp:effectExtent l="0" t="0" r="0" b="0"/>
            <wp:docPr id="1" name="图片 1" descr="信纸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信纸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67050" cy="381000"/>
                    </a:xfrm>
                    <a:prstGeom prst="rect">
                      <a:avLst/>
                    </a:prstGeom>
                    <a:noFill/>
                    <a:ln>
                      <a:noFill/>
                    </a:ln>
                  </pic:spPr>
                </pic:pic>
              </a:graphicData>
            </a:graphic>
          </wp:inline>
        </w:drawing>
      </w:r>
    </w:p>
    <w:p w14:paraId="4F4BD19F" w14:textId="77777777" w:rsidR="00D0083C" w:rsidRDefault="00854AE5">
      <w:pPr>
        <w:pStyle w:val="a3"/>
        <w:spacing w:before="0" w:beforeAutospacing="0" w:after="0" w:afterAutospacing="0" w:line="360" w:lineRule="auto"/>
        <w:ind w:left="8880" w:hanging="8880"/>
        <w:jc w:val="both"/>
        <w:divId w:val="277690115"/>
      </w:pPr>
      <w:r>
        <w:rPr>
          <w:rFonts w:ascii="Times New Roman" w:hAnsi="Times New Roman" w:cs="Times New Roman"/>
        </w:rPr>
        <w:t> </w:t>
      </w:r>
    </w:p>
    <w:p w14:paraId="2AB5AEAF" w14:textId="77777777" w:rsidR="00D0083C" w:rsidRDefault="00854AE5">
      <w:pPr>
        <w:pStyle w:val="a3"/>
        <w:spacing w:before="0" w:beforeAutospacing="0" w:after="0" w:afterAutospacing="0" w:line="360" w:lineRule="auto"/>
        <w:ind w:left="8880" w:hanging="8880"/>
        <w:jc w:val="both"/>
        <w:divId w:val="277690115"/>
      </w:pPr>
      <w:r>
        <w:rPr>
          <w:rFonts w:ascii="Times New Roman" w:hAnsi="Times New Roman" w:cs="Times New Roman"/>
        </w:rPr>
        <w:t> </w:t>
      </w:r>
    </w:p>
    <w:p w14:paraId="16FB34F6" w14:textId="77777777" w:rsidR="00D0083C" w:rsidRDefault="00854AE5">
      <w:pPr>
        <w:pStyle w:val="a3"/>
        <w:spacing w:before="0" w:beforeAutospacing="0" w:after="0" w:afterAutospacing="0" w:line="360" w:lineRule="auto"/>
        <w:ind w:left="8880" w:hanging="8880"/>
        <w:jc w:val="both"/>
        <w:divId w:val="277690115"/>
      </w:pPr>
      <w:r>
        <w:rPr>
          <w:rFonts w:ascii="Times New Roman" w:hAnsi="Times New Roman" w:cs="Times New Roman"/>
        </w:rPr>
        <w:t> </w:t>
      </w:r>
    </w:p>
    <w:p w14:paraId="3E2B7C7C" w14:textId="77777777" w:rsidR="00D0083C" w:rsidRDefault="00854AE5">
      <w:pPr>
        <w:pStyle w:val="a3"/>
        <w:spacing w:before="0" w:beforeAutospacing="0" w:after="0" w:afterAutospacing="0" w:line="360" w:lineRule="auto"/>
        <w:ind w:left="8880" w:hanging="8880"/>
        <w:jc w:val="both"/>
        <w:divId w:val="277690115"/>
      </w:pPr>
      <w:r>
        <w:rPr>
          <w:rFonts w:ascii="Times New Roman" w:hAnsi="Times New Roman" w:cs="Times New Roman"/>
        </w:rPr>
        <w:t> </w:t>
      </w:r>
    </w:p>
    <w:p w14:paraId="255386F4" w14:textId="77777777" w:rsidR="00D0083C" w:rsidRDefault="00854AE5">
      <w:pPr>
        <w:pStyle w:val="a3"/>
        <w:spacing w:before="0" w:beforeAutospacing="0" w:after="0" w:afterAutospacing="0" w:line="360" w:lineRule="auto"/>
        <w:ind w:left="8880" w:hanging="8880"/>
        <w:jc w:val="both"/>
        <w:divId w:val="277690115"/>
      </w:pPr>
      <w:r>
        <w:rPr>
          <w:rFonts w:ascii="Times New Roman" w:hAnsi="Times New Roman" w:cs="Times New Roman"/>
        </w:rPr>
        <w:t> </w:t>
      </w:r>
    </w:p>
    <w:p w14:paraId="106CF352" w14:textId="77777777" w:rsidR="00D0083C" w:rsidRDefault="00854AE5">
      <w:pPr>
        <w:pStyle w:val="a3"/>
        <w:spacing w:before="0" w:beforeAutospacing="0" w:after="0" w:afterAutospacing="0" w:line="360" w:lineRule="auto"/>
        <w:ind w:left="8880" w:hanging="8880"/>
        <w:jc w:val="both"/>
        <w:divId w:val="277690115"/>
      </w:pPr>
      <w:r>
        <w:rPr>
          <w:rFonts w:ascii="Times New Roman" w:hAnsi="Times New Roman" w:cs="Times New Roman"/>
        </w:rPr>
        <w:t> </w:t>
      </w:r>
    </w:p>
    <w:p w14:paraId="3EBF3880" w14:textId="77777777" w:rsidR="00D0083C" w:rsidRDefault="00854AE5">
      <w:pPr>
        <w:pStyle w:val="a3"/>
        <w:spacing w:before="0" w:beforeAutospacing="0" w:after="0" w:afterAutospacing="0" w:line="360" w:lineRule="auto"/>
        <w:ind w:left="8880" w:hanging="8880"/>
        <w:jc w:val="both"/>
        <w:divId w:val="277690115"/>
      </w:pPr>
      <w:r>
        <w:rPr>
          <w:rFonts w:ascii="Times New Roman" w:hAnsi="Times New Roman" w:cs="Times New Roman"/>
        </w:rPr>
        <w:t> </w:t>
      </w:r>
    </w:p>
    <w:p w14:paraId="48E76AAE" w14:textId="51405C92" w:rsidR="00D0083C" w:rsidRDefault="00854AE5">
      <w:pPr>
        <w:pStyle w:val="a3"/>
        <w:spacing w:before="120" w:beforeAutospacing="0" w:after="120" w:afterAutospacing="0" w:line="360" w:lineRule="auto"/>
        <w:jc w:val="center"/>
        <w:divId w:val="277690115"/>
        <w:rPr>
          <w:rFonts w:ascii="华文行楷" w:eastAsia="华文行楷"/>
          <w:sz w:val="52"/>
          <w:szCs w:val="52"/>
        </w:rPr>
      </w:pPr>
      <w:r>
        <w:rPr>
          <w:rFonts w:ascii="华文行楷" w:eastAsia="华文行楷" w:hint="eastAsia"/>
          <w:spacing w:val="-20"/>
          <w:sz w:val="52"/>
          <w:szCs w:val="52"/>
        </w:rPr>
        <w:t>鹏华丰康债券型证券投资基金</w:t>
      </w:r>
      <w:r>
        <w:rPr>
          <w:rFonts w:ascii="华文行楷" w:eastAsia="华文行楷" w:hint="eastAsia"/>
          <w:sz w:val="52"/>
          <w:szCs w:val="52"/>
        </w:rPr>
        <w:t>更新的招募说明书</w:t>
      </w:r>
    </w:p>
    <w:p w14:paraId="2D2C3D5C" w14:textId="6BA73FFB" w:rsidR="00776D9F" w:rsidRDefault="00776D9F">
      <w:pPr>
        <w:pStyle w:val="a3"/>
        <w:spacing w:before="120" w:beforeAutospacing="0" w:after="120" w:afterAutospacing="0" w:line="360" w:lineRule="auto"/>
        <w:jc w:val="center"/>
        <w:divId w:val="277690115"/>
        <w:rPr>
          <w:sz w:val="52"/>
          <w:szCs w:val="52"/>
        </w:rPr>
      </w:pPr>
      <w:r>
        <w:rPr>
          <w:rFonts w:ascii="华文行楷" w:eastAsia="华文行楷" w:hint="eastAsia"/>
          <w:sz w:val="52"/>
          <w:szCs w:val="52"/>
        </w:rPr>
        <w:t>（2020年</w:t>
      </w:r>
      <w:r>
        <w:rPr>
          <w:rFonts w:ascii="华文行楷" w:eastAsia="华文行楷"/>
          <w:sz w:val="52"/>
          <w:szCs w:val="52"/>
        </w:rPr>
        <w:t>第</w:t>
      </w:r>
      <w:r>
        <w:rPr>
          <w:rFonts w:ascii="华文行楷" w:eastAsia="华文行楷" w:hint="eastAsia"/>
          <w:sz w:val="52"/>
          <w:szCs w:val="52"/>
        </w:rPr>
        <w:t>1号）</w:t>
      </w:r>
    </w:p>
    <w:p w14:paraId="70F4696D" w14:textId="77777777" w:rsidR="00D0083C" w:rsidRDefault="00854AE5">
      <w:pPr>
        <w:pStyle w:val="a3"/>
        <w:spacing w:before="0" w:beforeAutospacing="0" w:after="0" w:afterAutospacing="0" w:line="360" w:lineRule="auto"/>
        <w:jc w:val="center"/>
        <w:divId w:val="277690115"/>
        <w:rPr>
          <w:sz w:val="52"/>
          <w:szCs w:val="52"/>
        </w:rPr>
      </w:pPr>
      <w:r>
        <w:rPr>
          <w:rFonts w:ascii="Times New Roman" w:hAnsi="Times New Roman" w:cs="Times New Roman"/>
          <w:sz w:val="52"/>
          <w:szCs w:val="52"/>
        </w:rPr>
        <w:t> </w:t>
      </w:r>
    </w:p>
    <w:p w14:paraId="6B7D8117" w14:textId="77777777" w:rsidR="00D0083C" w:rsidRDefault="00854AE5">
      <w:pPr>
        <w:pStyle w:val="a3"/>
        <w:spacing w:before="0" w:beforeAutospacing="0" w:after="0" w:afterAutospacing="0" w:line="360" w:lineRule="auto"/>
        <w:jc w:val="center"/>
        <w:divId w:val="277690115"/>
        <w:rPr>
          <w:sz w:val="44"/>
          <w:szCs w:val="44"/>
        </w:rPr>
      </w:pPr>
      <w:r>
        <w:rPr>
          <w:rFonts w:ascii="Times New Roman" w:hAnsi="Times New Roman" w:cs="Times New Roman"/>
          <w:sz w:val="44"/>
          <w:szCs w:val="44"/>
        </w:rPr>
        <w:t> </w:t>
      </w:r>
    </w:p>
    <w:p w14:paraId="48CE515B" w14:textId="77777777" w:rsidR="00D0083C" w:rsidRDefault="00854AE5">
      <w:pPr>
        <w:pStyle w:val="a3"/>
        <w:spacing w:before="0" w:beforeAutospacing="0" w:after="0" w:afterAutospacing="0" w:line="360" w:lineRule="auto"/>
        <w:jc w:val="both"/>
        <w:divId w:val="277690115"/>
        <w:rPr>
          <w:sz w:val="32"/>
          <w:szCs w:val="32"/>
        </w:rPr>
      </w:pPr>
      <w:r>
        <w:rPr>
          <w:rFonts w:ascii="Times New Roman" w:hAnsi="Times New Roman" w:cs="Times New Roman"/>
          <w:sz w:val="32"/>
          <w:szCs w:val="32"/>
        </w:rPr>
        <w:t> </w:t>
      </w:r>
    </w:p>
    <w:p w14:paraId="2E13EF98" w14:textId="77777777" w:rsidR="00D0083C" w:rsidRDefault="00854AE5">
      <w:pPr>
        <w:pStyle w:val="a3"/>
        <w:spacing w:before="0" w:beforeAutospacing="0" w:after="0" w:afterAutospacing="0" w:line="360" w:lineRule="auto"/>
        <w:jc w:val="both"/>
        <w:divId w:val="277690115"/>
        <w:rPr>
          <w:sz w:val="32"/>
          <w:szCs w:val="32"/>
        </w:rPr>
      </w:pPr>
      <w:r>
        <w:rPr>
          <w:rFonts w:ascii="Times New Roman" w:hAnsi="Times New Roman" w:cs="Times New Roman"/>
          <w:sz w:val="32"/>
          <w:szCs w:val="32"/>
        </w:rPr>
        <w:t> </w:t>
      </w:r>
    </w:p>
    <w:p w14:paraId="4DDB6466" w14:textId="77777777" w:rsidR="00D0083C" w:rsidRDefault="00854AE5">
      <w:pPr>
        <w:pStyle w:val="a3"/>
        <w:spacing w:before="0" w:beforeAutospacing="0" w:after="0" w:afterAutospacing="0" w:line="360" w:lineRule="auto"/>
        <w:jc w:val="both"/>
        <w:divId w:val="277690115"/>
        <w:rPr>
          <w:sz w:val="32"/>
          <w:szCs w:val="32"/>
        </w:rPr>
      </w:pPr>
      <w:r>
        <w:rPr>
          <w:rFonts w:ascii="Times New Roman" w:hAnsi="Times New Roman" w:cs="Times New Roman"/>
          <w:sz w:val="32"/>
          <w:szCs w:val="32"/>
        </w:rPr>
        <w:t> </w:t>
      </w:r>
    </w:p>
    <w:p w14:paraId="74A77026" w14:textId="77777777" w:rsidR="00D0083C" w:rsidRDefault="00854AE5">
      <w:pPr>
        <w:pStyle w:val="a3"/>
        <w:spacing w:before="0" w:beforeAutospacing="0" w:after="0" w:afterAutospacing="0" w:line="360" w:lineRule="auto"/>
        <w:jc w:val="center"/>
        <w:divId w:val="277690115"/>
        <w:rPr>
          <w:sz w:val="36"/>
          <w:szCs w:val="36"/>
        </w:rPr>
      </w:pPr>
      <w:r>
        <w:rPr>
          <w:rFonts w:ascii="华文行楷" w:eastAsia="华文行楷" w:hint="eastAsia"/>
          <w:sz w:val="36"/>
          <w:szCs w:val="36"/>
        </w:rPr>
        <w:t>基金管理人：鹏华基金管理有限公司</w:t>
      </w:r>
    </w:p>
    <w:p w14:paraId="56864C80" w14:textId="77777777" w:rsidR="00D0083C" w:rsidRDefault="00854AE5">
      <w:pPr>
        <w:pStyle w:val="a3"/>
        <w:spacing w:before="0" w:beforeAutospacing="0" w:after="0" w:afterAutospacing="0" w:line="360" w:lineRule="auto"/>
        <w:jc w:val="center"/>
        <w:divId w:val="277690115"/>
        <w:rPr>
          <w:sz w:val="36"/>
          <w:szCs w:val="36"/>
        </w:rPr>
      </w:pPr>
      <w:r>
        <w:rPr>
          <w:rFonts w:ascii="华文行楷" w:eastAsia="华文行楷" w:hint="eastAsia"/>
          <w:sz w:val="36"/>
          <w:szCs w:val="36"/>
        </w:rPr>
        <w:t>基金托管人：上海浦东发展银行股份有限公司</w:t>
      </w:r>
    </w:p>
    <w:p w14:paraId="7931BD83" w14:textId="1F8F7E02" w:rsidR="00D0083C" w:rsidRDefault="00854AE5">
      <w:pPr>
        <w:pStyle w:val="a3"/>
        <w:spacing w:before="0" w:beforeAutospacing="0" w:after="0" w:afterAutospacing="0" w:line="360" w:lineRule="auto"/>
        <w:jc w:val="center"/>
        <w:divId w:val="277690115"/>
        <w:rPr>
          <w:sz w:val="36"/>
          <w:szCs w:val="36"/>
        </w:rPr>
      </w:pPr>
      <w:r>
        <w:rPr>
          <w:rFonts w:ascii="华文行楷" w:eastAsia="华文行楷" w:hint="eastAsia"/>
          <w:sz w:val="36"/>
          <w:szCs w:val="36"/>
        </w:rPr>
        <w:t>2</w:t>
      </w:r>
      <w:r w:rsidR="00CF441F">
        <w:rPr>
          <w:rFonts w:ascii="华文行楷" w:eastAsia="华文行楷" w:hint="eastAsia"/>
          <w:sz w:val="36"/>
          <w:szCs w:val="36"/>
        </w:rPr>
        <w:t>020</w:t>
      </w:r>
      <w:r>
        <w:rPr>
          <w:rFonts w:ascii="华文行楷" w:eastAsia="华文行楷" w:hint="eastAsia"/>
          <w:sz w:val="36"/>
          <w:szCs w:val="36"/>
        </w:rPr>
        <w:t>年</w:t>
      </w:r>
      <w:r w:rsidR="00CF441F">
        <w:rPr>
          <w:rFonts w:ascii="华文行楷" w:eastAsia="华文行楷" w:hint="eastAsia"/>
          <w:sz w:val="36"/>
          <w:szCs w:val="36"/>
        </w:rPr>
        <w:t>2</w:t>
      </w:r>
      <w:r>
        <w:rPr>
          <w:rFonts w:ascii="华文行楷" w:eastAsia="华文行楷" w:hint="eastAsia"/>
          <w:sz w:val="36"/>
          <w:szCs w:val="36"/>
        </w:rPr>
        <w:t>月</w:t>
      </w:r>
      <w:r w:rsidR="00CF441F">
        <w:rPr>
          <w:rFonts w:ascii="华文行楷" w:eastAsia="华文行楷" w:hint="eastAsia"/>
          <w:sz w:val="36"/>
          <w:szCs w:val="36"/>
        </w:rPr>
        <w:t>24日</w:t>
      </w:r>
    </w:p>
    <w:p w14:paraId="044043D4" w14:textId="77777777" w:rsidR="00D0083C" w:rsidRDefault="00854AE5">
      <w:pPr>
        <w:pStyle w:val="a3"/>
        <w:spacing w:before="0" w:beforeAutospacing="0" w:after="240" w:afterAutospacing="0" w:line="360" w:lineRule="auto"/>
        <w:jc w:val="center"/>
        <w:divId w:val="277690115"/>
        <w:rPr>
          <w:sz w:val="36"/>
          <w:szCs w:val="36"/>
        </w:rPr>
      </w:pPr>
      <w:r>
        <w:rPr>
          <w:sz w:val="36"/>
          <w:szCs w:val="36"/>
        </w:rPr>
        <w:br w:type="page"/>
      </w:r>
      <w:r>
        <w:rPr>
          <w:rFonts w:hint="eastAsia"/>
          <w:b/>
          <w:bCs/>
        </w:rPr>
        <w:lastRenderedPageBreak/>
        <w:t>重要提示</w:t>
      </w:r>
    </w:p>
    <w:p w14:paraId="3076CB99"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 </w:t>
      </w:r>
    </w:p>
    <w:p w14:paraId="586D6D2B"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本基金经</w:t>
      </w:r>
      <w:r>
        <w:rPr>
          <w:rFonts w:ascii="Times New Roman" w:hAnsi="Times New Roman" w:cs="Times New Roman"/>
          <w:sz w:val="21"/>
          <w:szCs w:val="21"/>
        </w:rPr>
        <w:t>2016</w:t>
      </w:r>
      <w:r>
        <w:rPr>
          <w:rFonts w:hint="eastAsia"/>
          <w:sz w:val="21"/>
          <w:szCs w:val="21"/>
        </w:rPr>
        <w:t>年</w:t>
      </w:r>
      <w:r>
        <w:rPr>
          <w:rFonts w:ascii="Times New Roman" w:hAnsi="Times New Roman" w:cs="Times New Roman"/>
          <w:sz w:val="21"/>
          <w:szCs w:val="21"/>
        </w:rPr>
        <w:t>8</w:t>
      </w:r>
      <w:r>
        <w:rPr>
          <w:rFonts w:hint="eastAsia"/>
          <w:sz w:val="21"/>
          <w:szCs w:val="21"/>
        </w:rPr>
        <w:t>月</w:t>
      </w:r>
      <w:r>
        <w:rPr>
          <w:rFonts w:ascii="Times New Roman" w:hAnsi="Times New Roman" w:cs="Times New Roman"/>
          <w:sz w:val="21"/>
          <w:szCs w:val="21"/>
        </w:rPr>
        <w:t>18</w:t>
      </w:r>
      <w:r>
        <w:rPr>
          <w:rFonts w:hint="eastAsia"/>
          <w:sz w:val="21"/>
          <w:szCs w:val="21"/>
        </w:rPr>
        <w:t>日中国证券监督管理委员会下发的《关于准予鹏华丰康债券型证券投资基金注册的批复》（证监许可</w:t>
      </w:r>
      <w:r>
        <w:rPr>
          <w:rFonts w:ascii="Times New Roman" w:hAnsi="Times New Roman" w:cs="Times New Roman"/>
          <w:sz w:val="21"/>
          <w:szCs w:val="21"/>
        </w:rPr>
        <w:t>[2016]1879</w:t>
      </w:r>
      <w:r>
        <w:rPr>
          <w:rFonts w:hint="eastAsia"/>
          <w:sz w:val="21"/>
          <w:szCs w:val="21"/>
        </w:rPr>
        <w:t>号）注册，进行募集。根据相关法律法规，本基金基金合同已于2017年3月17日正式生效，基金管理人于该日起正式开始对基金财产进行运作管理。</w:t>
      </w:r>
    </w:p>
    <w:p w14:paraId="7901FA7C"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基金管理人保证本招募说明书的内容真实、准确、完整。本招募说明书经中国证监会注册，但中国证监会对本基金募集的注册，并不表明其对本基金的价值和收益作出实质性判断或保证，也不表明投资于本基金没有风险。</w:t>
      </w:r>
    </w:p>
    <w:p w14:paraId="5BF36E84"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本基金属于债券型基金，其预期的收益与风险低于股票型基金、混合型基金，高于货币市场基金，为证券投资基金中具有较低风险收益特征的品种。本基金投资于证券市场，基金净值会因为证券市场波动等因素产生波动，投资人在投资本基金前，应全面了解本基金的产品特性，充分考虑自身的风险承受能力，理性判断市场，并承担基金投资中出现的各类风险，包括但不限于：系统性风险、非系统性风险、管理风险、流动性风险、本基金特定风险及其他风险等。</w:t>
      </w:r>
    </w:p>
    <w:p w14:paraId="24E3A761"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本基金投资范围包括中小企业私募债，中小企业私募债券的流动性风险在于该类债券采取非公开方式发行和交易，由于不公开资料，外部评级机构一般不对这类债券进行外部评级，可能会降低市场对该类债券的认可度，从而影响该类债券的市场流动性。中小企业私募债券的信用风险在于该类债券发行主体的资产规模较小、经营的波动性较大，同时，各类材料（包括招募说明书、审计报告）不公开发布，也大大提高了分析并跟踪发债主体信用基本面的难度。</w:t>
      </w:r>
    </w:p>
    <w:p w14:paraId="4C98FD85"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基金的过往业绩并不预示其未来表现，基金管理人管理的其他基金的业绩并不构成对本基金表现的保证。</w:t>
      </w:r>
    </w:p>
    <w:p w14:paraId="2442A385" w14:textId="77777777" w:rsidR="00BE6383" w:rsidRPr="00BE6383" w:rsidRDefault="00854AE5" w:rsidP="002A17DF">
      <w:pPr>
        <w:pStyle w:val="a3"/>
        <w:spacing w:before="0" w:beforeAutospacing="0" w:after="0" w:afterAutospacing="0" w:line="360" w:lineRule="auto"/>
        <w:ind w:firstLineChars="200" w:firstLine="420"/>
        <w:jc w:val="both"/>
        <w:divId w:val="277690115"/>
        <w:rPr>
          <w:sz w:val="21"/>
          <w:szCs w:val="21"/>
        </w:rPr>
      </w:pPr>
      <w:r>
        <w:rPr>
          <w:rFonts w:hint="eastAsia"/>
          <w:sz w:val="21"/>
          <w:szCs w:val="21"/>
        </w:rPr>
        <w:t>基金管理人依照恪尽职守、诚实信用、谨慎勤勉的原则管理和运用基金财产，但不保证基金一定盈利，也不保证最低收益。基金管理人提醒投资人基金投资的“买者自负”原则，在投资人作出投资决策后，基金运营状况与基金净值变化引致的投资风险，由投资人</w:t>
      </w:r>
      <w:r w:rsidRPr="00BE6383">
        <w:rPr>
          <w:rFonts w:hint="eastAsia"/>
          <w:sz w:val="21"/>
          <w:szCs w:val="21"/>
        </w:rPr>
        <w:t>自行承担。投资有风险，投资人在投资本基金前应认真阅读本基金的招募说明书</w:t>
      </w:r>
      <w:r w:rsidR="00BE6383" w:rsidRPr="00BE6383">
        <w:rPr>
          <w:rFonts w:hint="eastAsia"/>
          <w:sz w:val="21"/>
          <w:szCs w:val="21"/>
        </w:rPr>
        <w:t>、</w:t>
      </w:r>
      <w:r w:rsidR="00BE6383" w:rsidRPr="00BE6383">
        <w:rPr>
          <w:sz w:val="21"/>
          <w:szCs w:val="21"/>
        </w:rPr>
        <w:t>基金合同</w:t>
      </w:r>
      <w:r w:rsidR="00BE6383" w:rsidRPr="00BE6383">
        <w:rPr>
          <w:rFonts w:hint="eastAsia"/>
          <w:sz w:val="21"/>
          <w:szCs w:val="21"/>
        </w:rPr>
        <w:t>和</w:t>
      </w:r>
      <w:r w:rsidR="00BE6383" w:rsidRPr="00BE6383">
        <w:rPr>
          <w:sz w:val="21"/>
          <w:szCs w:val="21"/>
        </w:rPr>
        <w:t>基金产品资料概要</w:t>
      </w:r>
      <w:r w:rsidR="00BE6383" w:rsidRPr="00BE6383">
        <w:rPr>
          <w:rFonts w:hint="eastAsia"/>
          <w:sz w:val="21"/>
          <w:szCs w:val="21"/>
        </w:rPr>
        <w:t>。</w:t>
      </w:r>
    </w:p>
    <w:p w14:paraId="2B87F4BE" w14:textId="178BBE69" w:rsidR="00D0083C" w:rsidRPr="00BE6383" w:rsidRDefault="0002071A" w:rsidP="002A17DF">
      <w:pPr>
        <w:pStyle w:val="a3"/>
        <w:spacing w:before="0" w:beforeAutospacing="0" w:after="0" w:afterAutospacing="0" w:line="360" w:lineRule="auto"/>
        <w:ind w:firstLineChars="200" w:firstLine="420"/>
        <w:divId w:val="277690115"/>
        <w:rPr>
          <w:sz w:val="21"/>
          <w:szCs w:val="21"/>
        </w:rPr>
      </w:pPr>
      <w:r>
        <w:rPr>
          <w:rFonts w:hint="eastAsia"/>
          <w:sz w:val="21"/>
          <w:szCs w:val="21"/>
        </w:rPr>
        <w:t>招募说明书</w:t>
      </w:r>
      <w:r w:rsidR="00BE6383" w:rsidRPr="002A17DF">
        <w:rPr>
          <w:rFonts w:hint="eastAsia"/>
          <w:sz w:val="21"/>
          <w:szCs w:val="21"/>
        </w:rPr>
        <w:t>约定的基金产品资料概要编制、披露与更新要求，自《信息披露办法》实施之日起一年后开始执行。</w:t>
      </w:r>
    </w:p>
    <w:p w14:paraId="19C4E52F" w14:textId="4614E919" w:rsidR="00D0083C" w:rsidRPr="002A17DF" w:rsidRDefault="00CF441F" w:rsidP="002A17DF">
      <w:pPr>
        <w:pStyle w:val="a3"/>
        <w:spacing w:before="0" w:beforeAutospacing="0" w:after="0" w:afterAutospacing="0" w:line="360" w:lineRule="auto"/>
        <w:ind w:firstLineChars="200" w:firstLine="422"/>
        <w:jc w:val="both"/>
        <w:divId w:val="277690115"/>
        <w:rPr>
          <w:b/>
          <w:sz w:val="21"/>
          <w:szCs w:val="21"/>
        </w:rPr>
      </w:pPr>
      <w:r w:rsidRPr="002A17DF">
        <w:rPr>
          <w:rFonts w:hint="eastAsia"/>
          <w:b/>
          <w:sz w:val="21"/>
          <w:szCs w:val="21"/>
        </w:rPr>
        <w:t>本次招募说明书更新仅涉及《公开募集证券投资基金信息披露管理办法》第十二条规定的重大变更，即：（一）基金合同、基金托管协议相关内容发生变更；（二）变更基金简称（含场内简称）、基金代码（含场内代码）；（三）变更基金管理人、基金托管人的</w:t>
      </w:r>
      <w:r w:rsidRPr="002A17DF">
        <w:rPr>
          <w:rFonts w:hint="eastAsia"/>
          <w:b/>
          <w:sz w:val="21"/>
          <w:szCs w:val="21"/>
        </w:rPr>
        <w:lastRenderedPageBreak/>
        <w:t>法定名称；（四）变更基金经理；（五）变更认购费、申购费、赎回费等费率；（六）其他对投资者有重大影响的事项。变更事项涉及上述一种或多种情形，具体事项请参考基金管理人最近三个交易日内披露的关于上述重大变更的相关公告，其他内容请以上一次更新的招募说明书为准。</w:t>
      </w:r>
    </w:p>
    <w:p w14:paraId="3198EC7B" w14:textId="77777777" w:rsidR="00D0083C" w:rsidRDefault="00854AE5">
      <w:pPr>
        <w:pStyle w:val="a3"/>
        <w:spacing w:before="72" w:beforeAutospacing="0" w:after="72" w:afterAutospacing="0" w:line="360" w:lineRule="auto"/>
        <w:jc w:val="center"/>
        <w:divId w:val="277690115"/>
        <w:rPr>
          <w:sz w:val="28"/>
          <w:szCs w:val="28"/>
        </w:rPr>
      </w:pPr>
      <w:r>
        <w:rPr>
          <w:sz w:val="28"/>
          <w:szCs w:val="28"/>
        </w:rPr>
        <w:br w:type="page"/>
      </w:r>
      <w:r>
        <w:rPr>
          <w:rFonts w:hint="eastAsia"/>
          <w:b/>
          <w:bCs/>
        </w:rPr>
        <w:lastRenderedPageBreak/>
        <w:t>目</w:t>
      </w:r>
      <w:r>
        <w:rPr>
          <w:rFonts w:ascii="Times New Roman" w:hAnsi="Times New Roman" w:cs="Times New Roman"/>
          <w:b/>
          <w:bCs/>
        </w:rPr>
        <w:t>  </w:t>
      </w:r>
      <w:r>
        <w:rPr>
          <w:rFonts w:hint="eastAsia"/>
          <w:b/>
          <w:bCs/>
        </w:rPr>
        <w:t xml:space="preserve"> 录</w:t>
      </w:r>
    </w:p>
    <w:p w14:paraId="52B4EB32"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第一部分 绪 言</w:t>
      </w:r>
      <w:r>
        <w:rPr>
          <w:rFonts w:hint="eastAsia"/>
          <w:b/>
          <w:bCs/>
          <w:vanish/>
          <w:sz w:val="21"/>
          <w:szCs w:val="21"/>
        </w:rPr>
        <w:t>. 2</w:t>
      </w:r>
    </w:p>
    <w:p w14:paraId="01AFC611"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第二部分 释 义</w:t>
      </w:r>
      <w:r>
        <w:rPr>
          <w:rFonts w:hint="eastAsia"/>
          <w:b/>
          <w:bCs/>
          <w:vanish/>
          <w:sz w:val="21"/>
          <w:szCs w:val="21"/>
        </w:rPr>
        <w:t>. 3</w:t>
      </w:r>
    </w:p>
    <w:p w14:paraId="4F4E390A"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第三部分 基金管理人</w:t>
      </w:r>
      <w:r>
        <w:rPr>
          <w:rFonts w:hint="eastAsia"/>
          <w:b/>
          <w:bCs/>
          <w:vanish/>
          <w:sz w:val="21"/>
          <w:szCs w:val="21"/>
        </w:rPr>
        <w:t>. 6</w:t>
      </w:r>
    </w:p>
    <w:p w14:paraId="06EF1DB0"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第四部分 基金托管人</w:t>
      </w:r>
      <w:r>
        <w:rPr>
          <w:rFonts w:hint="eastAsia"/>
          <w:b/>
          <w:bCs/>
          <w:vanish/>
          <w:sz w:val="21"/>
          <w:szCs w:val="21"/>
        </w:rPr>
        <w:t>. 14</w:t>
      </w:r>
    </w:p>
    <w:p w14:paraId="1E52A662"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第五部分 相关服务机构</w:t>
      </w:r>
      <w:r>
        <w:rPr>
          <w:rFonts w:hint="eastAsia"/>
          <w:b/>
          <w:bCs/>
          <w:vanish/>
          <w:sz w:val="21"/>
          <w:szCs w:val="21"/>
        </w:rPr>
        <w:t>. 18</w:t>
      </w:r>
    </w:p>
    <w:p w14:paraId="63C5AEFA"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第六部分 基金的募集与基金合同的生效</w:t>
      </w:r>
      <w:r>
        <w:rPr>
          <w:rFonts w:hint="eastAsia"/>
          <w:b/>
          <w:bCs/>
          <w:vanish/>
          <w:sz w:val="21"/>
          <w:szCs w:val="21"/>
        </w:rPr>
        <w:t>. 20</w:t>
      </w:r>
    </w:p>
    <w:p w14:paraId="31D6A18F"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第七部分 基金份额的申购与赎回</w:t>
      </w:r>
      <w:r>
        <w:rPr>
          <w:rFonts w:hint="eastAsia"/>
          <w:b/>
          <w:bCs/>
          <w:vanish/>
          <w:sz w:val="21"/>
          <w:szCs w:val="21"/>
        </w:rPr>
        <w:t>. 23</w:t>
      </w:r>
    </w:p>
    <w:p w14:paraId="1200C4A4"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第八部分 基金的投资</w:t>
      </w:r>
      <w:r>
        <w:rPr>
          <w:rFonts w:hint="eastAsia"/>
          <w:b/>
          <w:bCs/>
          <w:vanish/>
          <w:sz w:val="21"/>
          <w:szCs w:val="21"/>
        </w:rPr>
        <w:t>. 24</w:t>
      </w:r>
    </w:p>
    <w:p w14:paraId="42848B50"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第九部分 基金的业绩</w:t>
      </w:r>
      <w:r>
        <w:rPr>
          <w:rFonts w:hint="eastAsia"/>
          <w:b/>
          <w:bCs/>
          <w:vanish/>
          <w:sz w:val="21"/>
          <w:szCs w:val="21"/>
        </w:rPr>
        <w:t>. 31</w:t>
      </w:r>
    </w:p>
    <w:p w14:paraId="71E15DB1"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第十部分 基金的财产</w:t>
      </w:r>
      <w:r>
        <w:rPr>
          <w:rFonts w:hint="eastAsia"/>
          <w:b/>
          <w:bCs/>
          <w:vanish/>
          <w:sz w:val="21"/>
          <w:szCs w:val="21"/>
        </w:rPr>
        <w:t>. 36</w:t>
      </w:r>
    </w:p>
    <w:p w14:paraId="6DD44323"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第十一部分 基金资产的估值</w:t>
      </w:r>
      <w:r>
        <w:rPr>
          <w:rFonts w:hint="eastAsia"/>
          <w:b/>
          <w:bCs/>
          <w:vanish/>
          <w:sz w:val="21"/>
          <w:szCs w:val="21"/>
        </w:rPr>
        <w:t>. 37</w:t>
      </w:r>
    </w:p>
    <w:p w14:paraId="03208F07"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第十二部分 基金的收益分配</w:t>
      </w:r>
      <w:r>
        <w:rPr>
          <w:rFonts w:hint="eastAsia"/>
          <w:b/>
          <w:bCs/>
          <w:vanish/>
          <w:sz w:val="21"/>
          <w:szCs w:val="21"/>
        </w:rPr>
        <w:t>. 41</w:t>
      </w:r>
    </w:p>
    <w:p w14:paraId="131BB605"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第十三部分 基金的费用与税收</w:t>
      </w:r>
      <w:r>
        <w:rPr>
          <w:rFonts w:hint="eastAsia"/>
          <w:b/>
          <w:bCs/>
          <w:vanish/>
          <w:sz w:val="21"/>
          <w:szCs w:val="21"/>
        </w:rPr>
        <w:t>. 42</w:t>
      </w:r>
    </w:p>
    <w:p w14:paraId="29229352"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第十四部分 基金的会计与审计</w:t>
      </w:r>
      <w:r>
        <w:rPr>
          <w:rFonts w:hint="eastAsia"/>
          <w:b/>
          <w:bCs/>
          <w:vanish/>
          <w:sz w:val="21"/>
          <w:szCs w:val="21"/>
        </w:rPr>
        <w:t>. 44</w:t>
      </w:r>
    </w:p>
    <w:p w14:paraId="2E7A6F6E"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第十五部分 基金的信息披露</w:t>
      </w:r>
      <w:r>
        <w:rPr>
          <w:rFonts w:hint="eastAsia"/>
          <w:b/>
          <w:bCs/>
          <w:vanish/>
          <w:sz w:val="21"/>
          <w:szCs w:val="21"/>
        </w:rPr>
        <w:t>. 45</w:t>
      </w:r>
    </w:p>
    <w:p w14:paraId="2A11A31B"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第十六部分 风险揭示</w:t>
      </w:r>
      <w:r>
        <w:rPr>
          <w:rFonts w:hint="eastAsia"/>
          <w:b/>
          <w:bCs/>
          <w:vanish/>
          <w:sz w:val="21"/>
          <w:szCs w:val="21"/>
        </w:rPr>
        <w:t>. 50</w:t>
      </w:r>
    </w:p>
    <w:p w14:paraId="01AB1BFA"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第十七部分 基金的终止与清算</w:t>
      </w:r>
      <w:r>
        <w:rPr>
          <w:rFonts w:hint="eastAsia"/>
          <w:b/>
          <w:bCs/>
          <w:vanish/>
          <w:sz w:val="21"/>
          <w:szCs w:val="21"/>
        </w:rPr>
        <w:t>. 52</w:t>
      </w:r>
    </w:p>
    <w:p w14:paraId="1C5CFF25"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第十八部分 基金合同的内容摘要</w:t>
      </w:r>
      <w:r>
        <w:rPr>
          <w:rFonts w:hint="eastAsia"/>
          <w:b/>
          <w:bCs/>
          <w:vanish/>
          <w:sz w:val="21"/>
          <w:szCs w:val="21"/>
        </w:rPr>
        <w:t>. 54</w:t>
      </w:r>
    </w:p>
    <w:p w14:paraId="36B4E032"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第十九部分 基金托管协议的内容摘要</w:t>
      </w:r>
      <w:r>
        <w:rPr>
          <w:rFonts w:hint="eastAsia"/>
          <w:b/>
          <w:bCs/>
          <w:vanish/>
          <w:sz w:val="21"/>
          <w:szCs w:val="21"/>
        </w:rPr>
        <w:t>. 66</w:t>
      </w:r>
    </w:p>
    <w:p w14:paraId="5409C005"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第二十部分 对基金份额持有人的服务</w:t>
      </w:r>
      <w:r>
        <w:rPr>
          <w:rFonts w:hint="eastAsia"/>
          <w:b/>
          <w:bCs/>
          <w:vanish/>
          <w:sz w:val="21"/>
          <w:szCs w:val="21"/>
        </w:rPr>
        <w:t>. 77</w:t>
      </w:r>
    </w:p>
    <w:p w14:paraId="15186233"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第二十一部分 其他应披露事项</w:t>
      </w:r>
      <w:r>
        <w:rPr>
          <w:rFonts w:hint="eastAsia"/>
          <w:b/>
          <w:bCs/>
          <w:vanish/>
          <w:sz w:val="21"/>
          <w:szCs w:val="21"/>
        </w:rPr>
        <w:t>. 79</w:t>
      </w:r>
    </w:p>
    <w:p w14:paraId="637C04F5"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第二十二部分 招募说明书的存放及查阅方式</w:t>
      </w:r>
      <w:r>
        <w:rPr>
          <w:rFonts w:hint="eastAsia"/>
          <w:b/>
          <w:bCs/>
          <w:vanish/>
          <w:sz w:val="21"/>
          <w:szCs w:val="21"/>
        </w:rPr>
        <w:t>. 80</w:t>
      </w:r>
    </w:p>
    <w:p w14:paraId="27D72151" w14:textId="77777777" w:rsidR="00D0083C" w:rsidRDefault="00854AE5">
      <w:pPr>
        <w:pStyle w:val="a3"/>
        <w:spacing w:before="120" w:beforeAutospacing="0" w:after="120" w:afterAutospacing="0" w:line="360" w:lineRule="auto"/>
        <w:ind w:right="6"/>
        <w:divId w:val="277690115"/>
        <w:rPr>
          <w:sz w:val="21"/>
          <w:szCs w:val="21"/>
        </w:rPr>
      </w:pPr>
      <w:r>
        <w:rPr>
          <w:rFonts w:hint="eastAsia"/>
          <w:b/>
          <w:bCs/>
          <w:sz w:val="21"/>
          <w:szCs w:val="21"/>
          <w:u w:val="single"/>
        </w:rPr>
        <w:t>第二十三部分 备查文件</w:t>
      </w:r>
      <w:r>
        <w:rPr>
          <w:rFonts w:hint="eastAsia"/>
          <w:b/>
          <w:bCs/>
          <w:vanish/>
          <w:sz w:val="21"/>
          <w:szCs w:val="21"/>
        </w:rPr>
        <w:t>. 81</w:t>
      </w:r>
    </w:p>
    <w:p w14:paraId="0325F300" w14:textId="77777777" w:rsidR="00D0083C" w:rsidRDefault="00854AE5">
      <w:pPr>
        <w:pStyle w:val="a3"/>
        <w:spacing w:before="0" w:beforeAutospacing="0" w:after="0" w:afterAutospacing="0" w:line="360" w:lineRule="atLeast"/>
        <w:divId w:val="277690115"/>
      </w:pPr>
      <w:r>
        <w:rPr>
          <w:rFonts w:ascii="Times New Roman" w:hAnsi="Times New Roman" w:cs="Times New Roman"/>
          <w:sz w:val="21"/>
          <w:szCs w:val="21"/>
        </w:rPr>
        <w:t> </w:t>
      </w:r>
    </w:p>
    <w:p w14:paraId="61E800EB" w14:textId="77777777" w:rsidR="00D0083C" w:rsidRDefault="00854AE5">
      <w:pPr>
        <w:pStyle w:val="a3"/>
        <w:spacing w:before="0" w:beforeAutospacing="0" w:after="0" w:afterAutospacing="0" w:line="360" w:lineRule="atLeast"/>
        <w:divId w:val="277690115"/>
      </w:pPr>
      <w:r>
        <w:rPr>
          <w:rFonts w:ascii="Times New Roman" w:hAnsi="Times New Roman" w:cs="Times New Roman"/>
          <w:sz w:val="21"/>
          <w:szCs w:val="21"/>
        </w:rPr>
        <w:t> </w:t>
      </w:r>
    </w:p>
    <w:p w14:paraId="1C7820E0" w14:textId="77777777" w:rsidR="00D0083C" w:rsidRDefault="00854AE5">
      <w:pPr>
        <w:pStyle w:val="1"/>
        <w:spacing w:before="240" w:line="360" w:lineRule="auto"/>
        <w:jc w:val="center"/>
        <w:divId w:val="277690115"/>
        <w:rPr>
          <w:sz w:val="24"/>
          <w:szCs w:val="24"/>
        </w:rPr>
      </w:pPr>
      <w:bookmarkStart w:id="1" w:name="_Toc387824867"/>
      <w:bookmarkStart w:id="2" w:name="_Toc87755005"/>
      <w:bookmarkStart w:id="3" w:name="_Toc87429244"/>
      <w:bookmarkStart w:id="4" w:name="_Toc82759135"/>
      <w:bookmarkStart w:id="5" w:name="_Toc82805301"/>
      <w:bookmarkStart w:id="6" w:name="_Toc82697772"/>
      <w:bookmarkStart w:id="7" w:name="_Toc80759834"/>
      <w:bookmarkStart w:id="8" w:name="_Toc77562628"/>
      <w:bookmarkStart w:id="9" w:name="_Toc77514439"/>
      <w:bookmarkEnd w:id="1"/>
      <w:bookmarkEnd w:id="2"/>
      <w:bookmarkEnd w:id="3"/>
      <w:bookmarkEnd w:id="4"/>
      <w:bookmarkEnd w:id="5"/>
      <w:bookmarkEnd w:id="6"/>
      <w:bookmarkEnd w:id="7"/>
      <w:bookmarkEnd w:id="8"/>
      <w:r>
        <w:rPr>
          <w:rFonts w:hint="eastAsia"/>
          <w:sz w:val="24"/>
          <w:szCs w:val="24"/>
        </w:rPr>
        <w:lastRenderedPageBreak/>
        <w:t>第一</w:t>
      </w:r>
      <w:bookmarkStart w:id="10" w:name="_Toc81727193"/>
      <w:bookmarkStart w:id="11" w:name="_Toc81627529"/>
      <w:bookmarkStart w:id="12" w:name="_Toc64113052"/>
      <w:bookmarkStart w:id="13" w:name="_Toc63838857"/>
      <w:bookmarkStart w:id="14" w:name="_Toc63838401"/>
      <w:bookmarkStart w:id="15" w:name="_Toc35970360"/>
      <w:bookmarkStart w:id="16" w:name="_Toc35967085"/>
      <w:bookmarkStart w:id="17" w:name="_Toc412372719"/>
      <w:bookmarkEnd w:id="9"/>
      <w:bookmarkEnd w:id="10"/>
      <w:bookmarkEnd w:id="11"/>
      <w:bookmarkEnd w:id="12"/>
      <w:bookmarkEnd w:id="13"/>
      <w:bookmarkEnd w:id="14"/>
      <w:bookmarkEnd w:id="15"/>
      <w:bookmarkEnd w:id="16"/>
      <w:bookmarkEnd w:id="17"/>
      <w:r>
        <w:rPr>
          <w:rFonts w:hint="eastAsia"/>
          <w:sz w:val="24"/>
          <w:szCs w:val="24"/>
        </w:rPr>
        <w:t>部分</w:t>
      </w:r>
      <w:r>
        <w:rPr>
          <w:rFonts w:hint="eastAsia"/>
          <w:sz w:val="24"/>
          <w:szCs w:val="24"/>
        </w:rPr>
        <w:t xml:space="preserve"> </w:t>
      </w:r>
      <w:r>
        <w:rPr>
          <w:rFonts w:hint="eastAsia"/>
          <w:sz w:val="24"/>
          <w:szCs w:val="24"/>
        </w:rPr>
        <w:t>绪</w:t>
      </w:r>
      <w:r>
        <w:rPr>
          <w:rFonts w:hint="eastAsia"/>
          <w:sz w:val="24"/>
          <w:szCs w:val="24"/>
        </w:rPr>
        <w:t xml:space="preserve"> </w:t>
      </w:r>
      <w:r>
        <w:rPr>
          <w:rFonts w:hint="eastAsia"/>
          <w:sz w:val="24"/>
          <w:szCs w:val="24"/>
        </w:rPr>
        <w:t>言</w:t>
      </w:r>
      <w:bookmarkStart w:id="18" w:name="_Toc412372720"/>
      <w:bookmarkEnd w:id="18"/>
    </w:p>
    <w:p w14:paraId="4791F243"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本招募说明书依据《中华人民共和国证券投资基金法》（以下简称《基金法》）、《公开募集证券投资基金运作管理办法》（以下简称《运作办法》）、《证券投资基金销售管理办法》（以下简称《销售办法》）、《</w:t>
      </w:r>
      <w:r w:rsidR="00BE6383" w:rsidRPr="00C12A9D">
        <w:rPr>
          <w:rFonts w:hint="eastAsia"/>
          <w:bCs/>
          <w:sz w:val="21"/>
          <w:szCs w:val="21"/>
        </w:rPr>
        <w:t>公开</w:t>
      </w:r>
      <w:r w:rsidR="00BE6383" w:rsidRPr="00C12A9D">
        <w:rPr>
          <w:bCs/>
          <w:sz w:val="21"/>
          <w:szCs w:val="21"/>
        </w:rPr>
        <w:t>募集</w:t>
      </w:r>
      <w:r>
        <w:rPr>
          <w:rFonts w:hint="eastAsia"/>
          <w:sz w:val="21"/>
          <w:szCs w:val="21"/>
        </w:rPr>
        <w:t>证券投资基金信息披露管理办法》（以下简称《信息披露办法》）、《公开募集开放式证券投资基金流动性风险管理规定》（以下简称《流动性规定》）等有关法律法规的规定，以及《鹏华丰康债券型证券投资基金基金合同》（以下简称基金合同）的约定编写。</w:t>
      </w:r>
    </w:p>
    <w:p w14:paraId="4507D9B8"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本招募说明书阐述了鹏华丰康债券型证券投资基金（以下简称“本基金”或“基金”）的投资目标、策略、风险、费率等与投资人投资决策有关的必要事项，投资人在做出投资决策前应仔细阅读本招募说明书。</w:t>
      </w:r>
    </w:p>
    <w:p w14:paraId="59383877"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5CDB1827"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本招募说明书根据本基金的基金合同编写，并经中国证监会注册。基金合同是约定基金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14:paraId="5C3A71B9" w14:textId="77777777" w:rsidR="00D0083C" w:rsidRDefault="00854AE5">
      <w:pPr>
        <w:pStyle w:val="a3"/>
        <w:spacing w:before="0" w:beforeAutospacing="0" w:after="0" w:afterAutospacing="0" w:line="360" w:lineRule="auto"/>
        <w:ind w:firstLine="420"/>
        <w:divId w:val="277690115"/>
        <w:rPr>
          <w:sz w:val="21"/>
          <w:szCs w:val="21"/>
        </w:rPr>
      </w:pPr>
      <w:r>
        <w:rPr>
          <w:rFonts w:ascii="Times New Roman" w:hAnsi="Times New Roman" w:cs="Times New Roman"/>
          <w:b/>
          <w:bCs/>
          <w:sz w:val="21"/>
          <w:szCs w:val="21"/>
        </w:rPr>
        <w:t> </w:t>
      </w:r>
    </w:p>
    <w:p w14:paraId="4929B314" w14:textId="77777777" w:rsidR="00D0083C" w:rsidRDefault="00854AE5">
      <w:pPr>
        <w:pStyle w:val="1"/>
        <w:spacing w:before="240" w:line="360" w:lineRule="auto"/>
        <w:jc w:val="center"/>
        <w:divId w:val="277690115"/>
        <w:rPr>
          <w:sz w:val="24"/>
          <w:szCs w:val="24"/>
        </w:rPr>
      </w:pPr>
      <w:bookmarkStart w:id="19" w:name="_Toc387824868"/>
      <w:r>
        <w:rPr>
          <w:rFonts w:hint="eastAsia"/>
          <w:sz w:val="24"/>
          <w:szCs w:val="24"/>
        </w:rPr>
        <w:t>第二部分</w:t>
      </w:r>
      <w:r>
        <w:rPr>
          <w:rFonts w:hint="eastAsia"/>
          <w:sz w:val="24"/>
          <w:szCs w:val="24"/>
        </w:rPr>
        <w:t xml:space="preserve"> </w:t>
      </w:r>
      <w:r>
        <w:rPr>
          <w:rFonts w:hint="eastAsia"/>
          <w:sz w:val="24"/>
          <w:szCs w:val="24"/>
        </w:rPr>
        <w:t>释</w:t>
      </w:r>
      <w:r>
        <w:rPr>
          <w:rFonts w:hint="eastAsia"/>
          <w:sz w:val="24"/>
          <w:szCs w:val="24"/>
        </w:rPr>
        <w:t xml:space="preserve"> </w:t>
      </w:r>
      <w:bookmarkEnd w:id="19"/>
      <w:r>
        <w:rPr>
          <w:rFonts w:hint="eastAsia"/>
          <w:sz w:val="24"/>
          <w:szCs w:val="24"/>
        </w:rPr>
        <w:t>义</w:t>
      </w:r>
    </w:p>
    <w:p w14:paraId="5FC7DD2E"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在本招募说明书中，除非文意另有所指，下列词语或简称具有如下含义：</w:t>
      </w:r>
    </w:p>
    <w:p w14:paraId="117D2287" w14:textId="77777777" w:rsidR="00BE6383" w:rsidRPr="00232910" w:rsidRDefault="00BE6383" w:rsidP="00BE6383">
      <w:pPr>
        <w:spacing w:line="360" w:lineRule="auto"/>
        <w:ind w:firstLineChars="200" w:firstLine="420"/>
        <w:divId w:val="277690115"/>
        <w:rPr>
          <w:bCs/>
        </w:rPr>
      </w:pPr>
      <w:r w:rsidRPr="00232910">
        <w:rPr>
          <w:bCs/>
        </w:rPr>
        <w:t>1</w:t>
      </w:r>
      <w:r w:rsidRPr="00232910">
        <w:rPr>
          <w:bCs/>
        </w:rPr>
        <w:t>、基金或本基金：指</w:t>
      </w:r>
      <w:r w:rsidRPr="005D1CA0">
        <w:rPr>
          <w:rFonts w:hint="eastAsia"/>
          <w:bCs/>
        </w:rPr>
        <w:t>鹏华</w:t>
      </w:r>
      <w:r>
        <w:rPr>
          <w:rFonts w:hint="eastAsia"/>
          <w:bCs/>
        </w:rPr>
        <w:t>丰康</w:t>
      </w:r>
      <w:r w:rsidRPr="005D1CA0">
        <w:rPr>
          <w:rFonts w:hint="eastAsia"/>
          <w:bCs/>
        </w:rPr>
        <w:t>债券型</w:t>
      </w:r>
      <w:r w:rsidRPr="00232910">
        <w:rPr>
          <w:bCs/>
        </w:rPr>
        <w:t>证券投资基金</w:t>
      </w:r>
    </w:p>
    <w:p w14:paraId="08A24F57" w14:textId="77777777" w:rsidR="00BE6383" w:rsidRPr="00232910" w:rsidRDefault="00BE6383" w:rsidP="00BE6383">
      <w:pPr>
        <w:spacing w:line="360" w:lineRule="auto"/>
        <w:ind w:firstLineChars="200" w:firstLine="420"/>
        <w:divId w:val="277690115"/>
        <w:rPr>
          <w:bCs/>
        </w:rPr>
      </w:pPr>
      <w:r w:rsidRPr="00232910">
        <w:rPr>
          <w:bCs/>
        </w:rPr>
        <w:t>2</w:t>
      </w:r>
      <w:r w:rsidRPr="00232910">
        <w:rPr>
          <w:bCs/>
        </w:rPr>
        <w:t>、基金管理人：</w:t>
      </w:r>
      <w:r>
        <w:rPr>
          <w:rFonts w:hint="eastAsia"/>
          <w:bCs/>
        </w:rPr>
        <w:t>指</w:t>
      </w:r>
      <w:r w:rsidRPr="00286FE0">
        <w:rPr>
          <w:rFonts w:hint="eastAsia"/>
          <w:bCs/>
        </w:rPr>
        <w:t>鹏华基金管理有限公司</w:t>
      </w:r>
    </w:p>
    <w:p w14:paraId="55CA7C38" w14:textId="77777777" w:rsidR="00BE6383" w:rsidRPr="00232910" w:rsidRDefault="00BE6383" w:rsidP="00BE6383">
      <w:pPr>
        <w:spacing w:line="360" w:lineRule="auto"/>
        <w:ind w:firstLineChars="200" w:firstLine="420"/>
        <w:divId w:val="277690115"/>
        <w:rPr>
          <w:bCs/>
        </w:rPr>
      </w:pPr>
      <w:r w:rsidRPr="00232910">
        <w:rPr>
          <w:bCs/>
        </w:rPr>
        <w:t>3</w:t>
      </w:r>
      <w:r w:rsidRPr="00232910">
        <w:rPr>
          <w:bCs/>
        </w:rPr>
        <w:t>、基金托管人：指</w:t>
      </w:r>
      <w:r w:rsidRPr="005C540C">
        <w:rPr>
          <w:rFonts w:hint="eastAsia"/>
          <w:bCs/>
        </w:rPr>
        <w:t>上海浦东发展</w:t>
      </w:r>
      <w:r w:rsidRPr="00930511">
        <w:rPr>
          <w:rFonts w:hint="eastAsia"/>
          <w:bCs/>
        </w:rPr>
        <w:t>银行股份有限公司</w:t>
      </w:r>
    </w:p>
    <w:p w14:paraId="540C5259" w14:textId="77777777" w:rsidR="00BE6383" w:rsidRPr="00232910" w:rsidRDefault="00BE6383" w:rsidP="00BE6383">
      <w:pPr>
        <w:spacing w:line="360" w:lineRule="auto"/>
        <w:ind w:firstLineChars="200" w:firstLine="420"/>
        <w:divId w:val="277690115"/>
        <w:rPr>
          <w:bCs/>
        </w:rPr>
      </w:pPr>
      <w:r w:rsidRPr="00232910">
        <w:rPr>
          <w:bCs/>
        </w:rPr>
        <w:t>4</w:t>
      </w:r>
      <w:r w:rsidRPr="00232910">
        <w:rPr>
          <w:bCs/>
        </w:rPr>
        <w:t>、基金合同或本基金合同：指《</w:t>
      </w:r>
      <w:r w:rsidRPr="005D1CA0">
        <w:rPr>
          <w:rFonts w:hint="eastAsia"/>
          <w:bCs/>
        </w:rPr>
        <w:t>鹏华</w:t>
      </w:r>
      <w:r>
        <w:rPr>
          <w:rFonts w:hint="eastAsia"/>
          <w:bCs/>
        </w:rPr>
        <w:t>丰康</w:t>
      </w:r>
      <w:r w:rsidRPr="005D1CA0">
        <w:rPr>
          <w:rFonts w:hint="eastAsia"/>
          <w:bCs/>
        </w:rPr>
        <w:t>债券型</w:t>
      </w:r>
      <w:r w:rsidRPr="00232910">
        <w:rPr>
          <w:bCs/>
        </w:rPr>
        <w:t>证券投资基金基金合同》及对本基金合同的任何有效修订和补充</w:t>
      </w:r>
    </w:p>
    <w:p w14:paraId="77C010A5" w14:textId="77777777" w:rsidR="00BE6383" w:rsidRPr="00232910" w:rsidRDefault="00BE6383" w:rsidP="00BE6383">
      <w:pPr>
        <w:spacing w:line="360" w:lineRule="auto"/>
        <w:ind w:firstLineChars="200" w:firstLine="420"/>
        <w:divId w:val="277690115"/>
        <w:rPr>
          <w:bCs/>
        </w:rPr>
      </w:pPr>
      <w:r w:rsidRPr="00232910">
        <w:rPr>
          <w:bCs/>
        </w:rPr>
        <w:t>5</w:t>
      </w:r>
      <w:r w:rsidRPr="00232910">
        <w:rPr>
          <w:bCs/>
        </w:rPr>
        <w:t>、托管协议：指基金管理人与基金托管人就本基金签订之《</w:t>
      </w:r>
      <w:r w:rsidRPr="005D1CA0">
        <w:rPr>
          <w:rFonts w:hint="eastAsia"/>
          <w:bCs/>
        </w:rPr>
        <w:t>鹏华</w:t>
      </w:r>
      <w:r>
        <w:rPr>
          <w:rFonts w:hint="eastAsia"/>
          <w:bCs/>
        </w:rPr>
        <w:t>丰康</w:t>
      </w:r>
      <w:r w:rsidRPr="005D1CA0">
        <w:rPr>
          <w:rFonts w:hint="eastAsia"/>
          <w:bCs/>
        </w:rPr>
        <w:t>债券型</w:t>
      </w:r>
      <w:r w:rsidRPr="00232910">
        <w:rPr>
          <w:bCs/>
        </w:rPr>
        <w:t>证券投资基金托管协议》及对该托管协议的任何有效修订和补充</w:t>
      </w:r>
    </w:p>
    <w:p w14:paraId="1E4B94DC" w14:textId="77777777" w:rsidR="00BE6383" w:rsidRPr="00232910" w:rsidRDefault="00BE6383" w:rsidP="00BE6383">
      <w:pPr>
        <w:spacing w:line="360" w:lineRule="auto"/>
        <w:ind w:firstLineChars="200" w:firstLine="420"/>
        <w:divId w:val="277690115"/>
        <w:rPr>
          <w:bCs/>
        </w:rPr>
      </w:pPr>
      <w:r w:rsidRPr="00232910">
        <w:rPr>
          <w:bCs/>
        </w:rPr>
        <w:t>6</w:t>
      </w:r>
      <w:r w:rsidRPr="00232910">
        <w:rPr>
          <w:bCs/>
        </w:rPr>
        <w:t>、招募说明书：指《</w:t>
      </w:r>
      <w:r w:rsidRPr="005D1CA0">
        <w:rPr>
          <w:rFonts w:hint="eastAsia"/>
          <w:bCs/>
        </w:rPr>
        <w:t>鹏华</w:t>
      </w:r>
      <w:r>
        <w:rPr>
          <w:rFonts w:hint="eastAsia"/>
          <w:bCs/>
        </w:rPr>
        <w:t>丰康</w:t>
      </w:r>
      <w:r w:rsidRPr="005D1CA0">
        <w:rPr>
          <w:rFonts w:hint="eastAsia"/>
          <w:bCs/>
        </w:rPr>
        <w:t>债券型</w:t>
      </w:r>
      <w:r w:rsidRPr="00232910">
        <w:rPr>
          <w:bCs/>
        </w:rPr>
        <w:t>证券投资基金招募说明书》及其更新</w:t>
      </w:r>
    </w:p>
    <w:p w14:paraId="549A8CC5" w14:textId="77777777" w:rsidR="00BE6383" w:rsidRPr="00232910" w:rsidRDefault="00BE6383" w:rsidP="00BE6383">
      <w:pPr>
        <w:spacing w:line="360" w:lineRule="auto"/>
        <w:ind w:firstLineChars="200" w:firstLine="420"/>
        <w:divId w:val="277690115"/>
        <w:rPr>
          <w:bCs/>
        </w:rPr>
      </w:pPr>
      <w:r w:rsidRPr="00232910">
        <w:rPr>
          <w:bCs/>
        </w:rPr>
        <w:t>7</w:t>
      </w:r>
      <w:r w:rsidRPr="00232910">
        <w:rPr>
          <w:bCs/>
        </w:rPr>
        <w:t>、基金份额发售公告：指《</w:t>
      </w:r>
      <w:r w:rsidRPr="005D1CA0">
        <w:rPr>
          <w:rFonts w:hint="eastAsia"/>
          <w:bCs/>
        </w:rPr>
        <w:t>鹏华</w:t>
      </w:r>
      <w:r>
        <w:rPr>
          <w:rFonts w:hint="eastAsia"/>
          <w:bCs/>
        </w:rPr>
        <w:t>丰康</w:t>
      </w:r>
      <w:r w:rsidRPr="005D1CA0">
        <w:rPr>
          <w:rFonts w:hint="eastAsia"/>
          <w:bCs/>
        </w:rPr>
        <w:t>债券型</w:t>
      </w:r>
      <w:r w:rsidRPr="00232910">
        <w:rPr>
          <w:bCs/>
        </w:rPr>
        <w:t>证券投资基金基金份额发售公告》</w:t>
      </w:r>
    </w:p>
    <w:p w14:paraId="48173B08" w14:textId="77777777" w:rsidR="00BE6383" w:rsidRPr="00232910" w:rsidRDefault="00BE6383" w:rsidP="00BE6383">
      <w:pPr>
        <w:spacing w:line="360" w:lineRule="auto"/>
        <w:ind w:firstLineChars="200" w:firstLine="420"/>
        <w:divId w:val="277690115"/>
        <w:rPr>
          <w:bCs/>
        </w:rPr>
      </w:pPr>
      <w:r w:rsidRPr="00232910">
        <w:rPr>
          <w:bCs/>
        </w:rPr>
        <w:lastRenderedPageBreak/>
        <w:t>8</w:t>
      </w:r>
      <w:r w:rsidRPr="00232910">
        <w:rPr>
          <w:bCs/>
        </w:rPr>
        <w:t>、法律法规：指中国现行有效并公布实施的法律、行政法规、规范性文件、司法解释、行政规章以及其他对基金合同当事人有约束力的决定、决议、通知等</w:t>
      </w:r>
    </w:p>
    <w:p w14:paraId="3E40771A" w14:textId="77777777" w:rsidR="00BE6383" w:rsidRPr="006663C9" w:rsidRDefault="00BE6383" w:rsidP="00BE6383">
      <w:pPr>
        <w:spacing w:line="360" w:lineRule="auto"/>
        <w:ind w:firstLineChars="200" w:firstLine="420"/>
        <w:divId w:val="277690115"/>
        <w:rPr>
          <w:bCs/>
        </w:rPr>
      </w:pPr>
      <w:r w:rsidRPr="00232910">
        <w:rPr>
          <w:bCs/>
        </w:rPr>
        <w:t>9</w:t>
      </w:r>
      <w:r w:rsidRPr="00232910">
        <w:rPr>
          <w:bCs/>
        </w:rPr>
        <w:t>、《基金法》：指</w:t>
      </w:r>
      <w:r w:rsidRPr="00232910">
        <w:rPr>
          <w:bCs/>
        </w:rPr>
        <w:t>2003</w:t>
      </w:r>
      <w:r w:rsidRPr="00232910">
        <w:rPr>
          <w:bCs/>
        </w:rPr>
        <w:t>年</w:t>
      </w:r>
      <w:r w:rsidRPr="00232910">
        <w:rPr>
          <w:bCs/>
        </w:rPr>
        <w:t>10</w:t>
      </w:r>
      <w:r w:rsidRPr="00232910">
        <w:rPr>
          <w:bCs/>
        </w:rPr>
        <w:t>月</w:t>
      </w:r>
      <w:r w:rsidRPr="00232910">
        <w:rPr>
          <w:bCs/>
        </w:rPr>
        <w:t>28</w:t>
      </w:r>
      <w:r w:rsidRPr="00232910">
        <w:rPr>
          <w:bCs/>
        </w:rPr>
        <w:t>日经第十届全国人民代表大会常务委员会第五次会议</w:t>
      </w:r>
      <w:r w:rsidRPr="006663C9">
        <w:rPr>
          <w:bCs/>
        </w:rPr>
        <w:t>通过，并经</w:t>
      </w:r>
      <w:r w:rsidRPr="006663C9">
        <w:rPr>
          <w:bCs/>
        </w:rPr>
        <w:t>2012</w:t>
      </w:r>
      <w:r w:rsidRPr="006663C9">
        <w:rPr>
          <w:bCs/>
        </w:rPr>
        <w:t>年</w:t>
      </w:r>
      <w:r w:rsidRPr="006663C9">
        <w:rPr>
          <w:bCs/>
        </w:rPr>
        <w:t>12</w:t>
      </w:r>
      <w:r w:rsidRPr="006663C9">
        <w:rPr>
          <w:bCs/>
        </w:rPr>
        <w:t>月</w:t>
      </w:r>
      <w:r w:rsidRPr="006663C9">
        <w:rPr>
          <w:bCs/>
        </w:rPr>
        <w:t>28</w:t>
      </w:r>
      <w:r w:rsidRPr="006663C9">
        <w:rPr>
          <w:bCs/>
        </w:rPr>
        <w:t>日第十一届全国人民代表大会常务委员会第三十次会议修订</w:t>
      </w:r>
      <w:r w:rsidRPr="006663C9">
        <w:rPr>
          <w:rFonts w:hint="eastAsia"/>
          <w:bCs/>
        </w:rPr>
        <w:t>，自</w:t>
      </w:r>
      <w:r w:rsidRPr="006663C9">
        <w:rPr>
          <w:rFonts w:hint="eastAsia"/>
          <w:bCs/>
        </w:rPr>
        <w:t>2013</w:t>
      </w:r>
      <w:r w:rsidRPr="006663C9">
        <w:rPr>
          <w:rFonts w:hint="eastAsia"/>
          <w:bCs/>
        </w:rPr>
        <w:t>年</w:t>
      </w:r>
      <w:r w:rsidRPr="006663C9">
        <w:rPr>
          <w:rFonts w:hint="eastAsia"/>
          <w:bCs/>
        </w:rPr>
        <w:t>6</w:t>
      </w:r>
      <w:r w:rsidRPr="006663C9">
        <w:rPr>
          <w:rFonts w:hint="eastAsia"/>
          <w:bCs/>
        </w:rPr>
        <w:t>月</w:t>
      </w:r>
      <w:r w:rsidRPr="006663C9">
        <w:rPr>
          <w:rFonts w:hint="eastAsia"/>
          <w:bCs/>
        </w:rPr>
        <w:t>1</w:t>
      </w:r>
      <w:r w:rsidRPr="006663C9">
        <w:rPr>
          <w:rFonts w:hint="eastAsia"/>
          <w:bCs/>
        </w:rPr>
        <w:t>日起实施</w:t>
      </w:r>
      <w:r w:rsidRPr="001B16DE">
        <w:rPr>
          <w:rFonts w:hint="eastAsia"/>
          <w:bCs/>
        </w:rPr>
        <w:t>，并经</w:t>
      </w:r>
      <w:r w:rsidRPr="001B16DE">
        <w:rPr>
          <w:rFonts w:hint="eastAsia"/>
          <w:bCs/>
        </w:rPr>
        <w:t>2015</w:t>
      </w:r>
      <w:r w:rsidRPr="001B16DE">
        <w:rPr>
          <w:rFonts w:hint="eastAsia"/>
          <w:bCs/>
        </w:rPr>
        <w:t>年</w:t>
      </w:r>
      <w:r w:rsidRPr="001B16DE">
        <w:rPr>
          <w:rFonts w:hint="eastAsia"/>
          <w:bCs/>
        </w:rPr>
        <w:t>4</w:t>
      </w:r>
      <w:r w:rsidRPr="001B16DE">
        <w:rPr>
          <w:rFonts w:hint="eastAsia"/>
          <w:bCs/>
        </w:rPr>
        <w:t>月</w:t>
      </w:r>
      <w:r w:rsidRPr="001B16DE">
        <w:rPr>
          <w:rFonts w:hint="eastAsia"/>
          <w:bCs/>
        </w:rPr>
        <w:t>24</w:t>
      </w:r>
      <w:r w:rsidRPr="001B16DE">
        <w:rPr>
          <w:rFonts w:hint="eastAsia"/>
          <w:bCs/>
        </w:rPr>
        <w:t>日第十二届全国人民代表大会常务委员会第十四次会议《全国人民代表大会常务委员会关于修改</w:t>
      </w:r>
      <w:r w:rsidRPr="001B16DE">
        <w:rPr>
          <w:rFonts w:hint="eastAsia"/>
          <w:bCs/>
        </w:rPr>
        <w:t>&lt;</w:t>
      </w:r>
      <w:r w:rsidRPr="001B16DE">
        <w:rPr>
          <w:rFonts w:hint="eastAsia"/>
          <w:bCs/>
        </w:rPr>
        <w:t>中华人民共和国港口法</w:t>
      </w:r>
      <w:r w:rsidRPr="001B16DE">
        <w:rPr>
          <w:rFonts w:hint="eastAsia"/>
          <w:bCs/>
        </w:rPr>
        <w:t>&gt;</w:t>
      </w:r>
      <w:r w:rsidRPr="001B16DE">
        <w:rPr>
          <w:rFonts w:hint="eastAsia"/>
          <w:bCs/>
        </w:rPr>
        <w:t>等七部法律的决定》修改</w:t>
      </w:r>
      <w:r w:rsidRPr="006663C9">
        <w:rPr>
          <w:bCs/>
        </w:rPr>
        <w:t>的《中华人民共和国证券投资基金法》及颁布机关对其不时做出的修订</w:t>
      </w:r>
    </w:p>
    <w:p w14:paraId="4A25E814" w14:textId="77777777" w:rsidR="00BE6383" w:rsidRPr="00232910" w:rsidRDefault="00BE6383" w:rsidP="00BE6383">
      <w:pPr>
        <w:spacing w:line="360" w:lineRule="auto"/>
        <w:ind w:firstLineChars="200" w:firstLine="420"/>
        <w:divId w:val="277690115"/>
        <w:rPr>
          <w:bCs/>
        </w:rPr>
      </w:pPr>
      <w:r w:rsidRPr="006663C9">
        <w:rPr>
          <w:bCs/>
        </w:rPr>
        <w:t>10</w:t>
      </w:r>
      <w:r w:rsidRPr="006663C9">
        <w:rPr>
          <w:bCs/>
        </w:rPr>
        <w:t>、《销售办法》：指中国证监会</w:t>
      </w:r>
      <w:r w:rsidRPr="006663C9">
        <w:rPr>
          <w:bCs/>
        </w:rPr>
        <w:t>2013</w:t>
      </w:r>
      <w:r w:rsidRPr="006663C9">
        <w:rPr>
          <w:bCs/>
        </w:rPr>
        <w:t>年</w:t>
      </w:r>
      <w:r w:rsidRPr="006663C9">
        <w:rPr>
          <w:bCs/>
        </w:rPr>
        <w:t>3</w:t>
      </w:r>
      <w:r w:rsidRPr="006663C9">
        <w:rPr>
          <w:bCs/>
        </w:rPr>
        <w:t>月</w:t>
      </w:r>
      <w:r w:rsidRPr="006663C9">
        <w:rPr>
          <w:bCs/>
        </w:rPr>
        <w:t>15</w:t>
      </w:r>
      <w:r w:rsidRPr="006663C9">
        <w:rPr>
          <w:bCs/>
        </w:rPr>
        <w:t>日</w:t>
      </w:r>
      <w:r>
        <w:rPr>
          <w:rFonts w:hint="eastAsia"/>
          <w:bCs/>
        </w:rPr>
        <w:t>颁布、同年</w:t>
      </w:r>
      <w:r>
        <w:rPr>
          <w:rFonts w:hint="eastAsia"/>
          <w:bCs/>
        </w:rPr>
        <w:t>6</w:t>
      </w:r>
      <w:r>
        <w:rPr>
          <w:rFonts w:hint="eastAsia"/>
          <w:bCs/>
        </w:rPr>
        <w:t>月</w:t>
      </w:r>
      <w:r>
        <w:rPr>
          <w:rFonts w:hint="eastAsia"/>
          <w:bCs/>
        </w:rPr>
        <w:t>1</w:t>
      </w:r>
      <w:r>
        <w:rPr>
          <w:rFonts w:hint="eastAsia"/>
          <w:bCs/>
        </w:rPr>
        <w:t>日</w:t>
      </w:r>
      <w:r w:rsidRPr="006663C9">
        <w:rPr>
          <w:bCs/>
        </w:rPr>
        <w:t>实施的《证券投</w:t>
      </w:r>
      <w:r w:rsidRPr="00232910">
        <w:rPr>
          <w:bCs/>
        </w:rPr>
        <w:t>资基金销售管理办法》及颁布机关对其不时做出的修订</w:t>
      </w:r>
    </w:p>
    <w:p w14:paraId="2B45139F" w14:textId="77777777" w:rsidR="00BE6383" w:rsidRPr="00232910" w:rsidRDefault="00BE6383" w:rsidP="00BE6383">
      <w:pPr>
        <w:spacing w:line="360" w:lineRule="auto"/>
        <w:ind w:firstLineChars="200" w:firstLine="420"/>
        <w:divId w:val="277690115"/>
        <w:rPr>
          <w:bCs/>
        </w:rPr>
      </w:pPr>
      <w:r w:rsidRPr="00232910">
        <w:rPr>
          <w:bCs/>
        </w:rPr>
        <w:t>11</w:t>
      </w:r>
      <w:r w:rsidRPr="00232910">
        <w:rPr>
          <w:bCs/>
        </w:rPr>
        <w:t>、《信息披露办法》：</w:t>
      </w:r>
      <w:r w:rsidRPr="00B21DF0">
        <w:rPr>
          <w:bCs/>
        </w:rPr>
        <w:t>指中国证监会</w:t>
      </w:r>
      <w:r w:rsidRPr="00B21DF0">
        <w:rPr>
          <w:bCs/>
        </w:rPr>
        <w:t>2019</w:t>
      </w:r>
      <w:r w:rsidRPr="00B21DF0">
        <w:rPr>
          <w:bCs/>
        </w:rPr>
        <w:t>年</w:t>
      </w:r>
      <w:r w:rsidRPr="00B21DF0">
        <w:rPr>
          <w:bCs/>
        </w:rPr>
        <w:t>7</w:t>
      </w:r>
      <w:r w:rsidRPr="00B21DF0">
        <w:rPr>
          <w:bCs/>
        </w:rPr>
        <w:t>月</w:t>
      </w:r>
      <w:r w:rsidRPr="00B21DF0">
        <w:rPr>
          <w:bCs/>
        </w:rPr>
        <w:t>26</w:t>
      </w:r>
      <w:r w:rsidRPr="00B21DF0">
        <w:rPr>
          <w:bCs/>
        </w:rPr>
        <w:t>日颁布、同年</w:t>
      </w:r>
      <w:r w:rsidRPr="00B21DF0">
        <w:rPr>
          <w:bCs/>
        </w:rPr>
        <w:t>9</w:t>
      </w:r>
      <w:r w:rsidRPr="00B21DF0">
        <w:rPr>
          <w:bCs/>
        </w:rPr>
        <w:t>月</w:t>
      </w:r>
      <w:r w:rsidRPr="00B21DF0">
        <w:rPr>
          <w:bCs/>
        </w:rPr>
        <w:t>1</w:t>
      </w:r>
      <w:r w:rsidRPr="00B21DF0">
        <w:rPr>
          <w:bCs/>
        </w:rPr>
        <w:t>日实施的《</w:t>
      </w:r>
      <w:r w:rsidRPr="00B21DF0">
        <w:rPr>
          <w:rFonts w:hint="eastAsia"/>
          <w:bCs/>
        </w:rPr>
        <w:t>公开募集</w:t>
      </w:r>
      <w:r w:rsidRPr="00B21DF0">
        <w:rPr>
          <w:bCs/>
        </w:rPr>
        <w:t>证券投资基金信息披露管理办法》及颁布机关对其不时做出的修订</w:t>
      </w:r>
    </w:p>
    <w:p w14:paraId="140E71C3" w14:textId="77777777" w:rsidR="00BE6383" w:rsidRPr="000B5B92" w:rsidRDefault="00BE6383" w:rsidP="00BE6383">
      <w:pPr>
        <w:spacing w:line="360" w:lineRule="auto"/>
        <w:ind w:firstLineChars="200" w:firstLine="420"/>
        <w:divId w:val="277690115"/>
        <w:rPr>
          <w:bCs/>
        </w:rPr>
      </w:pPr>
      <w:r w:rsidRPr="00232910">
        <w:rPr>
          <w:bCs/>
        </w:rPr>
        <w:t>12</w:t>
      </w:r>
      <w:r w:rsidRPr="00232910">
        <w:rPr>
          <w:bCs/>
        </w:rPr>
        <w:t>、《运作办法》：指中国证监会</w:t>
      </w:r>
      <w:r w:rsidRPr="00232910">
        <w:rPr>
          <w:bCs/>
        </w:rPr>
        <w:t>20</w:t>
      </w:r>
      <w:r>
        <w:rPr>
          <w:rFonts w:hint="eastAsia"/>
          <w:bCs/>
        </w:rPr>
        <w:t>1</w:t>
      </w:r>
      <w:r w:rsidRPr="00232910">
        <w:rPr>
          <w:bCs/>
        </w:rPr>
        <w:t>4</w:t>
      </w:r>
      <w:r w:rsidRPr="00232910">
        <w:rPr>
          <w:bCs/>
        </w:rPr>
        <w:t>年</w:t>
      </w:r>
      <w:r>
        <w:rPr>
          <w:rFonts w:hint="eastAsia"/>
          <w:bCs/>
        </w:rPr>
        <w:t>7</w:t>
      </w:r>
      <w:r w:rsidRPr="00232910">
        <w:rPr>
          <w:bCs/>
        </w:rPr>
        <w:t>月</w:t>
      </w:r>
      <w:r>
        <w:rPr>
          <w:rFonts w:hint="eastAsia"/>
          <w:bCs/>
        </w:rPr>
        <w:t>7</w:t>
      </w:r>
      <w:r w:rsidRPr="00232910">
        <w:rPr>
          <w:bCs/>
        </w:rPr>
        <w:t>日颁布、同年</w:t>
      </w:r>
      <w:r>
        <w:rPr>
          <w:rFonts w:hint="eastAsia"/>
          <w:bCs/>
        </w:rPr>
        <w:t>8</w:t>
      </w:r>
      <w:r w:rsidRPr="00232910">
        <w:rPr>
          <w:bCs/>
        </w:rPr>
        <w:t>月</w:t>
      </w:r>
      <w:r>
        <w:rPr>
          <w:rFonts w:hint="eastAsia"/>
          <w:bCs/>
        </w:rPr>
        <w:t>8</w:t>
      </w:r>
      <w:r w:rsidRPr="00232910">
        <w:rPr>
          <w:bCs/>
        </w:rPr>
        <w:t>日实施的《</w:t>
      </w:r>
      <w:r>
        <w:rPr>
          <w:rFonts w:hint="eastAsia"/>
          <w:bCs/>
        </w:rPr>
        <w:t>公开募集</w:t>
      </w:r>
      <w:r w:rsidRPr="00232910">
        <w:rPr>
          <w:bCs/>
        </w:rPr>
        <w:t>证券投资基金运作管理办法》及颁布机关对其不时做出的修订</w:t>
      </w:r>
    </w:p>
    <w:p w14:paraId="092F05C2" w14:textId="77777777" w:rsidR="00BE6383" w:rsidRPr="00232910" w:rsidRDefault="00BE6383" w:rsidP="00BE6383">
      <w:pPr>
        <w:spacing w:line="360" w:lineRule="auto"/>
        <w:ind w:firstLineChars="200" w:firstLine="420"/>
        <w:divId w:val="277690115"/>
        <w:rPr>
          <w:bCs/>
        </w:rPr>
      </w:pPr>
      <w:r w:rsidRPr="000B5B92">
        <w:rPr>
          <w:rFonts w:hint="eastAsia"/>
          <w:bCs/>
        </w:rPr>
        <w:t>13</w:t>
      </w:r>
      <w:r w:rsidRPr="000B5B92">
        <w:rPr>
          <w:rFonts w:hint="eastAsia"/>
          <w:bCs/>
        </w:rPr>
        <w:t>、《流动性规定》：指中国证监会</w:t>
      </w:r>
      <w:r w:rsidRPr="000B5B92">
        <w:rPr>
          <w:rFonts w:hint="eastAsia"/>
          <w:bCs/>
        </w:rPr>
        <w:t>2017</w:t>
      </w:r>
      <w:r w:rsidRPr="000B5B92">
        <w:rPr>
          <w:rFonts w:hint="eastAsia"/>
          <w:bCs/>
        </w:rPr>
        <w:t>年</w:t>
      </w:r>
      <w:r w:rsidRPr="000B5B92">
        <w:rPr>
          <w:rFonts w:hint="eastAsia"/>
          <w:bCs/>
        </w:rPr>
        <w:t>8</w:t>
      </w:r>
      <w:r w:rsidRPr="000B5B92">
        <w:rPr>
          <w:rFonts w:hint="eastAsia"/>
          <w:bCs/>
        </w:rPr>
        <w:t>月</w:t>
      </w:r>
      <w:r w:rsidRPr="000B5B92">
        <w:rPr>
          <w:rFonts w:hint="eastAsia"/>
          <w:bCs/>
        </w:rPr>
        <w:t>31</w:t>
      </w:r>
      <w:r w:rsidRPr="000B5B92">
        <w:rPr>
          <w:rFonts w:hint="eastAsia"/>
          <w:bCs/>
        </w:rPr>
        <w:t>日颁布、同年</w:t>
      </w:r>
      <w:r w:rsidRPr="000B5B92">
        <w:rPr>
          <w:rFonts w:hint="eastAsia"/>
          <w:bCs/>
        </w:rPr>
        <w:t>10</w:t>
      </w:r>
      <w:r w:rsidRPr="000B5B92">
        <w:rPr>
          <w:rFonts w:hint="eastAsia"/>
          <w:bCs/>
        </w:rPr>
        <w:t>月</w:t>
      </w:r>
      <w:r w:rsidRPr="000B5B92">
        <w:rPr>
          <w:rFonts w:hint="eastAsia"/>
          <w:bCs/>
        </w:rPr>
        <w:t>1</w:t>
      </w:r>
      <w:r w:rsidRPr="000B5B92">
        <w:rPr>
          <w:rFonts w:hint="eastAsia"/>
          <w:bCs/>
        </w:rPr>
        <w:t>日实施的《公开募集开放式证券投资基金流动性风险管理规定》及颁布机关对其不时做出的修订</w:t>
      </w:r>
    </w:p>
    <w:p w14:paraId="6BFC94A1" w14:textId="77777777" w:rsidR="00BE6383" w:rsidRPr="00232910" w:rsidRDefault="00BE6383" w:rsidP="00BE6383">
      <w:pPr>
        <w:spacing w:line="360" w:lineRule="auto"/>
        <w:ind w:firstLineChars="200" w:firstLine="420"/>
        <w:divId w:val="277690115"/>
        <w:rPr>
          <w:bCs/>
        </w:rPr>
      </w:pPr>
      <w:r w:rsidRPr="00232910">
        <w:rPr>
          <w:bCs/>
        </w:rPr>
        <w:t>1</w:t>
      </w:r>
      <w:r>
        <w:rPr>
          <w:bCs/>
        </w:rPr>
        <w:t>4</w:t>
      </w:r>
      <w:r w:rsidRPr="00232910">
        <w:rPr>
          <w:bCs/>
        </w:rPr>
        <w:t>、中国证监会：指中国证券监督管理委员会</w:t>
      </w:r>
    </w:p>
    <w:p w14:paraId="53DEC452" w14:textId="77777777" w:rsidR="00BE6383" w:rsidRPr="00232910" w:rsidRDefault="00BE6383" w:rsidP="00BE6383">
      <w:pPr>
        <w:spacing w:line="360" w:lineRule="auto"/>
        <w:ind w:firstLineChars="200" w:firstLine="420"/>
        <w:divId w:val="277690115"/>
        <w:rPr>
          <w:bCs/>
        </w:rPr>
      </w:pPr>
      <w:r w:rsidRPr="00232910">
        <w:rPr>
          <w:bCs/>
        </w:rPr>
        <w:t>1</w:t>
      </w:r>
      <w:r>
        <w:rPr>
          <w:bCs/>
        </w:rPr>
        <w:t>5</w:t>
      </w:r>
      <w:r w:rsidRPr="00232910">
        <w:rPr>
          <w:bCs/>
        </w:rPr>
        <w:t>、银行业监督管理机构：指中国人民银行和</w:t>
      </w:r>
      <w:r w:rsidRPr="00232910">
        <w:rPr>
          <w:bCs/>
        </w:rPr>
        <w:t>/</w:t>
      </w:r>
      <w:r w:rsidRPr="00232910">
        <w:rPr>
          <w:bCs/>
        </w:rPr>
        <w:t>或中国银行业监督管理委员会</w:t>
      </w:r>
    </w:p>
    <w:p w14:paraId="241E63EB" w14:textId="77777777" w:rsidR="00BE6383" w:rsidRPr="00232910" w:rsidRDefault="00BE6383" w:rsidP="00BE6383">
      <w:pPr>
        <w:spacing w:line="360" w:lineRule="auto"/>
        <w:ind w:firstLineChars="200" w:firstLine="420"/>
        <w:divId w:val="277690115"/>
        <w:rPr>
          <w:bCs/>
        </w:rPr>
      </w:pPr>
      <w:r w:rsidRPr="00232910">
        <w:rPr>
          <w:bCs/>
        </w:rPr>
        <w:t>1</w:t>
      </w:r>
      <w:r>
        <w:rPr>
          <w:bCs/>
        </w:rPr>
        <w:t>6</w:t>
      </w:r>
      <w:r w:rsidRPr="00232910">
        <w:rPr>
          <w:bCs/>
        </w:rPr>
        <w:t>、基金合同当事人：指受基金合同约束，根据基金合同享有权利并承担义务的法律主体，包括基金管理人、基金托管人和基金份额持有人</w:t>
      </w:r>
    </w:p>
    <w:p w14:paraId="3CEBF7F4" w14:textId="77777777" w:rsidR="00BE6383" w:rsidRPr="00232910" w:rsidRDefault="00BE6383" w:rsidP="00BE6383">
      <w:pPr>
        <w:spacing w:line="360" w:lineRule="auto"/>
        <w:ind w:firstLineChars="200" w:firstLine="420"/>
        <w:divId w:val="277690115"/>
        <w:rPr>
          <w:bCs/>
        </w:rPr>
      </w:pPr>
      <w:r w:rsidRPr="00232910">
        <w:rPr>
          <w:bCs/>
        </w:rPr>
        <w:t>1</w:t>
      </w:r>
      <w:r>
        <w:rPr>
          <w:bCs/>
        </w:rPr>
        <w:t>7</w:t>
      </w:r>
      <w:r w:rsidRPr="00232910">
        <w:rPr>
          <w:bCs/>
        </w:rPr>
        <w:t>、个人投资者：指依据有关法律法规规定可投资于证券投资基金的自然人</w:t>
      </w:r>
    </w:p>
    <w:p w14:paraId="43940D5A" w14:textId="77777777" w:rsidR="00BE6383" w:rsidRPr="00232910" w:rsidRDefault="00BE6383" w:rsidP="00BE6383">
      <w:pPr>
        <w:spacing w:line="360" w:lineRule="auto"/>
        <w:ind w:firstLineChars="200" w:firstLine="420"/>
        <w:divId w:val="277690115"/>
        <w:rPr>
          <w:bCs/>
        </w:rPr>
      </w:pPr>
      <w:r w:rsidRPr="00232910">
        <w:rPr>
          <w:bCs/>
        </w:rPr>
        <w:t>1</w:t>
      </w:r>
      <w:r>
        <w:rPr>
          <w:bCs/>
        </w:rPr>
        <w:t>8</w:t>
      </w:r>
      <w:r w:rsidRPr="00232910">
        <w:rPr>
          <w:bCs/>
        </w:rPr>
        <w:t>、机构投资者：指依法可以投资证券投资基金的、在中华人民共和国境内合法登记并存续或经有关政府部门批准设立并存续的企业法人、事业法人、社会团体或其他组织</w:t>
      </w:r>
    </w:p>
    <w:p w14:paraId="21D11B00" w14:textId="77777777" w:rsidR="00BE6383" w:rsidRPr="00232910" w:rsidRDefault="00BE6383" w:rsidP="00BE6383">
      <w:pPr>
        <w:spacing w:line="360" w:lineRule="auto"/>
        <w:ind w:firstLineChars="200" w:firstLine="420"/>
        <w:divId w:val="277690115"/>
        <w:rPr>
          <w:bCs/>
        </w:rPr>
      </w:pPr>
      <w:r w:rsidRPr="00232910">
        <w:rPr>
          <w:bCs/>
        </w:rPr>
        <w:t>1</w:t>
      </w:r>
      <w:r>
        <w:rPr>
          <w:bCs/>
        </w:rPr>
        <w:t>9</w:t>
      </w:r>
      <w:r w:rsidRPr="00232910">
        <w:rPr>
          <w:bCs/>
        </w:rPr>
        <w:t>、合格境外机构投资者：指符合《合格境外机构投资者境内证券投资管理办法》及相关法律法规规定可以投资于在中国境内依法募集的证券投资基金的中国境外的机构投资者</w:t>
      </w:r>
    </w:p>
    <w:p w14:paraId="6E0598A7" w14:textId="77777777" w:rsidR="00BE6383" w:rsidRPr="00232910" w:rsidRDefault="00BE6383" w:rsidP="00BE6383">
      <w:pPr>
        <w:spacing w:line="360" w:lineRule="auto"/>
        <w:ind w:firstLineChars="200" w:firstLine="420"/>
        <w:divId w:val="277690115"/>
        <w:rPr>
          <w:bCs/>
        </w:rPr>
      </w:pPr>
      <w:r>
        <w:rPr>
          <w:bCs/>
        </w:rPr>
        <w:t>20</w:t>
      </w:r>
      <w:r w:rsidRPr="00232910">
        <w:rPr>
          <w:bCs/>
        </w:rPr>
        <w:t>、投资人：指个人投资者、机构投资者和合格境外机构投资者以及法律法规或中国证监会允许购买证券投资基金的其他投资人的合称</w:t>
      </w:r>
    </w:p>
    <w:p w14:paraId="67BE2DB6" w14:textId="77777777" w:rsidR="00BE6383" w:rsidRPr="00232910" w:rsidRDefault="00BE6383" w:rsidP="00BE6383">
      <w:pPr>
        <w:spacing w:line="360" w:lineRule="auto"/>
        <w:ind w:firstLineChars="200" w:firstLine="420"/>
        <w:divId w:val="277690115"/>
        <w:rPr>
          <w:bCs/>
        </w:rPr>
      </w:pPr>
      <w:r w:rsidRPr="00232910">
        <w:rPr>
          <w:bCs/>
        </w:rPr>
        <w:t>2</w:t>
      </w:r>
      <w:r>
        <w:rPr>
          <w:bCs/>
        </w:rPr>
        <w:t>1</w:t>
      </w:r>
      <w:r w:rsidRPr="00232910">
        <w:rPr>
          <w:bCs/>
        </w:rPr>
        <w:t>、基金份额持有人：指依基金合同和招募说明书合法取得基金份额的投资人</w:t>
      </w:r>
    </w:p>
    <w:p w14:paraId="05EC8074" w14:textId="77777777" w:rsidR="00BE6383" w:rsidRPr="00232910" w:rsidRDefault="00BE6383" w:rsidP="00BE6383">
      <w:pPr>
        <w:spacing w:line="360" w:lineRule="auto"/>
        <w:ind w:firstLineChars="200" w:firstLine="420"/>
        <w:divId w:val="277690115"/>
        <w:rPr>
          <w:bCs/>
        </w:rPr>
      </w:pPr>
      <w:r w:rsidRPr="00232910">
        <w:rPr>
          <w:bCs/>
        </w:rPr>
        <w:t>2</w:t>
      </w:r>
      <w:r>
        <w:rPr>
          <w:bCs/>
        </w:rPr>
        <w:t>2</w:t>
      </w:r>
      <w:r w:rsidRPr="00232910">
        <w:rPr>
          <w:bCs/>
        </w:rPr>
        <w:t>、基金销售业务：指基金管理人或销售机构宣传推介基金，发售基金份额，办理基金份额的申购、赎回、转换、非交易过户、转托管及定期定额投资等业务</w:t>
      </w:r>
    </w:p>
    <w:p w14:paraId="5D0893BE" w14:textId="77777777" w:rsidR="00BE6383" w:rsidRPr="00232910" w:rsidRDefault="00BE6383" w:rsidP="00BE6383">
      <w:pPr>
        <w:spacing w:line="360" w:lineRule="auto"/>
        <w:ind w:firstLineChars="200" w:firstLine="420"/>
        <w:divId w:val="277690115"/>
        <w:rPr>
          <w:bCs/>
        </w:rPr>
      </w:pPr>
      <w:r w:rsidRPr="00232910">
        <w:rPr>
          <w:bCs/>
        </w:rPr>
        <w:t>2</w:t>
      </w:r>
      <w:r>
        <w:rPr>
          <w:bCs/>
        </w:rPr>
        <w:t>3</w:t>
      </w:r>
      <w:r w:rsidRPr="00232910">
        <w:rPr>
          <w:bCs/>
        </w:rPr>
        <w:t>、销售机构：指</w:t>
      </w:r>
      <w:r w:rsidRPr="008F2D76">
        <w:rPr>
          <w:rFonts w:hint="eastAsia"/>
          <w:bCs/>
        </w:rPr>
        <w:t>鹏华</w:t>
      </w:r>
      <w:r w:rsidRPr="008F2D76">
        <w:rPr>
          <w:rFonts w:hint="eastAsia"/>
        </w:rPr>
        <w:t>基金</w:t>
      </w:r>
      <w:r>
        <w:rPr>
          <w:rFonts w:hint="eastAsia"/>
        </w:rPr>
        <w:t>管理有限</w:t>
      </w:r>
      <w:r>
        <w:rPr>
          <w:rFonts w:hint="eastAsia"/>
          <w:bCs/>
        </w:rPr>
        <w:t>公司</w:t>
      </w:r>
      <w:r w:rsidRPr="00232910">
        <w:rPr>
          <w:bCs/>
        </w:rPr>
        <w:t>以及符合《销售办法》和中国证监会规定的其他条件，取得基金销售业务资格并与基金管理人签订了基金销售服务代理协议，代为办理基金销售业务的机构</w:t>
      </w:r>
    </w:p>
    <w:p w14:paraId="2D18C34E" w14:textId="77777777" w:rsidR="00BE6383" w:rsidRPr="00232910" w:rsidRDefault="00BE6383" w:rsidP="00BE6383">
      <w:pPr>
        <w:spacing w:line="360" w:lineRule="auto"/>
        <w:ind w:firstLineChars="200" w:firstLine="420"/>
        <w:divId w:val="277690115"/>
        <w:rPr>
          <w:bCs/>
        </w:rPr>
      </w:pPr>
      <w:r w:rsidRPr="00232910">
        <w:rPr>
          <w:bCs/>
        </w:rPr>
        <w:lastRenderedPageBreak/>
        <w:t>2</w:t>
      </w:r>
      <w:r>
        <w:rPr>
          <w:bCs/>
        </w:rPr>
        <w:t>4</w:t>
      </w:r>
      <w:r w:rsidRPr="00232910">
        <w:rPr>
          <w:bCs/>
        </w:rPr>
        <w:t>、登记业务：指基金登记、存管</w:t>
      </w:r>
      <w:r w:rsidRPr="005C4DB7">
        <w:rPr>
          <w:bCs/>
        </w:rPr>
        <w:t>、过户、清</w:t>
      </w:r>
      <w:r w:rsidRPr="00232910">
        <w:rPr>
          <w:bCs/>
        </w:rPr>
        <w:t>算和结算业务，具体内容包括投资人基金账户的建立和管理、基金份额登记、基金销售业务的确认、清算和结算、代理发放红利、建立并保管基金份额持有人名册和办理非交易过户等</w:t>
      </w:r>
    </w:p>
    <w:p w14:paraId="2A0954AA" w14:textId="77777777" w:rsidR="00BE6383" w:rsidRPr="00232910" w:rsidRDefault="00BE6383" w:rsidP="00BE6383">
      <w:pPr>
        <w:spacing w:line="360" w:lineRule="auto"/>
        <w:ind w:firstLineChars="200" w:firstLine="420"/>
        <w:divId w:val="277690115"/>
        <w:rPr>
          <w:bCs/>
        </w:rPr>
      </w:pPr>
      <w:r w:rsidRPr="00232910">
        <w:rPr>
          <w:bCs/>
        </w:rPr>
        <w:t>2</w:t>
      </w:r>
      <w:r>
        <w:rPr>
          <w:bCs/>
        </w:rPr>
        <w:t>5</w:t>
      </w:r>
      <w:r w:rsidRPr="00232910">
        <w:rPr>
          <w:bCs/>
        </w:rPr>
        <w:t>、登记机构：指办理登记业务的机构。基金的登记机构为</w:t>
      </w:r>
      <w:r w:rsidRPr="00D64A73">
        <w:rPr>
          <w:rFonts w:hint="eastAsia"/>
          <w:bCs/>
        </w:rPr>
        <w:t>鹏华基金管理有限公司</w:t>
      </w:r>
      <w:r w:rsidRPr="00232910">
        <w:rPr>
          <w:bCs/>
        </w:rPr>
        <w:t>或接受</w:t>
      </w:r>
      <w:r w:rsidRPr="00D64A73">
        <w:rPr>
          <w:rFonts w:hint="eastAsia"/>
          <w:bCs/>
        </w:rPr>
        <w:t>鹏华基金管理有限公司</w:t>
      </w:r>
      <w:r w:rsidRPr="00232910">
        <w:rPr>
          <w:bCs/>
        </w:rPr>
        <w:t>委托代为办理登记业务的机构</w:t>
      </w:r>
    </w:p>
    <w:p w14:paraId="4301C29E" w14:textId="77777777" w:rsidR="00BE6383" w:rsidRPr="00232910" w:rsidRDefault="00BE6383" w:rsidP="00BE6383">
      <w:pPr>
        <w:spacing w:line="360" w:lineRule="auto"/>
        <w:ind w:firstLineChars="200" w:firstLine="420"/>
        <w:divId w:val="277690115"/>
        <w:rPr>
          <w:bCs/>
        </w:rPr>
      </w:pPr>
      <w:r w:rsidRPr="00232910">
        <w:rPr>
          <w:bCs/>
        </w:rPr>
        <w:t>2</w:t>
      </w:r>
      <w:r>
        <w:rPr>
          <w:bCs/>
        </w:rPr>
        <w:t>6</w:t>
      </w:r>
      <w:r w:rsidRPr="00232910">
        <w:rPr>
          <w:bCs/>
        </w:rPr>
        <w:t>、基金账户：指登记机构为投资人开立的、记录其持有的、基金管理人所管理的基金份额余额及其变动情况的账户</w:t>
      </w:r>
    </w:p>
    <w:p w14:paraId="3593FE77" w14:textId="77777777" w:rsidR="00BE6383" w:rsidRPr="00232910" w:rsidRDefault="00BE6383" w:rsidP="00BE6383">
      <w:pPr>
        <w:spacing w:line="360" w:lineRule="auto"/>
        <w:ind w:firstLineChars="200" w:firstLine="420"/>
        <w:divId w:val="277690115"/>
        <w:rPr>
          <w:bCs/>
        </w:rPr>
      </w:pPr>
      <w:r w:rsidRPr="00E33DEB">
        <w:rPr>
          <w:bCs/>
        </w:rPr>
        <w:t>2</w:t>
      </w:r>
      <w:r>
        <w:rPr>
          <w:bCs/>
        </w:rPr>
        <w:t>7</w:t>
      </w:r>
      <w:r w:rsidRPr="00E33DEB">
        <w:rPr>
          <w:bCs/>
        </w:rPr>
        <w:t>、基金交易账户：指销售机构为投资人开立的、记录投资人通过该销售机构</w:t>
      </w:r>
      <w:r w:rsidRPr="00E33DEB">
        <w:rPr>
          <w:rFonts w:hint="eastAsia"/>
          <w:bCs/>
        </w:rPr>
        <w:t>办理认购、申购、赎回、转换及转托管等业务而引起</w:t>
      </w:r>
      <w:r w:rsidRPr="00E33DEB">
        <w:rPr>
          <w:bCs/>
        </w:rPr>
        <w:t>的基金份额变动及结余情况的账户</w:t>
      </w:r>
    </w:p>
    <w:p w14:paraId="0995F79F" w14:textId="77777777" w:rsidR="00BE6383" w:rsidRPr="00232910" w:rsidRDefault="00BE6383" w:rsidP="00BE6383">
      <w:pPr>
        <w:spacing w:line="360" w:lineRule="auto"/>
        <w:ind w:firstLineChars="200" w:firstLine="420"/>
        <w:divId w:val="277690115"/>
        <w:rPr>
          <w:bCs/>
        </w:rPr>
      </w:pPr>
      <w:r w:rsidRPr="00232910">
        <w:rPr>
          <w:bCs/>
        </w:rPr>
        <w:t>2</w:t>
      </w:r>
      <w:r>
        <w:rPr>
          <w:bCs/>
        </w:rPr>
        <w:t>8</w:t>
      </w:r>
      <w:r w:rsidRPr="00232910">
        <w:rPr>
          <w:bCs/>
        </w:rPr>
        <w:t>、基金合同生效日：指基金募集达到法律法规规定及基金合同规定的条件，基金管理人向中国证监会办理基金备案手续完毕，并获得中国证监会书面确认的日期</w:t>
      </w:r>
    </w:p>
    <w:p w14:paraId="594940D0" w14:textId="77777777" w:rsidR="00BE6383" w:rsidRPr="00232910" w:rsidRDefault="00BE6383" w:rsidP="00BE6383">
      <w:pPr>
        <w:spacing w:line="360" w:lineRule="auto"/>
        <w:ind w:firstLineChars="200" w:firstLine="420"/>
        <w:divId w:val="277690115"/>
        <w:rPr>
          <w:bCs/>
        </w:rPr>
      </w:pPr>
      <w:r w:rsidRPr="00232910">
        <w:rPr>
          <w:bCs/>
        </w:rPr>
        <w:t>2</w:t>
      </w:r>
      <w:r>
        <w:rPr>
          <w:bCs/>
        </w:rPr>
        <w:t>9</w:t>
      </w:r>
      <w:r w:rsidRPr="00232910">
        <w:rPr>
          <w:bCs/>
        </w:rPr>
        <w:t>、基金合同终止日：指基金合同规定的基金合同终止事由出现后，基金财产清算完毕，清算结果报中国证监会备案并予以公告的日期</w:t>
      </w:r>
    </w:p>
    <w:p w14:paraId="6A485249" w14:textId="77777777" w:rsidR="00BE6383" w:rsidRPr="00232910" w:rsidRDefault="00BE6383" w:rsidP="00BE6383">
      <w:pPr>
        <w:spacing w:line="360" w:lineRule="auto"/>
        <w:ind w:firstLineChars="200" w:firstLine="420"/>
        <w:divId w:val="277690115"/>
        <w:rPr>
          <w:bCs/>
        </w:rPr>
      </w:pPr>
      <w:r>
        <w:rPr>
          <w:bCs/>
        </w:rPr>
        <w:t>30</w:t>
      </w:r>
      <w:r w:rsidRPr="00232910">
        <w:rPr>
          <w:bCs/>
        </w:rPr>
        <w:t>、基金募集期：指自基金份额发售之日起至发售结束之日止的期间，最长不得超过</w:t>
      </w:r>
      <w:r w:rsidRPr="003036B7">
        <w:rPr>
          <w:rFonts w:hint="eastAsia"/>
          <w:bCs/>
        </w:rPr>
        <w:t>3</w:t>
      </w:r>
      <w:r w:rsidRPr="00232910">
        <w:rPr>
          <w:bCs/>
        </w:rPr>
        <w:t>个月</w:t>
      </w:r>
    </w:p>
    <w:p w14:paraId="7389BBD8" w14:textId="77777777" w:rsidR="00BE6383" w:rsidRPr="00232910" w:rsidRDefault="00BE6383" w:rsidP="00BE6383">
      <w:pPr>
        <w:spacing w:line="360" w:lineRule="auto"/>
        <w:ind w:firstLineChars="200" w:firstLine="420"/>
        <w:divId w:val="277690115"/>
        <w:rPr>
          <w:bCs/>
        </w:rPr>
      </w:pPr>
      <w:r w:rsidRPr="00232910">
        <w:rPr>
          <w:bCs/>
        </w:rPr>
        <w:t>3</w:t>
      </w:r>
      <w:r>
        <w:rPr>
          <w:bCs/>
        </w:rPr>
        <w:t>1</w:t>
      </w:r>
      <w:r w:rsidRPr="00232910">
        <w:rPr>
          <w:bCs/>
        </w:rPr>
        <w:t>、存续期：指基金合同生效至终止之间的不定期期限</w:t>
      </w:r>
    </w:p>
    <w:p w14:paraId="05F83AF1" w14:textId="77777777" w:rsidR="00BE6383" w:rsidRPr="00232910" w:rsidRDefault="00BE6383" w:rsidP="00BE6383">
      <w:pPr>
        <w:spacing w:line="360" w:lineRule="auto"/>
        <w:ind w:firstLineChars="200" w:firstLine="420"/>
        <w:divId w:val="277690115"/>
        <w:rPr>
          <w:bCs/>
        </w:rPr>
      </w:pPr>
      <w:r w:rsidRPr="00232910">
        <w:rPr>
          <w:bCs/>
        </w:rPr>
        <w:t>3</w:t>
      </w:r>
      <w:r>
        <w:rPr>
          <w:bCs/>
        </w:rPr>
        <w:t>2</w:t>
      </w:r>
      <w:r w:rsidRPr="00232910">
        <w:rPr>
          <w:bCs/>
        </w:rPr>
        <w:t>、工作日：指上海证券交易所、深圳证券交易所的正常交易日</w:t>
      </w:r>
    </w:p>
    <w:p w14:paraId="1EF9F191" w14:textId="77777777" w:rsidR="00BE6383" w:rsidRPr="00232910" w:rsidRDefault="00BE6383" w:rsidP="00BE6383">
      <w:pPr>
        <w:spacing w:line="360" w:lineRule="auto"/>
        <w:ind w:firstLineChars="200" w:firstLine="420"/>
        <w:divId w:val="277690115"/>
        <w:rPr>
          <w:bCs/>
        </w:rPr>
      </w:pPr>
      <w:r w:rsidRPr="00232910">
        <w:rPr>
          <w:bCs/>
        </w:rPr>
        <w:t>3</w:t>
      </w:r>
      <w:r>
        <w:rPr>
          <w:bCs/>
        </w:rPr>
        <w:t>3</w:t>
      </w:r>
      <w:r w:rsidRPr="00232910">
        <w:rPr>
          <w:bCs/>
        </w:rPr>
        <w:t>、</w:t>
      </w:r>
      <w:r w:rsidRPr="00232910">
        <w:rPr>
          <w:bCs/>
        </w:rPr>
        <w:t>T</w:t>
      </w:r>
      <w:r w:rsidRPr="00232910">
        <w:rPr>
          <w:bCs/>
        </w:rPr>
        <w:t>日：指销售机构在规定时间受理投资人申购、赎回或其他业务申请的开放日</w:t>
      </w:r>
    </w:p>
    <w:p w14:paraId="75B4FC1F" w14:textId="77777777" w:rsidR="00BE6383" w:rsidRPr="00232910" w:rsidRDefault="00BE6383" w:rsidP="00BE6383">
      <w:pPr>
        <w:spacing w:line="360" w:lineRule="auto"/>
        <w:ind w:firstLineChars="200" w:firstLine="420"/>
        <w:divId w:val="277690115"/>
        <w:rPr>
          <w:bCs/>
        </w:rPr>
      </w:pPr>
      <w:r w:rsidRPr="00232910">
        <w:rPr>
          <w:bCs/>
        </w:rPr>
        <w:t>3</w:t>
      </w:r>
      <w:r>
        <w:rPr>
          <w:bCs/>
        </w:rPr>
        <w:t>4</w:t>
      </w:r>
      <w:r w:rsidRPr="00232910">
        <w:rPr>
          <w:bCs/>
        </w:rPr>
        <w:t>、</w:t>
      </w:r>
      <w:r w:rsidRPr="00232910">
        <w:rPr>
          <w:bCs/>
        </w:rPr>
        <w:t>T+n</w:t>
      </w:r>
      <w:r w:rsidRPr="00232910">
        <w:rPr>
          <w:bCs/>
        </w:rPr>
        <w:t>日：指自</w:t>
      </w:r>
      <w:r w:rsidRPr="00232910">
        <w:rPr>
          <w:bCs/>
        </w:rPr>
        <w:t>T</w:t>
      </w:r>
      <w:r w:rsidRPr="00232910">
        <w:rPr>
          <w:bCs/>
        </w:rPr>
        <w:t>日起第</w:t>
      </w:r>
      <w:r w:rsidRPr="00232910">
        <w:rPr>
          <w:bCs/>
        </w:rPr>
        <w:t>n</w:t>
      </w:r>
      <w:r w:rsidRPr="00232910">
        <w:rPr>
          <w:bCs/>
        </w:rPr>
        <w:t>个工作日</w:t>
      </w:r>
      <w:r>
        <w:rPr>
          <w:rFonts w:hint="eastAsia"/>
          <w:bCs/>
        </w:rPr>
        <w:t>（</w:t>
      </w:r>
      <w:r w:rsidRPr="00232910">
        <w:rPr>
          <w:bCs/>
        </w:rPr>
        <w:t>不包含</w:t>
      </w:r>
      <w:r w:rsidRPr="00232910">
        <w:rPr>
          <w:bCs/>
        </w:rPr>
        <w:t>T</w:t>
      </w:r>
      <w:r w:rsidRPr="00232910">
        <w:rPr>
          <w:bCs/>
        </w:rPr>
        <w:t>日</w:t>
      </w:r>
      <w:r>
        <w:rPr>
          <w:rFonts w:hint="eastAsia"/>
          <w:bCs/>
        </w:rPr>
        <w:t>）</w:t>
      </w:r>
    </w:p>
    <w:p w14:paraId="3B393729" w14:textId="77777777" w:rsidR="00BE6383" w:rsidRPr="00232910" w:rsidRDefault="00BE6383" w:rsidP="00BE6383">
      <w:pPr>
        <w:spacing w:line="360" w:lineRule="auto"/>
        <w:ind w:firstLineChars="200" w:firstLine="420"/>
        <w:divId w:val="277690115"/>
        <w:rPr>
          <w:bCs/>
        </w:rPr>
      </w:pPr>
      <w:r w:rsidRPr="00232910">
        <w:rPr>
          <w:bCs/>
        </w:rPr>
        <w:t>3</w:t>
      </w:r>
      <w:r>
        <w:rPr>
          <w:bCs/>
        </w:rPr>
        <w:t>5</w:t>
      </w:r>
      <w:r w:rsidRPr="00232910">
        <w:rPr>
          <w:bCs/>
        </w:rPr>
        <w:t>、开放日：指为投资人办理基金份额申购、赎回或其他业务的工作日</w:t>
      </w:r>
    </w:p>
    <w:p w14:paraId="1D05EA27" w14:textId="77777777" w:rsidR="00BE6383" w:rsidRPr="00232910" w:rsidRDefault="00BE6383" w:rsidP="00BE6383">
      <w:pPr>
        <w:spacing w:line="360" w:lineRule="auto"/>
        <w:ind w:firstLineChars="200" w:firstLine="420"/>
        <w:divId w:val="277690115"/>
        <w:rPr>
          <w:bCs/>
        </w:rPr>
      </w:pPr>
      <w:r w:rsidRPr="00232910">
        <w:rPr>
          <w:bCs/>
        </w:rPr>
        <w:t>3</w:t>
      </w:r>
      <w:r>
        <w:rPr>
          <w:bCs/>
        </w:rPr>
        <w:t>6</w:t>
      </w:r>
      <w:r w:rsidRPr="00232910">
        <w:rPr>
          <w:bCs/>
        </w:rPr>
        <w:t>、开放时间：指开放日基金接受申购、赎回或其他交易的时间段</w:t>
      </w:r>
    </w:p>
    <w:p w14:paraId="06F48DDF" w14:textId="77777777" w:rsidR="00BE6383" w:rsidRPr="00232910" w:rsidRDefault="00BE6383" w:rsidP="00BE6383">
      <w:pPr>
        <w:spacing w:line="360" w:lineRule="auto"/>
        <w:ind w:firstLineChars="200" w:firstLine="420"/>
        <w:divId w:val="277690115"/>
        <w:rPr>
          <w:bCs/>
        </w:rPr>
      </w:pPr>
      <w:r w:rsidRPr="00232910">
        <w:rPr>
          <w:bCs/>
        </w:rPr>
        <w:t>3</w:t>
      </w:r>
      <w:r>
        <w:rPr>
          <w:bCs/>
        </w:rPr>
        <w:t>7</w:t>
      </w:r>
      <w:r w:rsidRPr="00232910">
        <w:rPr>
          <w:bCs/>
        </w:rPr>
        <w:t>、《业务规则》：指</w:t>
      </w:r>
      <w:r w:rsidRPr="00CB3213">
        <w:rPr>
          <w:bCs/>
        </w:rPr>
        <w:t>《</w:t>
      </w:r>
      <w:r>
        <w:rPr>
          <w:rFonts w:hint="eastAsia"/>
          <w:bCs/>
        </w:rPr>
        <w:t>鹏华基金管理有限公司</w:t>
      </w:r>
      <w:r w:rsidRPr="00CB3213">
        <w:rPr>
          <w:bCs/>
        </w:rPr>
        <w:t>开放式基金业务规则》，</w:t>
      </w:r>
      <w:r w:rsidRPr="00232910">
        <w:rPr>
          <w:bCs/>
        </w:rPr>
        <w:t>是规范基金管理人所管理的开放式证券投资基金登记方面的业务规则，由基金管理人和投资人共同遵守</w:t>
      </w:r>
    </w:p>
    <w:p w14:paraId="6EF36439" w14:textId="77777777" w:rsidR="00BE6383" w:rsidRPr="00232910" w:rsidRDefault="00BE6383" w:rsidP="00BE6383">
      <w:pPr>
        <w:spacing w:line="360" w:lineRule="auto"/>
        <w:ind w:firstLineChars="200" w:firstLine="420"/>
        <w:divId w:val="277690115"/>
        <w:rPr>
          <w:bCs/>
        </w:rPr>
      </w:pPr>
      <w:r w:rsidRPr="00232910">
        <w:rPr>
          <w:bCs/>
        </w:rPr>
        <w:t>3</w:t>
      </w:r>
      <w:r>
        <w:rPr>
          <w:bCs/>
        </w:rPr>
        <w:t>8</w:t>
      </w:r>
      <w:r w:rsidRPr="00232910">
        <w:rPr>
          <w:bCs/>
        </w:rPr>
        <w:t>、认购：指在基金募集期内，投资人申请购买基金份额的行为</w:t>
      </w:r>
    </w:p>
    <w:p w14:paraId="0A58D21A" w14:textId="77777777" w:rsidR="00BE6383" w:rsidRPr="00232910" w:rsidRDefault="00BE6383" w:rsidP="00BE6383">
      <w:pPr>
        <w:spacing w:line="360" w:lineRule="auto"/>
        <w:ind w:firstLineChars="200" w:firstLine="420"/>
        <w:divId w:val="277690115"/>
        <w:rPr>
          <w:bCs/>
        </w:rPr>
      </w:pPr>
      <w:r w:rsidRPr="00232910">
        <w:rPr>
          <w:bCs/>
        </w:rPr>
        <w:t>3</w:t>
      </w:r>
      <w:r>
        <w:rPr>
          <w:bCs/>
        </w:rPr>
        <w:t>9</w:t>
      </w:r>
      <w:r w:rsidRPr="00232910">
        <w:rPr>
          <w:bCs/>
        </w:rPr>
        <w:t>、申购：指基金合同生效后，投资人根据基金合同和招募说明书的规定申请购买基金份额的行为</w:t>
      </w:r>
    </w:p>
    <w:p w14:paraId="0C80D86F" w14:textId="77777777" w:rsidR="00BE6383" w:rsidRPr="00232910" w:rsidRDefault="00BE6383" w:rsidP="00BE6383">
      <w:pPr>
        <w:spacing w:line="360" w:lineRule="auto"/>
        <w:ind w:firstLineChars="200" w:firstLine="420"/>
        <w:divId w:val="277690115"/>
        <w:rPr>
          <w:bCs/>
        </w:rPr>
      </w:pPr>
      <w:r>
        <w:rPr>
          <w:bCs/>
        </w:rPr>
        <w:t>40</w:t>
      </w:r>
      <w:r w:rsidRPr="00E33DEB">
        <w:rPr>
          <w:bCs/>
        </w:rPr>
        <w:t>、赎回：指基金合同生效后，基金份额持有人按基金合同</w:t>
      </w:r>
      <w:r w:rsidRPr="00E33DEB">
        <w:rPr>
          <w:rFonts w:hint="eastAsia"/>
          <w:bCs/>
        </w:rPr>
        <w:t>和招募说明书</w:t>
      </w:r>
      <w:r w:rsidRPr="00E33DEB">
        <w:rPr>
          <w:bCs/>
        </w:rPr>
        <w:t>规定的条件要求将基金份额兑换为现金的行为</w:t>
      </w:r>
    </w:p>
    <w:p w14:paraId="45FBDB83" w14:textId="77777777" w:rsidR="00BE6383" w:rsidRPr="00232910" w:rsidRDefault="00BE6383" w:rsidP="00BE6383">
      <w:pPr>
        <w:spacing w:line="360" w:lineRule="auto"/>
        <w:ind w:firstLineChars="200" w:firstLine="420"/>
        <w:divId w:val="277690115"/>
        <w:rPr>
          <w:bCs/>
        </w:rPr>
      </w:pPr>
      <w:r w:rsidRPr="00232910">
        <w:rPr>
          <w:bCs/>
        </w:rPr>
        <w:t>4</w:t>
      </w:r>
      <w:r>
        <w:rPr>
          <w:bCs/>
        </w:rPr>
        <w:t>1</w:t>
      </w:r>
      <w:r w:rsidRPr="00232910">
        <w:rPr>
          <w:bCs/>
        </w:rPr>
        <w:t>、基金转换：指基金份额持有人按照本基金合同和基金管理人届时有效公告规定的条件，申请将其持有基金管理人管理的、某一基金的基金份额转换为基金管理人管理的其他基金基金份额的行为</w:t>
      </w:r>
    </w:p>
    <w:p w14:paraId="6A210B7A" w14:textId="77777777" w:rsidR="00BE6383" w:rsidRPr="00232910" w:rsidRDefault="00BE6383" w:rsidP="00BE6383">
      <w:pPr>
        <w:spacing w:line="360" w:lineRule="auto"/>
        <w:ind w:firstLineChars="200" w:firstLine="420"/>
        <w:divId w:val="277690115"/>
        <w:rPr>
          <w:bCs/>
        </w:rPr>
      </w:pPr>
      <w:r w:rsidRPr="00232910">
        <w:rPr>
          <w:bCs/>
        </w:rPr>
        <w:t>4</w:t>
      </w:r>
      <w:r>
        <w:rPr>
          <w:bCs/>
        </w:rPr>
        <w:t>2</w:t>
      </w:r>
      <w:r w:rsidRPr="00232910">
        <w:rPr>
          <w:bCs/>
        </w:rPr>
        <w:t>、转托管：指基金份额持有人在本基金的不同销售机构之间实施的变更所持基金份额销售机构的操作</w:t>
      </w:r>
    </w:p>
    <w:p w14:paraId="10C22DD3" w14:textId="77777777" w:rsidR="00BE6383" w:rsidRPr="00232910" w:rsidRDefault="00BE6383" w:rsidP="00BE6383">
      <w:pPr>
        <w:spacing w:line="360" w:lineRule="auto"/>
        <w:ind w:firstLineChars="200" w:firstLine="420"/>
        <w:divId w:val="277690115"/>
        <w:rPr>
          <w:bCs/>
        </w:rPr>
      </w:pPr>
      <w:r w:rsidRPr="00232910">
        <w:rPr>
          <w:bCs/>
        </w:rPr>
        <w:lastRenderedPageBreak/>
        <w:t>4</w:t>
      </w:r>
      <w:r>
        <w:rPr>
          <w:bCs/>
        </w:rPr>
        <w:t>3</w:t>
      </w:r>
      <w:r w:rsidRPr="00232910">
        <w:rPr>
          <w:bCs/>
        </w:rPr>
        <w:t>、定期定额投资计划：指投资人通过有关销售机构提出申请，约定每期申购日、扣款金额及扣款方式，由销售机构于每期约定扣款日在投资人指定银行账户内自动完成扣款及基金申购申请的一种投资方式</w:t>
      </w:r>
    </w:p>
    <w:p w14:paraId="0464BDB7" w14:textId="77777777" w:rsidR="00BE6383" w:rsidRPr="009B1D77" w:rsidRDefault="00BE6383" w:rsidP="00BE6383">
      <w:pPr>
        <w:spacing w:line="360" w:lineRule="auto"/>
        <w:ind w:firstLineChars="200" w:firstLine="420"/>
        <w:divId w:val="277690115"/>
        <w:rPr>
          <w:bCs/>
        </w:rPr>
      </w:pPr>
      <w:r w:rsidRPr="00232910">
        <w:rPr>
          <w:bCs/>
        </w:rPr>
        <w:t>4</w:t>
      </w:r>
      <w:r>
        <w:rPr>
          <w:bCs/>
        </w:rPr>
        <w:t>4</w:t>
      </w:r>
      <w:r w:rsidRPr="00232910">
        <w:rPr>
          <w:bCs/>
        </w:rPr>
        <w:t>、巨额赎回：指本基金单个开放日，基金净赎回申请</w:t>
      </w:r>
      <w:r>
        <w:rPr>
          <w:rFonts w:hint="eastAsia"/>
          <w:bCs/>
        </w:rPr>
        <w:t>（</w:t>
      </w:r>
      <w:r w:rsidRPr="00232910">
        <w:rPr>
          <w:bCs/>
        </w:rPr>
        <w:t>赎回申请份额总数加上基金转换中转出申请份额总数后扣除申购申请份额总数及基金转换中转入申请份额总数后的余额</w:t>
      </w:r>
      <w:r>
        <w:rPr>
          <w:rFonts w:hint="eastAsia"/>
          <w:bCs/>
        </w:rPr>
        <w:t>）</w:t>
      </w:r>
      <w:r w:rsidRPr="00232910">
        <w:rPr>
          <w:bCs/>
        </w:rPr>
        <w:t>超过上一开放日基金总份额</w:t>
      </w:r>
      <w:r w:rsidRPr="009B1D77">
        <w:rPr>
          <w:bCs/>
        </w:rPr>
        <w:t>的</w:t>
      </w:r>
      <w:r w:rsidRPr="009B1D77">
        <w:rPr>
          <w:rFonts w:hint="eastAsia"/>
          <w:bCs/>
        </w:rPr>
        <w:t>10%</w:t>
      </w:r>
    </w:p>
    <w:p w14:paraId="27CEC297" w14:textId="77777777" w:rsidR="00BE6383" w:rsidRDefault="00BE6383" w:rsidP="00BE6383">
      <w:pPr>
        <w:spacing w:line="360" w:lineRule="auto"/>
        <w:ind w:firstLineChars="200" w:firstLine="420"/>
        <w:divId w:val="277690115"/>
        <w:rPr>
          <w:bCs/>
        </w:rPr>
      </w:pPr>
      <w:r w:rsidRPr="00232910">
        <w:rPr>
          <w:bCs/>
        </w:rPr>
        <w:t>4</w:t>
      </w:r>
      <w:r>
        <w:rPr>
          <w:bCs/>
        </w:rPr>
        <w:t>5</w:t>
      </w:r>
      <w:r w:rsidRPr="00232910">
        <w:rPr>
          <w:bCs/>
        </w:rPr>
        <w:t>、元：指人民币元</w:t>
      </w:r>
    </w:p>
    <w:p w14:paraId="420BDBAB" w14:textId="77777777" w:rsidR="00BE6383" w:rsidRPr="000B5B92" w:rsidRDefault="00BE6383" w:rsidP="00BE6383">
      <w:pPr>
        <w:spacing w:line="360" w:lineRule="auto"/>
        <w:ind w:firstLineChars="200" w:firstLine="420"/>
        <w:divId w:val="277690115"/>
        <w:rPr>
          <w:bCs/>
        </w:rPr>
      </w:pPr>
      <w:r w:rsidRPr="000B5B92">
        <w:rPr>
          <w:rFonts w:hint="eastAsia"/>
          <w:bCs/>
        </w:rPr>
        <w:t>46</w:t>
      </w:r>
      <w:r w:rsidRPr="000B5B92">
        <w:rPr>
          <w:rFonts w:hint="eastAsia"/>
          <w:bCs/>
        </w:rPr>
        <w:t>、流动性受限资产：指由于法律法规、监管、合同或操作障碍等原因无法以合理价格予以变现的资产，包括但不限于到期日在</w:t>
      </w:r>
      <w:r w:rsidRPr="000B5B92">
        <w:rPr>
          <w:rFonts w:hint="eastAsia"/>
          <w:bCs/>
        </w:rPr>
        <w:t>10</w:t>
      </w:r>
      <w:r w:rsidRPr="000B5B92">
        <w:rPr>
          <w:rFonts w:hint="eastAsia"/>
          <w:bCs/>
        </w:rPr>
        <w:t>个交易日以上的逆回购与银行定期存款（含协议约定有条件提前支取的银行存款）、资产支持证券、因发行人债务违约无法进行转让或交易的债券等</w:t>
      </w:r>
    </w:p>
    <w:p w14:paraId="5BF70D88" w14:textId="77777777" w:rsidR="00BE6383" w:rsidRPr="00232910" w:rsidRDefault="00BE6383" w:rsidP="00BE6383">
      <w:pPr>
        <w:spacing w:line="360" w:lineRule="auto"/>
        <w:ind w:firstLineChars="200" w:firstLine="420"/>
        <w:divId w:val="277690115"/>
        <w:rPr>
          <w:bCs/>
        </w:rPr>
      </w:pPr>
      <w:r w:rsidRPr="000B5B92">
        <w:rPr>
          <w:rFonts w:hint="eastAsia"/>
          <w:bCs/>
        </w:rPr>
        <w:t>47</w:t>
      </w:r>
      <w:r w:rsidRPr="000B5B92">
        <w:rPr>
          <w:rFonts w:hint="eastAsia"/>
          <w:bCs/>
        </w:rPr>
        <w:t>、摆动定价机制：指当开放式基金遭遇大额申购赎回时，通过调整基金份额净值的方式，将基金调整投资组合的市场冲击成本分配给实际申购、赎回的投资者，从而减少对存量基金份额持有人利益的不利影响，确保投资者的合法权益不受损害并得到公平对待</w:t>
      </w:r>
    </w:p>
    <w:p w14:paraId="2FCEEF27" w14:textId="77777777" w:rsidR="00BE6383" w:rsidRPr="00232910" w:rsidRDefault="00BE6383" w:rsidP="00BE6383">
      <w:pPr>
        <w:spacing w:line="360" w:lineRule="auto"/>
        <w:ind w:firstLineChars="200" w:firstLine="420"/>
        <w:divId w:val="277690115"/>
        <w:rPr>
          <w:bCs/>
        </w:rPr>
      </w:pPr>
      <w:r w:rsidRPr="00232910">
        <w:rPr>
          <w:bCs/>
        </w:rPr>
        <w:t>4</w:t>
      </w:r>
      <w:r>
        <w:rPr>
          <w:bCs/>
        </w:rPr>
        <w:t>8</w:t>
      </w:r>
      <w:r w:rsidRPr="00232910">
        <w:rPr>
          <w:bCs/>
        </w:rPr>
        <w:t>、基金收益：指基金投资所得债券利息、买卖证券价差、银行存款利息、已实现的其他合法收入及因运用基金财产带来的成本和费用的节约</w:t>
      </w:r>
    </w:p>
    <w:p w14:paraId="30B96F5B" w14:textId="77777777" w:rsidR="00BE6383" w:rsidRPr="00232910" w:rsidRDefault="00BE6383" w:rsidP="00BE6383">
      <w:pPr>
        <w:spacing w:line="360" w:lineRule="auto"/>
        <w:ind w:firstLineChars="200" w:firstLine="420"/>
        <w:divId w:val="277690115"/>
        <w:rPr>
          <w:bCs/>
        </w:rPr>
      </w:pPr>
      <w:r w:rsidRPr="00232910">
        <w:rPr>
          <w:bCs/>
        </w:rPr>
        <w:t>4</w:t>
      </w:r>
      <w:r>
        <w:rPr>
          <w:bCs/>
        </w:rPr>
        <w:t>9</w:t>
      </w:r>
      <w:r w:rsidRPr="00232910">
        <w:rPr>
          <w:bCs/>
        </w:rPr>
        <w:t>、基金资产总值：指基金拥有的各类有价证券、银行存款本息、基金应收申购款及其他资产的价值总和</w:t>
      </w:r>
    </w:p>
    <w:p w14:paraId="54F1B4C6" w14:textId="77777777" w:rsidR="00BE6383" w:rsidRPr="00232910" w:rsidRDefault="00BE6383" w:rsidP="00BE6383">
      <w:pPr>
        <w:spacing w:line="360" w:lineRule="auto"/>
        <w:ind w:firstLineChars="200" w:firstLine="420"/>
        <w:divId w:val="277690115"/>
        <w:rPr>
          <w:bCs/>
        </w:rPr>
      </w:pPr>
      <w:r>
        <w:rPr>
          <w:bCs/>
        </w:rPr>
        <w:t>50</w:t>
      </w:r>
      <w:r w:rsidRPr="00232910">
        <w:rPr>
          <w:bCs/>
        </w:rPr>
        <w:t>、基金资产净值：指基金资产总值减去基金负债后的价值</w:t>
      </w:r>
    </w:p>
    <w:p w14:paraId="57B0EB0B" w14:textId="77777777" w:rsidR="00BE6383" w:rsidRPr="00232910" w:rsidRDefault="00BE6383" w:rsidP="00BE6383">
      <w:pPr>
        <w:spacing w:line="360" w:lineRule="auto"/>
        <w:ind w:firstLineChars="200" w:firstLine="420"/>
        <w:divId w:val="277690115"/>
        <w:rPr>
          <w:bCs/>
        </w:rPr>
      </w:pPr>
      <w:r>
        <w:rPr>
          <w:bCs/>
        </w:rPr>
        <w:t>51</w:t>
      </w:r>
      <w:r w:rsidRPr="00232910">
        <w:rPr>
          <w:bCs/>
        </w:rPr>
        <w:t>、基金份额净值：指计算日基金资产净值除以计算日基金份额总数</w:t>
      </w:r>
    </w:p>
    <w:p w14:paraId="3935DA0A" w14:textId="77777777" w:rsidR="00BE6383" w:rsidRPr="00232910" w:rsidRDefault="00BE6383" w:rsidP="00BE6383">
      <w:pPr>
        <w:spacing w:line="360" w:lineRule="auto"/>
        <w:ind w:firstLineChars="200" w:firstLine="420"/>
        <w:divId w:val="277690115"/>
        <w:rPr>
          <w:bCs/>
        </w:rPr>
      </w:pPr>
      <w:r>
        <w:rPr>
          <w:bCs/>
        </w:rPr>
        <w:t>52</w:t>
      </w:r>
      <w:r w:rsidRPr="00232910">
        <w:rPr>
          <w:bCs/>
        </w:rPr>
        <w:t>、基金资产估值：指计算评估基金资产和负债的价值，以确定基金资产净值和基金份额净值的过程</w:t>
      </w:r>
    </w:p>
    <w:p w14:paraId="61FA91B0" w14:textId="77777777" w:rsidR="00BE6383" w:rsidRDefault="00BE6383" w:rsidP="00BE6383">
      <w:pPr>
        <w:spacing w:line="360" w:lineRule="auto"/>
        <w:ind w:firstLineChars="200" w:firstLine="420"/>
        <w:divId w:val="277690115"/>
        <w:rPr>
          <w:bCs/>
        </w:rPr>
      </w:pPr>
      <w:r w:rsidRPr="00232910">
        <w:rPr>
          <w:bCs/>
        </w:rPr>
        <w:t>5</w:t>
      </w:r>
      <w:r>
        <w:rPr>
          <w:bCs/>
        </w:rPr>
        <w:t>3</w:t>
      </w:r>
      <w:r w:rsidRPr="00232910">
        <w:rPr>
          <w:bCs/>
        </w:rPr>
        <w:t>、指定媒</w:t>
      </w:r>
      <w:r>
        <w:rPr>
          <w:rFonts w:hint="eastAsia"/>
          <w:bCs/>
        </w:rPr>
        <w:t>介</w:t>
      </w:r>
      <w:r w:rsidRPr="00232910">
        <w:rPr>
          <w:bCs/>
        </w:rPr>
        <w:t>：</w:t>
      </w:r>
      <w:r w:rsidRPr="00B21DF0">
        <w:rPr>
          <w:bCs/>
        </w:rPr>
        <w:t>指中国证监会指定的用以进行信息披露的</w:t>
      </w:r>
      <w:r w:rsidRPr="00B21DF0">
        <w:rPr>
          <w:rFonts w:hint="eastAsia"/>
          <w:bCs/>
        </w:rPr>
        <w:t>全国性</w:t>
      </w:r>
      <w:r w:rsidRPr="00B21DF0">
        <w:rPr>
          <w:bCs/>
        </w:rPr>
        <w:t>报刊</w:t>
      </w:r>
      <w:r w:rsidRPr="00B21DF0">
        <w:rPr>
          <w:rFonts w:hint="eastAsia"/>
          <w:bCs/>
        </w:rPr>
        <w:t>及指定</w:t>
      </w:r>
      <w:r w:rsidRPr="00B21DF0">
        <w:rPr>
          <w:bCs/>
        </w:rPr>
        <w:t>互联网网站</w:t>
      </w:r>
      <w:r w:rsidRPr="00B21DF0">
        <w:rPr>
          <w:rFonts w:hint="eastAsia"/>
          <w:bCs/>
        </w:rPr>
        <w:t>（包括</w:t>
      </w:r>
      <w:r w:rsidRPr="00B21DF0">
        <w:rPr>
          <w:bCs/>
        </w:rPr>
        <w:t>基金管理人网站、基金托管人网站、中国证监会基金电子披露网站</w:t>
      </w:r>
      <w:r w:rsidRPr="00B21DF0">
        <w:rPr>
          <w:rFonts w:hint="eastAsia"/>
          <w:bCs/>
        </w:rPr>
        <w:t>）等媒介</w:t>
      </w:r>
    </w:p>
    <w:p w14:paraId="64B407E5" w14:textId="77777777" w:rsidR="00BE6383" w:rsidRPr="00232910" w:rsidRDefault="00BE6383" w:rsidP="00BE6383">
      <w:pPr>
        <w:spacing w:line="360" w:lineRule="auto"/>
        <w:ind w:firstLineChars="200" w:firstLine="420"/>
        <w:divId w:val="277690115"/>
        <w:rPr>
          <w:bCs/>
        </w:rPr>
      </w:pPr>
      <w:r w:rsidRPr="00B21DF0">
        <w:rPr>
          <w:rFonts w:hint="eastAsia"/>
          <w:bCs/>
        </w:rPr>
        <w:t>5</w:t>
      </w:r>
      <w:r>
        <w:rPr>
          <w:bCs/>
        </w:rPr>
        <w:t>4</w:t>
      </w:r>
      <w:r w:rsidRPr="00B21DF0">
        <w:rPr>
          <w:rFonts w:hint="eastAsia"/>
          <w:bCs/>
        </w:rPr>
        <w:t>、基金</w:t>
      </w:r>
      <w:r w:rsidRPr="00B21DF0">
        <w:rPr>
          <w:bCs/>
        </w:rPr>
        <w:t>产品资料概要：指《</w:t>
      </w:r>
      <w:r w:rsidRPr="00DB2218">
        <w:rPr>
          <w:rFonts w:hint="eastAsia"/>
          <w:bCs/>
        </w:rPr>
        <w:t>鹏华</w:t>
      </w:r>
      <w:r>
        <w:rPr>
          <w:rFonts w:hint="eastAsia"/>
          <w:bCs/>
        </w:rPr>
        <w:t>丰康</w:t>
      </w:r>
      <w:r w:rsidRPr="00DB2218">
        <w:rPr>
          <w:rFonts w:hint="eastAsia"/>
          <w:bCs/>
        </w:rPr>
        <w:t>债券型</w:t>
      </w:r>
      <w:r w:rsidRPr="00190259">
        <w:rPr>
          <w:bCs/>
        </w:rPr>
        <w:t>证券投资基金</w:t>
      </w:r>
      <w:r w:rsidRPr="00B21DF0">
        <w:rPr>
          <w:bCs/>
        </w:rPr>
        <w:t>基金产品资料概要》</w:t>
      </w:r>
      <w:r w:rsidRPr="00B21DF0">
        <w:rPr>
          <w:rFonts w:hint="eastAsia"/>
          <w:bCs/>
        </w:rPr>
        <w:t>及其</w:t>
      </w:r>
      <w:r w:rsidRPr="00B21DF0">
        <w:rPr>
          <w:bCs/>
        </w:rPr>
        <w:t>更新</w:t>
      </w:r>
    </w:p>
    <w:p w14:paraId="08DDBF4F" w14:textId="1775A139" w:rsidR="00D0083C" w:rsidRDefault="00BE6383">
      <w:pPr>
        <w:pStyle w:val="a3"/>
        <w:spacing w:before="0" w:beforeAutospacing="0" w:after="0" w:afterAutospacing="0" w:line="360" w:lineRule="auto"/>
        <w:ind w:firstLine="420"/>
        <w:jc w:val="both"/>
        <w:divId w:val="277690115"/>
        <w:rPr>
          <w:sz w:val="21"/>
          <w:szCs w:val="21"/>
        </w:rPr>
      </w:pPr>
      <w:r w:rsidRPr="008E28FA">
        <w:rPr>
          <w:bCs/>
        </w:rPr>
        <w:t>55、不可抗力：指本合同当事人不能预见、不能避免且不能克服的客观事件</w:t>
      </w:r>
    </w:p>
    <w:p w14:paraId="3E00EE86"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 </w:t>
      </w:r>
    </w:p>
    <w:p w14:paraId="44CB66B1" w14:textId="77777777" w:rsidR="00D0083C" w:rsidRDefault="00854AE5">
      <w:pPr>
        <w:pStyle w:val="1"/>
        <w:spacing w:before="240" w:line="360" w:lineRule="auto"/>
        <w:jc w:val="center"/>
        <w:divId w:val="277690115"/>
        <w:rPr>
          <w:sz w:val="24"/>
          <w:szCs w:val="24"/>
        </w:rPr>
      </w:pPr>
      <w:bookmarkStart w:id="20" w:name="_Toc387824869"/>
      <w:r>
        <w:rPr>
          <w:rFonts w:hint="eastAsia"/>
          <w:sz w:val="24"/>
          <w:szCs w:val="24"/>
        </w:rPr>
        <w:t>第三部分</w:t>
      </w:r>
      <w:r>
        <w:rPr>
          <w:rFonts w:hint="eastAsia"/>
          <w:sz w:val="24"/>
          <w:szCs w:val="24"/>
        </w:rPr>
        <w:t xml:space="preserve"> </w:t>
      </w:r>
      <w:r>
        <w:rPr>
          <w:rFonts w:hint="eastAsia"/>
          <w:sz w:val="24"/>
          <w:szCs w:val="24"/>
        </w:rPr>
        <w:t>基金管理人</w:t>
      </w:r>
      <w:bookmarkEnd w:id="20"/>
    </w:p>
    <w:p w14:paraId="4A2F703D"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一、基金管理人概况</w:t>
      </w:r>
    </w:p>
    <w:p w14:paraId="18F1A922"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1</w:t>
      </w:r>
      <w:r>
        <w:rPr>
          <w:rFonts w:hint="eastAsia"/>
          <w:sz w:val="21"/>
          <w:szCs w:val="21"/>
        </w:rPr>
        <w:t>、名称：鹏华基金管理有限公司</w:t>
      </w:r>
    </w:p>
    <w:p w14:paraId="09F23015"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lastRenderedPageBreak/>
        <w:t>2</w:t>
      </w:r>
      <w:r>
        <w:rPr>
          <w:rFonts w:hint="eastAsia"/>
          <w:sz w:val="21"/>
          <w:szCs w:val="21"/>
        </w:rPr>
        <w:t>、住所：深圳市福田区福华三路</w:t>
      </w:r>
      <w:r>
        <w:rPr>
          <w:rFonts w:ascii="Times New Roman" w:hAnsi="Times New Roman" w:cs="Times New Roman"/>
          <w:sz w:val="21"/>
          <w:szCs w:val="21"/>
        </w:rPr>
        <w:t>168</w:t>
      </w:r>
      <w:r>
        <w:rPr>
          <w:rFonts w:hint="eastAsia"/>
          <w:sz w:val="21"/>
          <w:szCs w:val="21"/>
        </w:rPr>
        <w:t>号深圳国际商会中心</w:t>
      </w:r>
      <w:r>
        <w:rPr>
          <w:rFonts w:ascii="Times New Roman" w:hAnsi="Times New Roman" w:cs="Times New Roman"/>
          <w:sz w:val="21"/>
          <w:szCs w:val="21"/>
        </w:rPr>
        <w:t>43</w:t>
      </w:r>
      <w:r>
        <w:rPr>
          <w:rFonts w:hint="eastAsia"/>
          <w:sz w:val="21"/>
          <w:szCs w:val="21"/>
        </w:rPr>
        <w:t>层</w:t>
      </w:r>
    </w:p>
    <w:p w14:paraId="2B2B47FB"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3</w:t>
      </w:r>
      <w:r>
        <w:rPr>
          <w:rFonts w:hint="eastAsia"/>
          <w:sz w:val="21"/>
          <w:szCs w:val="21"/>
        </w:rPr>
        <w:t>、设立日期：</w:t>
      </w:r>
      <w:r>
        <w:rPr>
          <w:rFonts w:ascii="Times New Roman" w:hAnsi="Times New Roman" w:cs="Times New Roman"/>
          <w:sz w:val="21"/>
          <w:szCs w:val="21"/>
        </w:rPr>
        <w:t>1998</w:t>
      </w:r>
      <w:r>
        <w:rPr>
          <w:rFonts w:hint="eastAsia"/>
          <w:sz w:val="21"/>
          <w:szCs w:val="21"/>
        </w:rPr>
        <w:t>年</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22</w:t>
      </w:r>
      <w:r>
        <w:rPr>
          <w:rFonts w:hint="eastAsia"/>
          <w:sz w:val="21"/>
          <w:szCs w:val="21"/>
        </w:rPr>
        <w:t>日</w:t>
      </w:r>
    </w:p>
    <w:p w14:paraId="3675446C"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4</w:t>
      </w:r>
      <w:r>
        <w:rPr>
          <w:rFonts w:hint="eastAsia"/>
          <w:sz w:val="21"/>
          <w:szCs w:val="21"/>
        </w:rPr>
        <w:t>、法定代表人：何如</w:t>
      </w:r>
    </w:p>
    <w:p w14:paraId="4BCEADB6"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5</w:t>
      </w:r>
      <w:r>
        <w:rPr>
          <w:rFonts w:hint="eastAsia"/>
          <w:sz w:val="21"/>
          <w:szCs w:val="21"/>
        </w:rPr>
        <w:t>、办公地址：深圳市福田区福华三路</w:t>
      </w:r>
      <w:r>
        <w:rPr>
          <w:rFonts w:ascii="Times New Roman" w:hAnsi="Times New Roman" w:cs="Times New Roman"/>
          <w:sz w:val="21"/>
          <w:szCs w:val="21"/>
        </w:rPr>
        <w:t>168</w:t>
      </w:r>
      <w:r>
        <w:rPr>
          <w:rFonts w:hint="eastAsia"/>
          <w:sz w:val="21"/>
          <w:szCs w:val="21"/>
        </w:rPr>
        <w:t>号深圳国际商会中心</w:t>
      </w:r>
      <w:r>
        <w:rPr>
          <w:rFonts w:ascii="Times New Roman" w:hAnsi="Times New Roman" w:cs="Times New Roman"/>
          <w:sz w:val="21"/>
          <w:szCs w:val="21"/>
        </w:rPr>
        <w:t>43</w:t>
      </w:r>
      <w:r>
        <w:rPr>
          <w:rFonts w:hint="eastAsia"/>
          <w:sz w:val="21"/>
          <w:szCs w:val="21"/>
        </w:rPr>
        <w:t>层</w:t>
      </w:r>
    </w:p>
    <w:p w14:paraId="52EB0E16"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6</w:t>
      </w:r>
      <w:r>
        <w:rPr>
          <w:rFonts w:hint="eastAsia"/>
          <w:sz w:val="21"/>
          <w:szCs w:val="21"/>
        </w:rPr>
        <w:t>、电话：（</w:t>
      </w:r>
      <w:r>
        <w:rPr>
          <w:rFonts w:ascii="Times New Roman" w:hAnsi="Times New Roman" w:cs="Times New Roman"/>
          <w:sz w:val="21"/>
          <w:szCs w:val="21"/>
        </w:rPr>
        <w:t>0755</w:t>
      </w:r>
      <w:r>
        <w:rPr>
          <w:rFonts w:hint="eastAsia"/>
          <w:sz w:val="21"/>
          <w:szCs w:val="21"/>
        </w:rPr>
        <w:t>）</w:t>
      </w:r>
      <w:r>
        <w:rPr>
          <w:rFonts w:ascii="Times New Roman" w:hAnsi="Times New Roman" w:cs="Times New Roman"/>
          <w:sz w:val="21"/>
          <w:szCs w:val="21"/>
        </w:rPr>
        <w:t xml:space="preserve">82021233       </w:t>
      </w:r>
      <w:r>
        <w:rPr>
          <w:rFonts w:hint="eastAsia"/>
          <w:sz w:val="21"/>
          <w:szCs w:val="21"/>
        </w:rPr>
        <w:t>传真：（</w:t>
      </w:r>
      <w:r>
        <w:rPr>
          <w:rFonts w:ascii="Times New Roman" w:hAnsi="Times New Roman" w:cs="Times New Roman"/>
          <w:sz w:val="21"/>
          <w:szCs w:val="21"/>
        </w:rPr>
        <w:t>0755</w:t>
      </w:r>
      <w:r>
        <w:rPr>
          <w:rFonts w:hint="eastAsia"/>
          <w:sz w:val="21"/>
          <w:szCs w:val="21"/>
        </w:rPr>
        <w:t>）</w:t>
      </w:r>
      <w:r>
        <w:rPr>
          <w:rFonts w:ascii="Times New Roman" w:hAnsi="Times New Roman" w:cs="Times New Roman"/>
          <w:sz w:val="21"/>
          <w:szCs w:val="21"/>
        </w:rPr>
        <w:t>82021155</w:t>
      </w:r>
    </w:p>
    <w:p w14:paraId="1E883C35"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7</w:t>
      </w:r>
      <w:r>
        <w:rPr>
          <w:rFonts w:hint="eastAsia"/>
          <w:sz w:val="21"/>
          <w:szCs w:val="21"/>
        </w:rPr>
        <w:t>、联系人：吕奇志</w:t>
      </w:r>
    </w:p>
    <w:p w14:paraId="6B7A8B67"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8</w:t>
      </w:r>
      <w:r>
        <w:rPr>
          <w:rFonts w:hint="eastAsia"/>
          <w:sz w:val="21"/>
          <w:szCs w:val="21"/>
        </w:rPr>
        <w:t>、注册资本：人民币</w:t>
      </w:r>
      <w:r>
        <w:rPr>
          <w:rFonts w:ascii="Times New Roman" w:hAnsi="Times New Roman" w:cs="Times New Roman"/>
          <w:sz w:val="21"/>
          <w:szCs w:val="21"/>
        </w:rPr>
        <w:t>1.5</w:t>
      </w:r>
      <w:r>
        <w:rPr>
          <w:rFonts w:hint="eastAsia"/>
          <w:sz w:val="21"/>
          <w:szCs w:val="21"/>
        </w:rPr>
        <w:t>亿元</w:t>
      </w:r>
    </w:p>
    <w:p w14:paraId="5742D990"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9</w:t>
      </w:r>
      <w:r>
        <w:rPr>
          <w:rFonts w:hint="eastAsia"/>
          <w:sz w:val="21"/>
          <w:szCs w:val="21"/>
        </w:rPr>
        <w:t>、股权结构：</w:t>
      </w:r>
    </w:p>
    <w:tbl>
      <w:tblPr>
        <w:tblW w:w="0" w:type="auto"/>
        <w:jc w:val="center"/>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3633"/>
        <w:gridCol w:w="1625"/>
        <w:gridCol w:w="1995"/>
      </w:tblGrid>
      <w:tr w:rsidR="00D0083C" w14:paraId="1767513A" w14:textId="77777777">
        <w:trPr>
          <w:divId w:val="277690115"/>
          <w:trHeight w:val="411"/>
          <w:jc w:val="center"/>
        </w:trPr>
        <w:tc>
          <w:tcPr>
            <w:tcW w:w="3633" w:type="dxa"/>
            <w:tcBorders>
              <w:bottom w:val="single" w:sz="8" w:space="0" w:color="auto"/>
              <w:right w:val="single" w:sz="8" w:space="0" w:color="auto"/>
            </w:tcBorders>
            <w:tcMar>
              <w:top w:w="0" w:type="dxa"/>
              <w:left w:w="98" w:type="dxa"/>
              <w:bottom w:w="0" w:type="dxa"/>
              <w:right w:w="98" w:type="dxa"/>
            </w:tcMar>
            <w:vAlign w:val="center"/>
            <w:hideMark/>
          </w:tcPr>
          <w:p w14:paraId="3AA15FED" w14:textId="77777777" w:rsidR="00D0083C" w:rsidRDefault="00854AE5">
            <w:pPr>
              <w:pStyle w:val="a3"/>
              <w:spacing w:before="0" w:beforeAutospacing="0" w:after="0" w:afterAutospacing="0"/>
              <w:jc w:val="center"/>
              <w:rPr>
                <w:sz w:val="21"/>
                <w:szCs w:val="21"/>
              </w:rPr>
            </w:pPr>
            <w:r>
              <w:rPr>
                <w:rFonts w:hint="eastAsia"/>
                <w:sz w:val="21"/>
                <w:szCs w:val="21"/>
              </w:rPr>
              <w:t>出资人名称</w:t>
            </w:r>
          </w:p>
        </w:tc>
        <w:tc>
          <w:tcPr>
            <w:tcW w:w="1625" w:type="dxa"/>
            <w:tcBorders>
              <w:bottom w:val="single" w:sz="8" w:space="0" w:color="auto"/>
              <w:right w:val="single" w:sz="8" w:space="0" w:color="auto"/>
            </w:tcBorders>
            <w:tcMar>
              <w:top w:w="0" w:type="dxa"/>
              <w:left w:w="108" w:type="dxa"/>
              <w:bottom w:w="0" w:type="dxa"/>
              <w:right w:w="98" w:type="dxa"/>
            </w:tcMar>
            <w:vAlign w:val="center"/>
            <w:hideMark/>
          </w:tcPr>
          <w:p w14:paraId="5BE9CF2D" w14:textId="77777777" w:rsidR="00D0083C" w:rsidRDefault="00854AE5">
            <w:pPr>
              <w:pStyle w:val="a3"/>
              <w:spacing w:before="0" w:beforeAutospacing="0" w:after="0" w:afterAutospacing="0"/>
              <w:jc w:val="center"/>
              <w:rPr>
                <w:sz w:val="21"/>
                <w:szCs w:val="21"/>
              </w:rPr>
            </w:pPr>
            <w:r>
              <w:rPr>
                <w:rFonts w:hint="eastAsia"/>
                <w:sz w:val="21"/>
                <w:szCs w:val="21"/>
              </w:rPr>
              <w:t>出资额（万元）</w:t>
            </w:r>
          </w:p>
        </w:tc>
        <w:tc>
          <w:tcPr>
            <w:tcW w:w="1995" w:type="dxa"/>
            <w:tcBorders>
              <w:bottom w:val="single" w:sz="8" w:space="0" w:color="auto"/>
            </w:tcBorders>
            <w:tcMar>
              <w:top w:w="0" w:type="dxa"/>
              <w:left w:w="108" w:type="dxa"/>
              <w:bottom w:w="0" w:type="dxa"/>
              <w:right w:w="98" w:type="dxa"/>
            </w:tcMar>
            <w:vAlign w:val="center"/>
            <w:hideMark/>
          </w:tcPr>
          <w:p w14:paraId="33BDE783" w14:textId="77777777" w:rsidR="00D0083C" w:rsidRDefault="00854AE5">
            <w:pPr>
              <w:pStyle w:val="a3"/>
              <w:spacing w:before="0" w:beforeAutospacing="0" w:after="0" w:afterAutospacing="0"/>
              <w:jc w:val="center"/>
              <w:rPr>
                <w:sz w:val="21"/>
                <w:szCs w:val="21"/>
              </w:rPr>
            </w:pPr>
            <w:r>
              <w:rPr>
                <w:rFonts w:hint="eastAsia"/>
                <w:sz w:val="21"/>
                <w:szCs w:val="21"/>
              </w:rPr>
              <w:t>出资比例</w:t>
            </w:r>
          </w:p>
        </w:tc>
      </w:tr>
      <w:tr w:rsidR="00D0083C" w14:paraId="56ECDAD1" w14:textId="77777777">
        <w:trPr>
          <w:divId w:val="277690115"/>
          <w:trHeight w:val="394"/>
          <w:jc w:val="center"/>
        </w:trPr>
        <w:tc>
          <w:tcPr>
            <w:tcW w:w="3633" w:type="dxa"/>
            <w:tcBorders>
              <w:bottom w:val="single" w:sz="8" w:space="0" w:color="auto"/>
              <w:right w:val="single" w:sz="8" w:space="0" w:color="auto"/>
            </w:tcBorders>
            <w:tcMar>
              <w:top w:w="0" w:type="dxa"/>
              <w:left w:w="98" w:type="dxa"/>
              <w:bottom w:w="0" w:type="dxa"/>
              <w:right w:w="98" w:type="dxa"/>
            </w:tcMar>
            <w:vAlign w:val="center"/>
            <w:hideMark/>
          </w:tcPr>
          <w:p w14:paraId="71A3E03B" w14:textId="77777777" w:rsidR="00D0083C" w:rsidRDefault="00854AE5">
            <w:pPr>
              <w:pStyle w:val="a3"/>
              <w:spacing w:before="0" w:beforeAutospacing="0" w:after="0" w:afterAutospacing="0"/>
              <w:jc w:val="center"/>
              <w:rPr>
                <w:sz w:val="21"/>
                <w:szCs w:val="21"/>
              </w:rPr>
            </w:pPr>
            <w:r>
              <w:rPr>
                <w:rFonts w:hint="eastAsia"/>
                <w:sz w:val="21"/>
                <w:szCs w:val="21"/>
              </w:rPr>
              <w:t>国信证券股份有限公司</w:t>
            </w:r>
          </w:p>
        </w:tc>
        <w:tc>
          <w:tcPr>
            <w:tcW w:w="1625" w:type="dxa"/>
            <w:tcBorders>
              <w:bottom w:val="single" w:sz="8" w:space="0" w:color="auto"/>
              <w:right w:val="single" w:sz="8" w:space="0" w:color="auto"/>
            </w:tcBorders>
            <w:tcMar>
              <w:top w:w="0" w:type="dxa"/>
              <w:left w:w="108" w:type="dxa"/>
              <w:bottom w:w="0" w:type="dxa"/>
              <w:right w:w="98" w:type="dxa"/>
            </w:tcMar>
            <w:vAlign w:val="center"/>
            <w:hideMark/>
          </w:tcPr>
          <w:p w14:paraId="36DE202F" w14:textId="77777777" w:rsidR="00D0083C" w:rsidRDefault="00854AE5">
            <w:pPr>
              <w:pStyle w:val="a3"/>
              <w:spacing w:before="0" w:beforeAutospacing="0" w:after="0" w:afterAutospacing="0"/>
              <w:jc w:val="center"/>
              <w:rPr>
                <w:sz w:val="21"/>
                <w:szCs w:val="21"/>
              </w:rPr>
            </w:pPr>
            <w:r>
              <w:rPr>
                <w:rFonts w:ascii="Times New Roman" w:hAnsi="Times New Roman" w:cs="Times New Roman"/>
                <w:sz w:val="21"/>
                <w:szCs w:val="21"/>
              </w:rPr>
              <w:t>7,500</w:t>
            </w:r>
          </w:p>
        </w:tc>
        <w:tc>
          <w:tcPr>
            <w:tcW w:w="1995" w:type="dxa"/>
            <w:tcBorders>
              <w:bottom w:val="single" w:sz="8" w:space="0" w:color="auto"/>
            </w:tcBorders>
            <w:tcMar>
              <w:top w:w="0" w:type="dxa"/>
              <w:left w:w="108" w:type="dxa"/>
              <w:bottom w:w="0" w:type="dxa"/>
              <w:right w:w="98" w:type="dxa"/>
            </w:tcMar>
            <w:vAlign w:val="center"/>
            <w:hideMark/>
          </w:tcPr>
          <w:p w14:paraId="02858285" w14:textId="77777777" w:rsidR="00D0083C" w:rsidRDefault="00854AE5">
            <w:pPr>
              <w:pStyle w:val="a3"/>
              <w:spacing w:before="0" w:beforeAutospacing="0" w:after="0" w:afterAutospacing="0"/>
              <w:jc w:val="center"/>
              <w:rPr>
                <w:sz w:val="21"/>
                <w:szCs w:val="21"/>
              </w:rPr>
            </w:pPr>
            <w:r>
              <w:rPr>
                <w:rFonts w:ascii="Times New Roman" w:hAnsi="Times New Roman" w:cs="Times New Roman"/>
                <w:sz w:val="21"/>
                <w:szCs w:val="21"/>
              </w:rPr>
              <w:t>50%</w:t>
            </w:r>
          </w:p>
        </w:tc>
      </w:tr>
      <w:tr w:rsidR="00D0083C" w14:paraId="33487911" w14:textId="77777777">
        <w:trPr>
          <w:divId w:val="277690115"/>
          <w:trHeight w:val="823"/>
          <w:jc w:val="center"/>
        </w:trPr>
        <w:tc>
          <w:tcPr>
            <w:tcW w:w="3633" w:type="dxa"/>
            <w:tcBorders>
              <w:bottom w:val="single" w:sz="8" w:space="0" w:color="auto"/>
              <w:right w:val="single" w:sz="8" w:space="0" w:color="auto"/>
            </w:tcBorders>
            <w:tcMar>
              <w:top w:w="0" w:type="dxa"/>
              <w:left w:w="98" w:type="dxa"/>
              <w:bottom w:w="0" w:type="dxa"/>
              <w:right w:w="98" w:type="dxa"/>
            </w:tcMar>
            <w:vAlign w:val="center"/>
            <w:hideMark/>
          </w:tcPr>
          <w:p w14:paraId="57936E1A" w14:textId="77777777" w:rsidR="00D0083C" w:rsidRDefault="00854AE5">
            <w:pPr>
              <w:pStyle w:val="a3"/>
              <w:spacing w:before="0" w:beforeAutospacing="0" w:after="0" w:afterAutospacing="0"/>
              <w:jc w:val="center"/>
              <w:rPr>
                <w:sz w:val="21"/>
                <w:szCs w:val="21"/>
              </w:rPr>
            </w:pPr>
            <w:r>
              <w:rPr>
                <w:rFonts w:hint="eastAsia"/>
                <w:sz w:val="21"/>
                <w:szCs w:val="21"/>
              </w:rPr>
              <w:t>意大利欧利盛资本资产管理股份公司（</w:t>
            </w:r>
            <w:r>
              <w:rPr>
                <w:rFonts w:ascii="Times New Roman" w:hAnsi="Times New Roman" w:cs="Times New Roman"/>
                <w:sz w:val="21"/>
                <w:szCs w:val="21"/>
              </w:rPr>
              <w:t>Eurizon Capital SGR S.p.A.</w:t>
            </w:r>
            <w:r>
              <w:rPr>
                <w:rFonts w:hint="eastAsia"/>
                <w:sz w:val="21"/>
                <w:szCs w:val="21"/>
              </w:rPr>
              <w:t>）</w:t>
            </w:r>
          </w:p>
        </w:tc>
        <w:tc>
          <w:tcPr>
            <w:tcW w:w="1625" w:type="dxa"/>
            <w:tcBorders>
              <w:bottom w:val="single" w:sz="8" w:space="0" w:color="auto"/>
              <w:right w:val="single" w:sz="8" w:space="0" w:color="auto"/>
            </w:tcBorders>
            <w:tcMar>
              <w:top w:w="0" w:type="dxa"/>
              <w:left w:w="108" w:type="dxa"/>
              <w:bottom w:w="0" w:type="dxa"/>
              <w:right w:w="98" w:type="dxa"/>
            </w:tcMar>
            <w:vAlign w:val="center"/>
            <w:hideMark/>
          </w:tcPr>
          <w:p w14:paraId="4DF3B4AF" w14:textId="77777777" w:rsidR="00D0083C" w:rsidRDefault="00854AE5">
            <w:pPr>
              <w:pStyle w:val="a3"/>
              <w:spacing w:before="0" w:beforeAutospacing="0" w:after="0" w:afterAutospacing="0"/>
              <w:jc w:val="center"/>
              <w:rPr>
                <w:sz w:val="21"/>
                <w:szCs w:val="21"/>
              </w:rPr>
            </w:pPr>
            <w:r>
              <w:rPr>
                <w:rFonts w:ascii="Times New Roman" w:hAnsi="Times New Roman" w:cs="Times New Roman"/>
                <w:sz w:val="21"/>
                <w:szCs w:val="21"/>
              </w:rPr>
              <w:t>7,350</w:t>
            </w:r>
          </w:p>
        </w:tc>
        <w:tc>
          <w:tcPr>
            <w:tcW w:w="1995" w:type="dxa"/>
            <w:tcBorders>
              <w:bottom w:val="single" w:sz="8" w:space="0" w:color="auto"/>
            </w:tcBorders>
            <w:tcMar>
              <w:top w:w="0" w:type="dxa"/>
              <w:left w:w="108" w:type="dxa"/>
              <w:bottom w:w="0" w:type="dxa"/>
              <w:right w:w="98" w:type="dxa"/>
            </w:tcMar>
            <w:vAlign w:val="center"/>
            <w:hideMark/>
          </w:tcPr>
          <w:p w14:paraId="1967843B" w14:textId="77777777" w:rsidR="00D0083C" w:rsidRDefault="00854AE5">
            <w:pPr>
              <w:pStyle w:val="a3"/>
              <w:spacing w:before="0" w:beforeAutospacing="0" w:after="0" w:afterAutospacing="0"/>
              <w:jc w:val="center"/>
              <w:rPr>
                <w:sz w:val="21"/>
                <w:szCs w:val="21"/>
              </w:rPr>
            </w:pPr>
            <w:r>
              <w:rPr>
                <w:rFonts w:ascii="Times New Roman" w:hAnsi="Times New Roman" w:cs="Times New Roman"/>
                <w:sz w:val="21"/>
                <w:szCs w:val="21"/>
              </w:rPr>
              <w:t>49%</w:t>
            </w:r>
          </w:p>
        </w:tc>
      </w:tr>
      <w:tr w:rsidR="00D0083C" w14:paraId="4E34EB02" w14:textId="77777777">
        <w:trPr>
          <w:divId w:val="277690115"/>
          <w:trHeight w:val="411"/>
          <w:jc w:val="center"/>
        </w:trPr>
        <w:tc>
          <w:tcPr>
            <w:tcW w:w="3633" w:type="dxa"/>
            <w:tcBorders>
              <w:bottom w:val="single" w:sz="8" w:space="0" w:color="auto"/>
              <w:right w:val="single" w:sz="8" w:space="0" w:color="auto"/>
            </w:tcBorders>
            <w:tcMar>
              <w:top w:w="0" w:type="dxa"/>
              <w:left w:w="98" w:type="dxa"/>
              <w:bottom w:w="0" w:type="dxa"/>
              <w:right w:w="98" w:type="dxa"/>
            </w:tcMar>
            <w:vAlign w:val="center"/>
            <w:hideMark/>
          </w:tcPr>
          <w:p w14:paraId="7E594C66" w14:textId="77777777" w:rsidR="00D0083C" w:rsidRDefault="00854AE5">
            <w:pPr>
              <w:pStyle w:val="a3"/>
              <w:spacing w:before="0" w:beforeAutospacing="0" w:after="0" w:afterAutospacing="0"/>
              <w:jc w:val="center"/>
              <w:rPr>
                <w:sz w:val="21"/>
                <w:szCs w:val="21"/>
              </w:rPr>
            </w:pPr>
            <w:r>
              <w:rPr>
                <w:rFonts w:hint="eastAsia"/>
                <w:sz w:val="21"/>
                <w:szCs w:val="21"/>
              </w:rPr>
              <w:t>深圳市北融信投资发展有限公司</w:t>
            </w:r>
          </w:p>
        </w:tc>
        <w:tc>
          <w:tcPr>
            <w:tcW w:w="1625" w:type="dxa"/>
            <w:tcBorders>
              <w:bottom w:val="single" w:sz="8" w:space="0" w:color="auto"/>
              <w:right w:val="single" w:sz="8" w:space="0" w:color="auto"/>
            </w:tcBorders>
            <w:tcMar>
              <w:top w:w="0" w:type="dxa"/>
              <w:left w:w="108" w:type="dxa"/>
              <w:bottom w:w="0" w:type="dxa"/>
              <w:right w:w="98" w:type="dxa"/>
            </w:tcMar>
            <w:vAlign w:val="center"/>
            <w:hideMark/>
          </w:tcPr>
          <w:p w14:paraId="42D4F358" w14:textId="77777777" w:rsidR="00D0083C" w:rsidRDefault="00854AE5">
            <w:pPr>
              <w:pStyle w:val="a3"/>
              <w:spacing w:before="0" w:beforeAutospacing="0" w:after="0" w:afterAutospacing="0"/>
              <w:jc w:val="center"/>
              <w:rPr>
                <w:sz w:val="21"/>
                <w:szCs w:val="21"/>
              </w:rPr>
            </w:pPr>
            <w:r>
              <w:rPr>
                <w:rFonts w:ascii="Times New Roman" w:hAnsi="Times New Roman" w:cs="Times New Roman"/>
                <w:sz w:val="21"/>
                <w:szCs w:val="21"/>
              </w:rPr>
              <w:t>150</w:t>
            </w:r>
          </w:p>
        </w:tc>
        <w:tc>
          <w:tcPr>
            <w:tcW w:w="1995" w:type="dxa"/>
            <w:tcBorders>
              <w:bottom w:val="single" w:sz="8" w:space="0" w:color="auto"/>
            </w:tcBorders>
            <w:tcMar>
              <w:top w:w="0" w:type="dxa"/>
              <w:left w:w="108" w:type="dxa"/>
              <w:bottom w:w="0" w:type="dxa"/>
              <w:right w:w="98" w:type="dxa"/>
            </w:tcMar>
            <w:vAlign w:val="center"/>
            <w:hideMark/>
          </w:tcPr>
          <w:p w14:paraId="7E884E68" w14:textId="77777777" w:rsidR="00D0083C" w:rsidRDefault="00854AE5">
            <w:pPr>
              <w:pStyle w:val="a3"/>
              <w:spacing w:before="0" w:beforeAutospacing="0" w:after="0" w:afterAutospacing="0"/>
              <w:jc w:val="center"/>
              <w:rPr>
                <w:sz w:val="21"/>
                <w:szCs w:val="21"/>
              </w:rPr>
            </w:pPr>
            <w:r>
              <w:rPr>
                <w:rFonts w:ascii="Times New Roman" w:hAnsi="Times New Roman" w:cs="Times New Roman"/>
                <w:sz w:val="21"/>
                <w:szCs w:val="21"/>
              </w:rPr>
              <w:t>1%</w:t>
            </w:r>
          </w:p>
        </w:tc>
      </w:tr>
      <w:tr w:rsidR="00D0083C" w14:paraId="12690C0B" w14:textId="77777777">
        <w:trPr>
          <w:divId w:val="277690115"/>
          <w:trHeight w:val="411"/>
          <w:jc w:val="center"/>
        </w:trPr>
        <w:tc>
          <w:tcPr>
            <w:tcW w:w="3633" w:type="dxa"/>
            <w:tcBorders>
              <w:right w:val="single" w:sz="8" w:space="0" w:color="auto"/>
            </w:tcBorders>
            <w:tcMar>
              <w:top w:w="0" w:type="dxa"/>
              <w:left w:w="98" w:type="dxa"/>
              <w:bottom w:w="0" w:type="dxa"/>
              <w:right w:w="98" w:type="dxa"/>
            </w:tcMar>
            <w:vAlign w:val="center"/>
            <w:hideMark/>
          </w:tcPr>
          <w:p w14:paraId="5F28960C" w14:textId="77777777" w:rsidR="00D0083C" w:rsidRDefault="00854AE5">
            <w:pPr>
              <w:pStyle w:val="a3"/>
              <w:spacing w:before="0" w:beforeAutospacing="0" w:after="0" w:afterAutospacing="0"/>
              <w:jc w:val="center"/>
              <w:rPr>
                <w:sz w:val="21"/>
                <w:szCs w:val="21"/>
              </w:rPr>
            </w:pPr>
            <w:r>
              <w:rPr>
                <w:rFonts w:hint="eastAsia"/>
                <w:sz w:val="21"/>
                <w:szCs w:val="21"/>
              </w:rPr>
              <w:t>总</w:t>
            </w:r>
            <w:r>
              <w:rPr>
                <w:rFonts w:ascii="Times New Roman" w:hAnsi="Times New Roman" w:cs="Times New Roman"/>
                <w:sz w:val="21"/>
                <w:szCs w:val="21"/>
              </w:rPr>
              <w:t> </w:t>
            </w:r>
            <w:r>
              <w:rPr>
                <w:rFonts w:hint="eastAsia"/>
                <w:sz w:val="21"/>
                <w:szCs w:val="21"/>
              </w:rPr>
              <w:t xml:space="preserve"> 计</w:t>
            </w:r>
          </w:p>
        </w:tc>
        <w:tc>
          <w:tcPr>
            <w:tcW w:w="1625" w:type="dxa"/>
            <w:tcBorders>
              <w:right w:val="single" w:sz="8" w:space="0" w:color="auto"/>
            </w:tcBorders>
            <w:tcMar>
              <w:top w:w="0" w:type="dxa"/>
              <w:left w:w="108" w:type="dxa"/>
              <w:bottom w:w="0" w:type="dxa"/>
              <w:right w:w="98" w:type="dxa"/>
            </w:tcMar>
            <w:vAlign w:val="center"/>
            <w:hideMark/>
          </w:tcPr>
          <w:p w14:paraId="331140E6" w14:textId="77777777" w:rsidR="00D0083C" w:rsidRDefault="00854AE5">
            <w:pPr>
              <w:pStyle w:val="a3"/>
              <w:spacing w:before="0" w:beforeAutospacing="0" w:after="0" w:afterAutospacing="0"/>
              <w:jc w:val="center"/>
              <w:rPr>
                <w:sz w:val="21"/>
                <w:szCs w:val="21"/>
              </w:rPr>
            </w:pPr>
            <w:r>
              <w:rPr>
                <w:rFonts w:ascii="Times New Roman" w:hAnsi="Times New Roman" w:cs="Times New Roman"/>
                <w:sz w:val="21"/>
                <w:szCs w:val="21"/>
              </w:rPr>
              <w:t>15,000</w:t>
            </w:r>
          </w:p>
        </w:tc>
        <w:tc>
          <w:tcPr>
            <w:tcW w:w="1995" w:type="dxa"/>
            <w:tcMar>
              <w:top w:w="0" w:type="dxa"/>
              <w:left w:w="108" w:type="dxa"/>
              <w:bottom w:w="0" w:type="dxa"/>
              <w:right w:w="98" w:type="dxa"/>
            </w:tcMar>
            <w:vAlign w:val="center"/>
            <w:hideMark/>
          </w:tcPr>
          <w:p w14:paraId="37F378AB" w14:textId="77777777" w:rsidR="00D0083C" w:rsidRDefault="00854AE5">
            <w:pPr>
              <w:pStyle w:val="a3"/>
              <w:spacing w:before="0" w:beforeAutospacing="0" w:after="0" w:afterAutospacing="0"/>
              <w:jc w:val="center"/>
              <w:rPr>
                <w:sz w:val="21"/>
                <w:szCs w:val="21"/>
              </w:rPr>
            </w:pPr>
            <w:r>
              <w:rPr>
                <w:rFonts w:ascii="Times New Roman" w:hAnsi="Times New Roman" w:cs="Times New Roman"/>
                <w:sz w:val="21"/>
                <w:szCs w:val="21"/>
              </w:rPr>
              <w:t>100%</w:t>
            </w:r>
          </w:p>
        </w:tc>
      </w:tr>
    </w:tbl>
    <w:p w14:paraId="62FFC641"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二、主要人员情况</w:t>
      </w:r>
    </w:p>
    <w:p w14:paraId="096597AA"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1</w:t>
      </w:r>
      <w:r>
        <w:rPr>
          <w:rFonts w:hint="eastAsia"/>
          <w:sz w:val="21"/>
          <w:szCs w:val="21"/>
        </w:rPr>
        <w:t>、基金管理人董事会成员</w:t>
      </w:r>
    </w:p>
    <w:p w14:paraId="19780564"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何如先生，董事长，硕士，高级会计师，国籍：中国。历任中国电子器件公司深圳公司副总会计师兼财务处处长、总会计师、常务副总经理、总经理、党委书记，深圳发展银行行长助理、副行长、党委委员、副董事长、行长、党委副书记，现任国信证券股份有限公司董事长、党委书记，鹏华基金管理有限公司董事长。</w:t>
      </w:r>
    </w:p>
    <w:p w14:paraId="2C737C62"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邓召明先生，党委书记、董事、总裁，经济学博士，讲师，国籍：中国。历任北京理工大学管理与经济学院讲师、中国兵器工业总公司主任科员、中国证监会处长、南方基金管理有限公司副总经理、中国证监会第六、七届发审委委员，现任鹏华基金管理有限公司党委书记、总裁。</w:t>
      </w:r>
    </w:p>
    <w:p w14:paraId="65779823"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孙煜扬先生，董事，经济学博士，国籍：中国。历任贵州省政府经济体制改革委员会主任科员、中共深圳市委政策研究室副处长、深圳证券结算公司常务副总经理、深圳证券交易所首任行政总监、香港深业（集团）有限公司助理总经理、香港深业控股有限公司副总经理、中国高新技术产业投资管理有限公司董事长兼行政总裁、鹏华基金管理有限公司董事总裁, 国信证券股份有限公司副总裁，国信证券股份有限公司公司顾问。</w:t>
      </w:r>
    </w:p>
    <w:p w14:paraId="38145D11"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 xml:space="preserve">Massimo Mazzini先生，董事，经济和商学学士。国籍：意大利。曾在安达信（Arthur Andersen MBA）从事风险管理和资产管理工作，历任CA AIPG SGR投资总监、CAAM AI SGR及CA AIPG SGR首席执行官和投资总监、东方汇理资产管理股份有限公司（CAAM SGR）投资副总监、农业信贷另类投资集团（Credit Agricole Alternative </w:t>
      </w:r>
      <w:r>
        <w:rPr>
          <w:rFonts w:hint="eastAsia"/>
          <w:sz w:val="21"/>
          <w:szCs w:val="21"/>
        </w:rPr>
        <w:lastRenderedPageBreak/>
        <w:t>Investments Group）国际执行委员会委员、意大利欧利盛资本资产管理股份公司（Eurizon Capital SGR S.p.A.）投资方案部投资总监、Epsilon 资产管理股份公司（Epsilon SGR）首席执行官，欧利盛资本股份公司（Eurizon Capital S.A.）（卢森堡）首席执行官和总经理。现任意大利欧利盛资本资产管理股份公司（Eurizon Capital SGR S.p.A.）市场及业务发展总监。</w:t>
      </w:r>
    </w:p>
    <w:p w14:paraId="004333AA"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Andrea Vismara先生，董事，法学学士，律师，国籍：意大利。曾在意大利多家律师事务所担任律师，先后在法国农业信贷集团（Credit Agricole Group）东方汇理资产管理股份有限公司（CAAM SGR）法务部、产品开发部，欧利盛资本资产管理股份公司（Eurizon Capital SGR S.p.A.）治理与股权部工作，现在担任意大利欧利盛资本资产管理股份公司（Eurizon Capital SGR S.p.A）董事会秘书兼任企业事务部总经理，欧利盛资本股份公司（Eurizon Capital S.A.）（卢森堡）企业服务部总经理。</w:t>
      </w:r>
    </w:p>
    <w:p w14:paraId="2D21B61C"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 xml:space="preserve">周中国先生，董事，会计学硕士，高级会计师，注册会计师，国籍：中国。历任深圳华为技术有限公司定价中心经理助理、国信证券股份有限公司资金财务总部业务经理、深圳金地证券服务部财务经理、资金财务总部高级经理、总经理助理、副总经理、人力资源总部副总经理等职务。现任国信证券股份有限公司财务负责人、资金财务总部总经理兼人力资源总部总经理。 </w:t>
      </w:r>
    </w:p>
    <w:p w14:paraId="0154103E"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史际春先生，独立董事，法学博士，国籍：中国。历任安徽大学讲师、中国人民大学副教授，现任中国人民大学法学院教授、博士生导师，国务院特殊津贴专家，兼任中国法学会经济法学研究会副会长、北京市人大常委会和法制委员会委员。</w:t>
      </w:r>
    </w:p>
    <w:p w14:paraId="10FFC1A4"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张元先生，独立董事，大学本科，国籍：中国。曾任新疆军区干事、秘书、编辑，甘肃省委研究室干事、副处长、处长、副主任，中央金融工作委员会研究室主任，中国银监会政策法规部（研究局）主任（局长）等职务；2005年6月至2007年12月，任中央国债登记结算有限责任公司董事长兼党委书记；2007年12月至2010年12月，任中央国债登记结算有限责任公司监事长兼党委副书记。</w:t>
      </w:r>
    </w:p>
    <w:p w14:paraId="3EB45D03"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高臻女士，独立董事，工商管理硕士，国籍：中国。曾任中国进出口银行副处长，负责贷款管理和运营，项目涉及制造业、能源、电信、跨国并购；2007年加入曼达林投资顾问有限公司，现任曼达林投资顾问有限公司执行合伙人。</w:t>
      </w:r>
    </w:p>
    <w:p w14:paraId="2861166B" w14:textId="77777777" w:rsidR="00D0083C" w:rsidRDefault="00854AE5">
      <w:pPr>
        <w:divId w:val="277690115"/>
        <w:rPr>
          <w:sz w:val="24"/>
          <w:szCs w:val="24"/>
        </w:rPr>
      </w:pPr>
      <w:r>
        <w:rPr>
          <w:rFonts w:hint="eastAsia"/>
        </w:rPr>
        <w:t> </w:t>
      </w:r>
    </w:p>
    <w:p w14:paraId="2FA5CC42"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2</w:t>
      </w:r>
      <w:r>
        <w:rPr>
          <w:rFonts w:hint="eastAsia"/>
          <w:sz w:val="21"/>
          <w:szCs w:val="21"/>
        </w:rPr>
        <w:t>、基金管理人监事会成员</w:t>
      </w:r>
    </w:p>
    <w:p w14:paraId="0699BB19"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黄俞先生，监事会主席，研究生学历，国籍：中国。曾在中农信公司、正大财务公司工作，曾任鹏华基金管理有限公司董事、监事，现任深圳市北融信投资发展有限公司董事长。</w:t>
      </w:r>
    </w:p>
    <w:p w14:paraId="52AB6D9F"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lastRenderedPageBreak/>
        <w:t>陈冰女士，监事，本科学历，国籍：中国。曾任国信证券股份有限公司资金财务部会计、上海营业部财务科副科长、资金财务部财务科副经理、资金财务部资金科经理、资金财务部主任会计师兼科经理、资金财务部总经理助理、资金财务总部副总经理等，现任国信证券资金财务总部副总经理兼资金运营部总经理、融资融券部总经理。</w:t>
      </w:r>
    </w:p>
    <w:p w14:paraId="159947CD"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SANDRO VESPRINI先生，监事，工商管理学士，国籍：意大利。先后在米兰军医院出纳部、税务师事务所、菲亚特汽车发动机和变速器平台管控管理团队工作、圣保罗IMI资产管理SGR企业经管部、圣保罗财富管理企业管控部工作、曾任欧利盛资本资产管理股份公司（Eurizon Capital SGR S.p.A.）财务管理和投资经理，现任欧利盛资本资产管理股份公司（Eurizon Capital SGR S.p.A.）财务负责人。</w:t>
      </w:r>
    </w:p>
    <w:p w14:paraId="3464518D"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于丹女士，职工监事，法学硕士，国籍：中国。历任北京市金杜(深圳)律师事务所律师；2011年7月加盟鹏华基金管理有限公司，历任监察稽核部法务主管，现任监察稽核部总经理助理。</w:t>
      </w:r>
    </w:p>
    <w:p w14:paraId="07994C0B"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郝文高先生，职工监事，大专学历，国籍：中国。历任深圳奥尊电脑有限公司证券基金事业部副经理、招商基金管理有限公司基金事务部总监；2011年7月加盟鹏华基金管理有限公司，现任登记结算部总经理。</w:t>
      </w:r>
    </w:p>
    <w:p w14:paraId="1F06EFDB"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刘嵚先生，职工监事，管理学硕士，国籍：中国。历任毕马威（中国）管理顾问公司咨询顾问，南方基金管理有限公司北京分公司副总经理；2014年10月加入鹏华基金管理有限公司，现任鹏华基金管理有限公司总裁助理、首席市场官兼市场发展部、北京分公司总经理。</w:t>
      </w:r>
    </w:p>
    <w:p w14:paraId="682C5E54" w14:textId="77777777" w:rsidR="00D0083C" w:rsidRDefault="00854AE5">
      <w:pPr>
        <w:divId w:val="277690115"/>
        <w:rPr>
          <w:sz w:val="24"/>
          <w:szCs w:val="24"/>
        </w:rPr>
      </w:pPr>
      <w:r>
        <w:rPr>
          <w:rFonts w:hint="eastAsia"/>
        </w:rPr>
        <w:t> </w:t>
      </w:r>
    </w:p>
    <w:p w14:paraId="092B9815"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3</w:t>
      </w:r>
      <w:r>
        <w:rPr>
          <w:rFonts w:hint="eastAsia"/>
          <w:sz w:val="21"/>
          <w:szCs w:val="21"/>
        </w:rPr>
        <w:t>、高级管理人员情况</w:t>
      </w:r>
    </w:p>
    <w:p w14:paraId="68760FC1"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何如先生，董事长，硕士，高级会计师，国籍：中国。历任中国电子器件公司深圳公司副总会计师兼财务处处长、总会计师、常务副总经理、总经理、党委书记，深圳发展银行行长助理、副行长、党委委员、副董事长、行长、党委副书记，现任国信证券股份有限公司董事长、党委书记，鹏华基金管理有限公司董事长。</w:t>
      </w:r>
    </w:p>
    <w:p w14:paraId="14474CD0"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邓召明先生，党委书记、董事、总裁，经济学博士，讲师，国籍：中国。历任北京理工大学管理与经济学院讲师、中国兵器工业总公司主任科员、中国证监会处长、南方基金管理有限公司副总经理、中国证监会第六、七届发审委委员，现任鹏华基金管理有限公司党委书记、总裁。</w:t>
      </w:r>
    </w:p>
    <w:p w14:paraId="0E5A780B"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高阳先生，党委副书记、副总裁，特许金融分析师（CFA），经济学硕士，国籍：中国。历任中国国际金融有限公司经理，博时基金管理有限公司博时价值增长基金基金经理、固定收益部总经理、基金裕泽基金经理、基金裕隆基金经理、股票投资部总经理，现任鹏华基金管理有限公司党委副书记、副总裁。</w:t>
      </w:r>
    </w:p>
    <w:p w14:paraId="3FBC057A"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lastRenderedPageBreak/>
        <w:t>邢彪先生，副总裁，工商管理硕士、法学硕士，国籍：中国。历任中国人民大学校办科员，中国证监会办公厅副处级秘书，全国社保基金理事会证券投资部处长、股权资产部（实业投资部）副主任，并于2014年至2015年期间担任中国证监会第16届主板发审委专职委员，现任鹏华基金管理有限公司副总裁。</w:t>
      </w:r>
    </w:p>
    <w:p w14:paraId="2B2AFE1A"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高鹏先生，副总裁，经济学硕士，国籍：中国。历任博时基金管理有限公司监察法律部监察稽核经理，鹏华基金管理有限公司监察稽核部副总经理、监察稽核部总经理、职工监事、督察长，现任鹏华基金管理有限公司副总裁。</w:t>
      </w:r>
    </w:p>
    <w:p w14:paraId="2B62EAB0"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苏波先生，副总裁，管理学博士，国籍：中国。历任深圳经济特区证券公司研究所副所长、投资部经理，南方基金管理有限公司渠道服务二部总监助理，易方达基金管理有限公司信息技术部总经理助理，鹏华基金管理有限公司总裁助理、机构理财部总经理、职工监事，现任鹏华基金管理有限公司副总裁。</w:t>
      </w:r>
    </w:p>
    <w:p w14:paraId="0CD2211B"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高永杰先生，纪委书记，督察长，法学硕士，国籍：中国。历任中共中央办公厅秘书局干部，中国证监会办公厅新闻处干部、秘书处副处级秘书、发行监管部副处长、人事教育部副处长、处长，现任鹏华基金管理有限公司纪委书记、督察长。</w:t>
      </w:r>
    </w:p>
    <w:p w14:paraId="744CC100"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韩亚庆先生，副总经理，经济学硕士。国籍：中国。历任国家开发银行资金局主任科员，全国社保基金理事会投资部副调研员，南方基金管理有限公司固定收益部基金经理、固定收益部总监，现任鹏华基金管理有限公司副总裁、固定收益投资总监、固定收益部总经理。</w:t>
      </w:r>
    </w:p>
    <w:p w14:paraId="3F95260B" w14:textId="77777777" w:rsidR="00D0083C" w:rsidRDefault="00854AE5">
      <w:pPr>
        <w:divId w:val="277690115"/>
        <w:rPr>
          <w:sz w:val="24"/>
          <w:szCs w:val="24"/>
        </w:rPr>
      </w:pPr>
      <w:r>
        <w:rPr>
          <w:rFonts w:hint="eastAsia"/>
        </w:rPr>
        <w:t> </w:t>
      </w:r>
    </w:p>
    <w:p w14:paraId="57E15660"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4</w:t>
      </w:r>
      <w:r>
        <w:rPr>
          <w:rFonts w:hint="eastAsia"/>
          <w:sz w:val="21"/>
          <w:szCs w:val="21"/>
        </w:rPr>
        <w:t>、本基金基金经理</w:t>
      </w:r>
    </w:p>
    <w:p w14:paraId="7ABB8DAB"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李振宇先生，国籍中国，经济学硕士，7年证券基金从业经验。曾任银华基金管理有限公司固定收益部基金经理助理，从事债券投资研究工作；2016年8月加盟鹏华基金管理有限公司，历任固定收益部投资经理，现担任固定收益部基金经理。2016年12月担任鹏华丰盈债券基金基金经理，2016年12月至2018年07月担任鹏华丰惠债券基金基金经理，2017年02月至2018年07月担任鹏华可转债基金基金经理，2017年05月担任鹏华丰康债券基金基金经理，2017年05月担任鹏华金城保本混合基金基金经理，2018年06月担任鹏华尊享定期开放发起式债券基金基金经理，2018年06月担任鹏华安益增强混合基金基金经理，2018年12月担任鹏华丰华债券基金基金经理。李振宇先生具备基金从业资格。</w:t>
      </w:r>
    </w:p>
    <w:p w14:paraId="0836CF70"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本基金基金经理管理的其他基金情况：</w:t>
      </w:r>
    </w:p>
    <w:p w14:paraId="39C0A7F9"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2016年12月担任鹏华丰盈债券基金基金经理</w:t>
      </w:r>
    </w:p>
    <w:p w14:paraId="2EF8BC59"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2016年12月至2018年07月担任鹏华丰惠债券基金基金经理</w:t>
      </w:r>
    </w:p>
    <w:p w14:paraId="175E6159"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2017年02月至2018年07月担任鹏华可转债基金基金经理</w:t>
      </w:r>
    </w:p>
    <w:p w14:paraId="1AC963F5"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lastRenderedPageBreak/>
        <w:t>2017年05月担任鹏华金城保本混合基金基金经理</w:t>
      </w:r>
    </w:p>
    <w:p w14:paraId="3B0C7290"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2018年06月担任鹏华尊享定期开放发起式债券基金基金经理</w:t>
      </w:r>
    </w:p>
    <w:p w14:paraId="6793DFDE"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2018年06月担任鹏华安益增强混合基金基金经理</w:t>
      </w:r>
    </w:p>
    <w:p w14:paraId="2F003485"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2018年12月担任鹏华丰华债券基金基金经理</w:t>
      </w:r>
    </w:p>
    <w:p w14:paraId="35EBA93C"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本基金历任的基金经理：</w:t>
      </w:r>
    </w:p>
    <w:p w14:paraId="2CC83140"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2017年03月至2018年04月           刘太阳先生</w:t>
      </w:r>
    </w:p>
    <w:p w14:paraId="17161E8C" w14:textId="77777777" w:rsidR="00D0083C" w:rsidRDefault="00854AE5">
      <w:pPr>
        <w:divId w:val="277690115"/>
        <w:rPr>
          <w:sz w:val="24"/>
          <w:szCs w:val="24"/>
        </w:rPr>
      </w:pPr>
      <w:r>
        <w:rPr>
          <w:rFonts w:hint="eastAsia"/>
        </w:rPr>
        <w:t> </w:t>
      </w:r>
    </w:p>
    <w:p w14:paraId="469EA079"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5</w:t>
      </w:r>
      <w:r>
        <w:rPr>
          <w:rFonts w:hint="eastAsia"/>
          <w:sz w:val="21"/>
          <w:szCs w:val="21"/>
        </w:rPr>
        <w:t>、投资决策委员会成员情况</w:t>
      </w:r>
    </w:p>
    <w:p w14:paraId="4E7F23F6"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邓召明先生，鹏华基金管理有限公司党委书记、董事、总裁。</w:t>
      </w:r>
    </w:p>
    <w:p w14:paraId="7E9384AE"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高阳先生，鹏华基金管理有限公司党委副书记、副总裁。</w:t>
      </w:r>
    </w:p>
    <w:p w14:paraId="7C561220"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邢彪先生，鹏华基金管理有限公司副总裁。</w:t>
      </w:r>
    </w:p>
    <w:p w14:paraId="0D024CD7"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高鹏先生，鹏华基金管理有限公司副总裁。</w:t>
      </w:r>
    </w:p>
    <w:p w14:paraId="2C4A8748"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韩亚庆先生，鹏华基金管理有限公司副总裁。</w:t>
      </w:r>
    </w:p>
    <w:p w14:paraId="4234B151"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梁浩先生，鹏华基金管理有限公司研究部总经理，鹏华新兴产业混合、鹏华研究精选混合、鹏华创新驱动混合基金经理。</w:t>
      </w:r>
    </w:p>
    <w:p w14:paraId="7A835A4C" w14:textId="77777777" w:rsidR="00D0083C" w:rsidRDefault="00854AE5">
      <w:pPr>
        <w:pStyle w:val="a3"/>
        <w:spacing w:before="75" w:beforeAutospacing="0" w:after="75" w:afterAutospacing="0" w:line="360" w:lineRule="auto"/>
        <w:ind w:firstLine="420"/>
        <w:divId w:val="277690115"/>
        <w:rPr>
          <w:sz w:val="21"/>
          <w:szCs w:val="21"/>
        </w:rPr>
      </w:pPr>
      <w:r>
        <w:rPr>
          <w:rFonts w:hint="eastAsia"/>
          <w:sz w:val="21"/>
          <w:szCs w:val="21"/>
        </w:rPr>
        <w:t>赵强先生，鹏华基金管理有限公司资产配置与基金投资部FOF投资副总监。</w:t>
      </w:r>
    </w:p>
    <w:p w14:paraId="1C2C08B4" w14:textId="77777777" w:rsidR="00D0083C" w:rsidRDefault="00854AE5">
      <w:pPr>
        <w:divId w:val="277690115"/>
        <w:rPr>
          <w:sz w:val="24"/>
          <w:szCs w:val="24"/>
        </w:rPr>
      </w:pPr>
      <w:r>
        <w:rPr>
          <w:rFonts w:hint="eastAsia"/>
        </w:rPr>
        <w:t> </w:t>
      </w:r>
    </w:p>
    <w:p w14:paraId="605694DD"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6</w:t>
      </w:r>
      <w:r>
        <w:rPr>
          <w:rFonts w:hint="eastAsia"/>
          <w:sz w:val="21"/>
          <w:szCs w:val="21"/>
        </w:rPr>
        <w:t>、上述人员之间不存在近亲属关系。</w:t>
      </w:r>
    </w:p>
    <w:p w14:paraId="7499DA51"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三、基金管理人的职责</w:t>
      </w:r>
    </w:p>
    <w:p w14:paraId="4D59552E"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1</w:t>
      </w:r>
      <w:r>
        <w:rPr>
          <w:rFonts w:hint="eastAsia"/>
          <w:sz w:val="21"/>
          <w:szCs w:val="21"/>
        </w:rPr>
        <w:t>、依法募集资金，办理基金份额的发售和登记事宜；</w:t>
      </w:r>
    </w:p>
    <w:p w14:paraId="77259402"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2</w:t>
      </w:r>
      <w:r>
        <w:rPr>
          <w:rFonts w:hint="eastAsia"/>
          <w:sz w:val="21"/>
          <w:szCs w:val="21"/>
        </w:rPr>
        <w:t>、办理基金备案手续；</w:t>
      </w:r>
    </w:p>
    <w:p w14:paraId="77AC09CF"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3</w:t>
      </w:r>
      <w:r>
        <w:rPr>
          <w:rFonts w:hint="eastAsia"/>
          <w:sz w:val="21"/>
          <w:szCs w:val="21"/>
        </w:rPr>
        <w:t>、对所管理的不同基金财产分别管理、分别记账，进行证券投资；</w:t>
      </w:r>
    </w:p>
    <w:p w14:paraId="1E01386C"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4</w:t>
      </w:r>
      <w:r>
        <w:rPr>
          <w:rFonts w:hint="eastAsia"/>
          <w:sz w:val="21"/>
          <w:szCs w:val="21"/>
        </w:rPr>
        <w:t>、按照基金合同的约定确定基金收益分配方案，及时向基金份额持有人分配收益；</w:t>
      </w:r>
    </w:p>
    <w:p w14:paraId="2FDE4234"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5</w:t>
      </w:r>
      <w:r>
        <w:rPr>
          <w:rFonts w:hint="eastAsia"/>
          <w:sz w:val="21"/>
          <w:szCs w:val="21"/>
        </w:rPr>
        <w:t>、进行基金会计核算并编制基金财务会计报告；</w:t>
      </w:r>
    </w:p>
    <w:p w14:paraId="7C9E9CDA" w14:textId="77777777" w:rsidR="00BE6383" w:rsidRDefault="00BE6383" w:rsidP="00BE6383">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6</w:t>
      </w:r>
      <w:r>
        <w:rPr>
          <w:rFonts w:hint="eastAsia"/>
          <w:sz w:val="21"/>
          <w:szCs w:val="21"/>
        </w:rPr>
        <w:t>、编制</w:t>
      </w:r>
      <w:r w:rsidRPr="00C12A9D">
        <w:rPr>
          <w:rFonts w:hint="eastAsia"/>
          <w:sz w:val="21"/>
          <w:szCs w:val="21"/>
        </w:rPr>
        <w:t>季度报告、中期报告</w:t>
      </w:r>
      <w:r w:rsidRPr="00C12A9D">
        <w:rPr>
          <w:sz w:val="21"/>
          <w:szCs w:val="21"/>
        </w:rPr>
        <w:t>和年度报告</w:t>
      </w:r>
      <w:r>
        <w:rPr>
          <w:rFonts w:hint="eastAsia"/>
          <w:sz w:val="21"/>
          <w:szCs w:val="21"/>
        </w:rPr>
        <w:t>；</w:t>
      </w:r>
    </w:p>
    <w:p w14:paraId="6BF460D6" w14:textId="77777777" w:rsidR="00BE6383" w:rsidRDefault="00BE6383" w:rsidP="00BE6383">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7</w:t>
      </w:r>
      <w:r>
        <w:rPr>
          <w:rFonts w:hint="eastAsia"/>
          <w:sz w:val="21"/>
          <w:szCs w:val="21"/>
        </w:rPr>
        <w:t>、计算并公告</w:t>
      </w:r>
      <w:r w:rsidRPr="00C12A9D">
        <w:rPr>
          <w:rFonts w:hint="eastAsia"/>
          <w:sz w:val="21"/>
          <w:szCs w:val="21"/>
        </w:rPr>
        <w:t>基金净值信息</w:t>
      </w:r>
      <w:r>
        <w:rPr>
          <w:rFonts w:hint="eastAsia"/>
          <w:sz w:val="21"/>
          <w:szCs w:val="21"/>
        </w:rPr>
        <w:t>，确定基金份额申购、赎回价格；</w:t>
      </w:r>
    </w:p>
    <w:p w14:paraId="352563E7"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8</w:t>
      </w:r>
      <w:r>
        <w:rPr>
          <w:rFonts w:hint="eastAsia"/>
          <w:sz w:val="21"/>
          <w:szCs w:val="21"/>
        </w:rPr>
        <w:t>、办理与基金财产管理业务活动有关的信息披露事项；</w:t>
      </w:r>
    </w:p>
    <w:p w14:paraId="76766D8E"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9</w:t>
      </w:r>
      <w:r>
        <w:rPr>
          <w:rFonts w:hint="eastAsia"/>
          <w:sz w:val="21"/>
          <w:szCs w:val="21"/>
        </w:rPr>
        <w:t>、按照规定召集基金份额持有人大会；</w:t>
      </w:r>
    </w:p>
    <w:p w14:paraId="3855DC38"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10</w:t>
      </w:r>
      <w:r>
        <w:rPr>
          <w:rFonts w:hint="eastAsia"/>
          <w:sz w:val="21"/>
          <w:szCs w:val="21"/>
        </w:rPr>
        <w:t>、保存基金财产管理业务活动的记录、账册、报表和其他相关资料；</w:t>
      </w:r>
    </w:p>
    <w:p w14:paraId="50EE1F18"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11</w:t>
      </w:r>
      <w:r>
        <w:rPr>
          <w:rFonts w:hint="eastAsia"/>
          <w:sz w:val="21"/>
          <w:szCs w:val="21"/>
        </w:rPr>
        <w:t>、以基金管理人名义，代表基金份额持有人利益行使诉讼权利或者实施其他法律行为；</w:t>
      </w:r>
    </w:p>
    <w:p w14:paraId="5A2BB1E3"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12</w:t>
      </w:r>
      <w:r>
        <w:rPr>
          <w:rFonts w:hint="eastAsia"/>
          <w:sz w:val="21"/>
          <w:szCs w:val="21"/>
        </w:rPr>
        <w:t>、中国证监会规定的其他职责。</w:t>
      </w:r>
    </w:p>
    <w:p w14:paraId="595426F5"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lastRenderedPageBreak/>
        <w:t>四、基金管理人的承诺</w:t>
      </w:r>
    </w:p>
    <w:p w14:paraId="0C676883"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1</w:t>
      </w:r>
      <w:r>
        <w:rPr>
          <w:rFonts w:hint="eastAsia"/>
          <w:sz w:val="21"/>
          <w:szCs w:val="21"/>
        </w:rPr>
        <w:t>、基金管理人承诺不从事违反《证券法》、《基金法》、《销售办法》、《运作办法》、《信息披露办法》等法律法规的行为，并承诺建立健全内部控制制度，采取有效措施，防止违法行为的发生。</w:t>
      </w:r>
    </w:p>
    <w:p w14:paraId="76212574"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2</w:t>
      </w:r>
      <w:r>
        <w:rPr>
          <w:rFonts w:hint="eastAsia"/>
          <w:sz w:val="21"/>
          <w:szCs w:val="21"/>
        </w:rPr>
        <w:t>、基金管理人的禁止行为：</w:t>
      </w:r>
    </w:p>
    <w:p w14:paraId="70A6D85C"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）将基金管理人固有财产或者他人财产混同于基金财产从事证券投资；</w:t>
      </w:r>
    </w:p>
    <w:p w14:paraId="4BC74020"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）不公平地对待公司管理的不同基金财产；</w:t>
      </w:r>
    </w:p>
    <w:p w14:paraId="35F3EB76"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）利用基金财产为基金份额持有人以外的第三人牟取利益；</w:t>
      </w:r>
    </w:p>
    <w:p w14:paraId="699CCD8E"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）向基金份额持有人违规承诺收益或者承担损失；</w:t>
      </w:r>
    </w:p>
    <w:p w14:paraId="3F86A990"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）法律法规以及中国证监会禁止的其他行为。</w:t>
      </w:r>
    </w:p>
    <w:p w14:paraId="2C23BF26"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3</w:t>
      </w:r>
      <w:r>
        <w:rPr>
          <w:rFonts w:hint="eastAsia"/>
          <w:sz w:val="21"/>
          <w:szCs w:val="21"/>
        </w:rPr>
        <w:t>、基金管理人承诺加强人员管理，强化职业操守，督促和约束员工遵守国家有关法律法规及行业规范，诚实信用、勤勉尽责，不从事以下活动：</w:t>
      </w:r>
    </w:p>
    <w:p w14:paraId="7268D35E"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）越权或违规经营；</w:t>
      </w:r>
    </w:p>
    <w:p w14:paraId="3A81B0B0"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）违反法律法规、基金合同或托管协议；</w:t>
      </w:r>
    </w:p>
    <w:p w14:paraId="1C642D60"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）故意损害基金份额持有人或基金合同其他当事人的合法权益；</w:t>
      </w:r>
    </w:p>
    <w:p w14:paraId="4A2D82C2"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）在向中国证监会报送的资料中弄虚作假；</w:t>
      </w:r>
    </w:p>
    <w:p w14:paraId="4EFE1FDF"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）拒绝、干扰、阻挠或严重影响中国证监会依法监管；</w:t>
      </w:r>
    </w:p>
    <w:p w14:paraId="06198E39"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）玩忽职守、滥用职权；</w:t>
      </w:r>
    </w:p>
    <w:p w14:paraId="1D71DCE0"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）泄露在任职期间知悉的有关证券、基金的商业秘密、尚未依法公开的基金投资内容、基金投资计划等信息；</w:t>
      </w:r>
    </w:p>
    <w:p w14:paraId="343351BF"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）除按本基金管理人制度进行基金运作投资外，直接或间接进行其他股票投资；</w:t>
      </w:r>
    </w:p>
    <w:p w14:paraId="2FD3D418"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）协助、接受委托或以其他任何形式为其他组织或个人进行证券交易；</w:t>
      </w:r>
    </w:p>
    <w:p w14:paraId="6C7C7009"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）违反证券交易所业务规则，利用对敲、倒仓等非法手段操纵市场价格，扰乱市场秩序；</w:t>
      </w:r>
    </w:p>
    <w:p w14:paraId="7CE308DE"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）贬损同行，以提高自己；</w:t>
      </w:r>
    </w:p>
    <w:p w14:paraId="2CD839BD"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）在公开信息披露和广告中故意含有虚假、误导、欺诈成份；</w:t>
      </w:r>
    </w:p>
    <w:p w14:paraId="7E2BE2B2"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）以不正当手段谋求业务发展；</w:t>
      </w:r>
    </w:p>
    <w:p w14:paraId="74A4BB1A"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14</w:t>
      </w:r>
      <w:r>
        <w:rPr>
          <w:rFonts w:hint="eastAsia"/>
          <w:sz w:val="21"/>
          <w:szCs w:val="21"/>
        </w:rPr>
        <w:t>）有悖社会公德，损害证券投资基金人员形象；</w:t>
      </w:r>
    </w:p>
    <w:p w14:paraId="6EAAB8C6"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15</w:t>
      </w:r>
      <w:r>
        <w:rPr>
          <w:rFonts w:hint="eastAsia"/>
          <w:sz w:val="21"/>
          <w:szCs w:val="21"/>
        </w:rPr>
        <w:t>）其他法律、行政法规禁止的行为。</w:t>
      </w:r>
    </w:p>
    <w:p w14:paraId="267F662A"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4</w:t>
      </w:r>
      <w:r>
        <w:rPr>
          <w:rFonts w:hint="eastAsia"/>
          <w:sz w:val="21"/>
          <w:szCs w:val="21"/>
        </w:rPr>
        <w:t>、基金经理承诺</w:t>
      </w:r>
    </w:p>
    <w:p w14:paraId="007F11D5"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）依照有关法律法规和基金合同的规定，本着谨慎的原则为基金份额持有人谋取最大利益；</w:t>
      </w:r>
    </w:p>
    <w:p w14:paraId="25DBD12D"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）不得利用职务之便为自己、受雇人或任何第三者谋取利益；</w:t>
      </w:r>
    </w:p>
    <w:p w14:paraId="7CF4790C"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lastRenderedPageBreak/>
        <w:t>（</w:t>
      </w:r>
      <w:r>
        <w:rPr>
          <w:rFonts w:ascii="Times New Roman" w:hAnsi="Times New Roman" w:cs="Times New Roman"/>
          <w:sz w:val="21"/>
          <w:szCs w:val="21"/>
        </w:rPr>
        <w:t>3</w:t>
      </w:r>
      <w:r>
        <w:rPr>
          <w:rFonts w:hint="eastAsia"/>
          <w:sz w:val="21"/>
          <w:szCs w:val="21"/>
        </w:rPr>
        <w:t>）不泄露在任职期间知悉的有关证券、基金的商业秘密，尚未依法公开的基金投资内容、基金投资计划等信息；</w:t>
      </w:r>
    </w:p>
    <w:p w14:paraId="49D4B490"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）不从事损害基金财产和基金份额持有人利益的证券交易及其他活动。</w:t>
      </w:r>
    </w:p>
    <w:p w14:paraId="001FC977"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五、基金管理人的内部控制制度</w:t>
      </w:r>
    </w:p>
    <w:p w14:paraId="5E8082D7"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1</w:t>
      </w:r>
      <w:r>
        <w:rPr>
          <w:rFonts w:hint="eastAsia"/>
          <w:sz w:val="21"/>
          <w:szCs w:val="21"/>
        </w:rPr>
        <w:t>、内部控制的原则</w:t>
      </w:r>
    </w:p>
    <w:p w14:paraId="03285D2F"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基金管理人的内部控制遵循以下原则：</w:t>
      </w:r>
    </w:p>
    <w:p w14:paraId="3E8B853A"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）健全性原则：内部控制应当包括公司的各项业务、各个部门或机构和各级人员，并涵盖到决策、执行、监督、反馈等各个环节；</w:t>
      </w:r>
    </w:p>
    <w:p w14:paraId="0982E1E9"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）有效性原则：通过科学的内控手段和方法，建立合理的内控程序，维护内控制度的有效执行；</w:t>
      </w:r>
    </w:p>
    <w:p w14:paraId="7D2157F8"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）独立性原则：公司各机构、部门和岗位职责应当保持相对独立，公司基金资产、自有资产、其他资产的运作应当分离；</w:t>
      </w:r>
    </w:p>
    <w:p w14:paraId="0338CB5F"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）相互制约原则：公司内部部门和岗位的设置应当权责分明、相互制衡；</w:t>
      </w:r>
    </w:p>
    <w:p w14:paraId="34DE9BCF"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）成本效益原则：公司运用科学化的经营管理方法降低运作成本，提高经济效益，以合理的控制成本达到最佳的内部控制效果。</w:t>
      </w:r>
    </w:p>
    <w:p w14:paraId="5B0C12B1"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2</w:t>
      </w:r>
      <w:r>
        <w:rPr>
          <w:rFonts w:hint="eastAsia"/>
          <w:sz w:val="21"/>
          <w:szCs w:val="21"/>
        </w:rPr>
        <w:t>、制订内部控制制度应当遵循以下原则：</w:t>
      </w:r>
    </w:p>
    <w:p w14:paraId="7935ED82"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）合法合规性原则：基金管理人内控制度应当符合国家法律、法规、规章和各项规定；</w:t>
      </w:r>
    </w:p>
    <w:p w14:paraId="24E592EF"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）全面性原则：内部控制制度应当涵盖基金管理人经营管理的各个环节，不得留有制度上的空白或漏洞；</w:t>
      </w:r>
    </w:p>
    <w:p w14:paraId="1642944C"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）审慎性原则：制定内部控制制度应当以审慎经营、防范和化解风险为出发点；</w:t>
      </w:r>
    </w:p>
    <w:p w14:paraId="133FE74D"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）适时性原则：内部控制制度的制定应当随着有关法律法规的调整和基金管理人经营战略、经营方针、经营理念等内外部环境的变化进行及时的修改或完善。</w:t>
      </w:r>
    </w:p>
    <w:p w14:paraId="15993796"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3</w:t>
      </w:r>
      <w:r>
        <w:rPr>
          <w:rFonts w:hint="eastAsia"/>
          <w:sz w:val="21"/>
          <w:szCs w:val="21"/>
        </w:rPr>
        <w:t>、内部控制体系</w:t>
      </w:r>
    </w:p>
    <w:p w14:paraId="31F63B54"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）董事会下设合规与风险控制委员会，主要负责制定基金管理人风险控制战略和控制政策、协调突发重大风险等事项；</w:t>
      </w:r>
    </w:p>
    <w:p w14:paraId="4E4EC415"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）公司督察长负责对基金管理人各业务环节合法合规运作进行监督检查，组织、指导基金管理人内部监察稽核工作，并可向董事会和中国证监会直接报告；</w:t>
      </w:r>
    </w:p>
    <w:p w14:paraId="3EC526CE"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）公司经营管理层、督察长、监察稽核部、公司各部门总经理定期召开会议对各类风险予以充分的评估和防范，对业务过程中潜在和存在的风险进行通报、讨论，并及时采取防范和控制措施；</w:t>
      </w:r>
    </w:p>
    <w:p w14:paraId="2C6E8A20"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）监察稽核部负责对基金管理人各部门的风险控制情况进行检查，定期不定期对业务部门内部控制制度执行情况和遵循国家法律、法规及其他规定的执行情况进行检查，并适时提出整改建议；</w:t>
      </w:r>
    </w:p>
    <w:p w14:paraId="27B5A693"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lastRenderedPageBreak/>
        <w:t>（</w:t>
      </w:r>
      <w:r>
        <w:rPr>
          <w:rFonts w:ascii="Times New Roman" w:hAnsi="Times New Roman" w:cs="Times New Roman"/>
          <w:sz w:val="21"/>
          <w:szCs w:val="21"/>
        </w:rPr>
        <w:t>5</w:t>
      </w:r>
      <w:r>
        <w:rPr>
          <w:rFonts w:hint="eastAsia"/>
          <w:sz w:val="21"/>
          <w:szCs w:val="21"/>
        </w:rPr>
        <w:t>）业务部门：对本部门业务范围内的业务风险负有管控和及时报告的义务；</w:t>
      </w:r>
    </w:p>
    <w:p w14:paraId="7EC40AAC"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）员工：依照公司</w:t>
      </w:r>
      <w:r>
        <w:rPr>
          <w:rFonts w:ascii="Times New Roman" w:hAnsi="Times New Roman" w:cs="Times New Roman"/>
          <w:sz w:val="21"/>
          <w:szCs w:val="21"/>
        </w:rPr>
        <w:t>“</w:t>
      </w:r>
      <w:r>
        <w:rPr>
          <w:rFonts w:hint="eastAsia"/>
          <w:sz w:val="21"/>
          <w:szCs w:val="21"/>
        </w:rPr>
        <w:t>全面风险管理、全员风险控制</w:t>
      </w:r>
      <w:r>
        <w:rPr>
          <w:rFonts w:ascii="Times New Roman" w:hAnsi="Times New Roman" w:cs="Times New Roman"/>
          <w:sz w:val="21"/>
          <w:szCs w:val="21"/>
        </w:rPr>
        <w:t>”</w:t>
      </w:r>
      <w:r>
        <w:rPr>
          <w:rFonts w:hint="eastAsia"/>
          <w:sz w:val="21"/>
          <w:szCs w:val="21"/>
        </w:rPr>
        <w:t>的理念，公司每个员工均负有一线风险控制职责，负责把公司的风险控制理念和措施落实到每一个业务环节当中，并负有把业务过程中发现的风险隐患或风险问题及时进行报告、反馈的义务。</w:t>
      </w:r>
    </w:p>
    <w:p w14:paraId="41DA6E4E"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4</w:t>
      </w:r>
      <w:r>
        <w:rPr>
          <w:rFonts w:hint="eastAsia"/>
          <w:sz w:val="21"/>
          <w:szCs w:val="21"/>
        </w:rPr>
        <w:t>、内部控制措施</w:t>
      </w:r>
    </w:p>
    <w:p w14:paraId="73C6900F"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）公司通过不断健全法人治理结构，充分发挥独立董事和监事会的监督职能，力争从源头上杜绝不正当关联交易、利益输送和内部人控制现象的发生，保护投资人利益和公司合法权益；</w:t>
      </w:r>
    </w:p>
    <w:p w14:paraId="2391749B"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管理层牢固树立了内控优先的风险管理理念，并着力培养全体员工的风险防范意识，营造浓厚的风险管理文化氛围，保证全体员工及时了解国家法律法规和公司规章制度，使风险意识贯穿到公司各个部门、各个岗位和各个环节；</w:t>
      </w:r>
    </w:p>
    <w:p w14:paraId="1E331A2E"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）公司依据自身经营特点建立了包括岗位自控、相关部门和岗位之间相互监督制衡、督察长和监察稽核部监督的、权责统一、严密有效的三道内控防线；</w:t>
      </w:r>
    </w:p>
    <w:p w14:paraId="29800F35"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建立并不断完善内部控制体系及内部控制制度：自成立来，公司不断完善内控组织架构、控制程序、控制措施以及控制职责，建立健全内部控制体系。通过不断地对内部控制制度进行修订和更新，公司的内部控制制度不断走向完善；</w:t>
      </w:r>
    </w:p>
    <w:p w14:paraId="30D43C72"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建立健全各项管理制度和业务规章：公司建立了包括投资管理制度、基金会计制度、信息披露制度、监察稽核制度、信息技术管理制度、公司财务制度等基本管理制度以及包括岗位设置、岗位职责、操作流程手册在内的业务流程、规章等，从基本管理制度和业务流程上进行风险控制；</w:t>
      </w:r>
    </w:p>
    <w:p w14:paraId="591FB33C"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建立了岗位分离、相互制衡的内控机制：公司在岗位设置上采取了严格的分离制度，实现了基金投资与交易、交易与清算、公司会计与基金会计等业务岗位的分离制度，形成了不同岗位之间的相互制衡机制，从岗位设置上减少和防范操作及操守风险；</w:t>
      </w:r>
    </w:p>
    <w:p w14:paraId="302BEC20"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）建立健全了岗位责任制：公司通过健全岗位责任制使每位员工都能明确自己的岗位职责和风险管理责任；</w:t>
      </w:r>
    </w:p>
    <w:p w14:paraId="200E4D9C"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构建风险管理系统：公司通过建立风险评估、预警、报告、控制以及监督程序，并经过适当的控制流程，定期或实时对风险进行评估、预警、监督，从而识别、评估和预警与公司管理及基金运作有关的风险，通过明晰的报告渠道，对风险问题进行层层监督、管理、控制，使部门和管理层即时把握风险状况并及时、快速作出风险控制决策；</w:t>
      </w:r>
    </w:p>
    <w:p w14:paraId="5FC4262C"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）建立自动化监督控制系统：公司启用了恒生交易系统以及自行开发的投资指标监控系统等计算机辅助控制系统，对投资比例限制、</w:t>
      </w:r>
      <w:r>
        <w:rPr>
          <w:rFonts w:ascii="Times New Roman" w:hAnsi="Times New Roman" w:cs="Times New Roman"/>
          <w:sz w:val="21"/>
          <w:szCs w:val="21"/>
        </w:rPr>
        <w:t>“</w:t>
      </w:r>
      <w:r>
        <w:rPr>
          <w:rFonts w:hint="eastAsia"/>
          <w:sz w:val="21"/>
          <w:szCs w:val="21"/>
        </w:rPr>
        <w:t>禁止买入股票名单</w:t>
      </w:r>
      <w:r>
        <w:rPr>
          <w:rFonts w:ascii="Times New Roman" w:hAnsi="Times New Roman" w:cs="Times New Roman"/>
          <w:sz w:val="21"/>
          <w:szCs w:val="21"/>
        </w:rPr>
        <w:t>”</w:t>
      </w:r>
      <w:r>
        <w:rPr>
          <w:rFonts w:hint="eastAsia"/>
          <w:sz w:val="21"/>
          <w:szCs w:val="21"/>
        </w:rPr>
        <w:t>、交叉交易等方面进行电子化控制，有效地防止了运作风险和操守风险；</w:t>
      </w:r>
    </w:p>
    <w:p w14:paraId="02F95149"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）不断强化投资纪律，严格实施股票库制度：公司不断强化投资纪律，加强集体决策机制，各基金的行业配置比例、基金经理个股授权、基准仓位等由投资决策委员会决</w:t>
      </w:r>
      <w:r>
        <w:rPr>
          <w:rFonts w:hint="eastAsia"/>
          <w:sz w:val="21"/>
          <w:szCs w:val="21"/>
        </w:rPr>
        <w:lastRenderedPageBreak/>
        <w:t>定。同时，公司建立了严格的股票库制度、禁止和限制投资股票制度，并由研究小组负责维护，所有股票投资必须完全从股票库中选择。公司还建立了契约风险评估制度，定期对各基金遵守基金合同的情况进行评估，防范契约风险。</w:t>
      </w:r>
    </w:p>
    <w:p w14:paraId="31B01531" w14:textId="77777777" w:rsidR="00D0083C" w:rsidRDefault="00854AE5">
      <w:pPr>
        <w:pStyle w:val="a3"/>
        <w:spacing w:before="0" w:beforeAutospacing="0" w:after="0" w:afterAutospacing="0" w:line="360" w:lineRule="auto"/>
        <w:ind w:firstLine="420"/>
        <w:jc w:val="both"/>
        <w:divId w:val="277690115"/>
        <w:rPr>
          <w:sz w:val="21"/>
          <w:szCs w:val="21"/>
        </w:rPr>
      </w:pPr>
      <w:r>
        <w:rPr>
          <w:rFonts w:ascii="Times New Roman" w:hAnsi="Times New Roman" w:cs="Times New Roman"/>
          <w:sz w:val="21"/>
          <w:szCs w:val="21"/>
        </w:rPr>
        <w:t>5</w:t>
      </w:r>
      <w:r>
        <w:rPr>
          <w:rFonts w:hint="eastAsia"/>
          <w:sz w:val="21"/>
          <w:szCs w:val="21"/>
        </w:rPr>
        <w:t>、基金管理人关于内部合规控制书的声明</w:t>
      </w:r>
    </w:p>
    <w:p w14:paraId="4B29D111"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）基金管理人确知建立、实施和维持内部控制制度是本公司董事会及管理层的责任；</w:t>
      </w:r>
    </w:p>
    <w:p w14:paraId="1E4668F9"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）本基金管理人承诺以上关于内部控制的披露真实、准确；</w:t>
      </w:r>
    </w:p>
    <w:p w14:paraId="0E35CC3C" w14:textId="77777777" w:rsidR="00D0083C" w:rsidRDefault="00854AE5">
      <w:pPr>
        <w:pStyle w:val="a3"/>
        <w:spacing w:before="0" w:beforeAutospacing="0" w:after="0" w:afterAutospacing="0" w:line="360" w:lineRule="auto"/>
        <w:ind w:firstLine="420"/>
        <w:jc w:val="both"/>
        <w:divId w:val="2776901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）本基金管理人承诺根据市场变化和公司发展不断完善内部控制体系和内部控制制度。</w:t>
      </w:r>
    </w:p>
    <w:p w14:paraId="40E8E0FB" w14:textId="77777777" w:rsidR="00D0083C" w:rsidRDefault="00854AE5">
      <w:pPr>
        <w:pStyle w:val="1"/>
        <w:spacing w:before="240" w:line="360" w:lineRule="auto"/>
        <w:jc w:val="center"/>
        <w:divId w:val="1218664020"/>
        <w:rPr>
          <w:sz w:val="24"/>
          <w:szCs w:val="24"/>
        </w:rPr>
      </w:pPr>
      <w:bookmarkStart w:id="21" w:name="_Toc387824870"/>
      <w:r>
        <w:rPr>
          <w:rFonts w:hint="eastAsia"/>
          <w:sz w:val="24"/>
          <w:szCs w:val="24"/>
        </w:rPr>
        <w:t>第四部分</w:t>
      </w:r>
      <w:r>
        <w:rPr>
          <w:rFonts w:hint="eastAsia"/>
          <w:sz w:val="24"/>
          <w:szCs w:val="24"/>
        </w:rPr>
        <w:t xml:space="preserve"> </w:t>
      </w:r>
      <w:r>
        <w:rPr>
          <w:rFonts w:hint="eastAsia"/>
          <w:sz w:val="24"/>
          <w:szCs w:val="24"/>
        </w:rPr>
        <w:t>基金托管人</w:t>
      </w:r>
      <w:bookmarkEnd w:id="21"/>
    </w:p>
    <w:p w14:paraId="410BC617"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b/>
          <w:bCs/>
          <w:sz w:val="21"/>
          <w:szCs w:val="21"/>
        </w:rPr>
        <w:t>（一）基金托管人概况</w:t>
      </w:r>
    </w:p>
    <w:p w14:paraId="7BBB3013"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本基金托管人为上海浦东发展银行股份有限公司，基本信息如下：</w:t>
      </w:r>
    </w:p>
    <w:p w14:paraId="5730534B"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名称： 上海浦东发展银行股份有限公司</w:t>
      </w:r>
    </w:p>
    <w:p w14:paraId="73F850F7"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注册地址：上海市中山东一路12号</w:t>
      </w:r>
    </w:p>
    <w:p w14:paraId="18470314"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办公地址：上海市中山东一路12号</w:t>
      </w:r>
    </w:p>
    <w:p w14:paraId="774DC6BE"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法定代表人：高国富</w:t>
      </w:r>
    </w:p>
    <w:p w14:paraId="7DCE54DD"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成立时间： 1992年10月19日</w:t>
      </w:r>
    </w:p>
    <w:p w14:paraId="6F9AAD93"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经营范围：经中国人民银行和中国银行业监督管理委员会批准，公司主营业务主要包括：吸收公众存款；发放短期、中期和长期贷款；办理结算；办理票据贴现；发行金融债券；代理发行、代理兑付、承销政府债券；买卖政府债券；同业拆借；提供信用证服务及担保；代理收付款项及代理保险业务；提供保险箱业务；外汇存款；外汇贷款；外汇汇款；外币兑换；国际结算；同业外汇拆借；外汇票据的承兑和贴现；外汇借款；外汇担保；结汇、售汇；买卖和代理买卖股票以外的外币有价证券；自营外汇买卖；代客外汇买卖；资信调查、咨询、见证业务；离岸银行业务；证券投资基金托管业务；全国社会保障基金托管业务；经中国人民银行和中国银行业监督管理委员会批准经营的其他业务。</w:t>
      </w:r>
    </w:p>
    <w:p w14:paraId="1C01D405"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组织形式： 股份有限公司</w:t>
      </w:r>
    </w:p>
    <w:p w14:paraId="0D2F81C9"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注册资本： 293.52亿元人民币</w:t>
      </w:r>
    </w:p>
    <w:p w14:paraId="7292B7CF"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存续期间： 持续经营</w:t>
      </w:r>
    </w:p>
    <w:p w14:paraId="01A27E75"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基金托管资格批文及文号：中国证监会证监基金字[2003]105号</w:t>
      </w:r>
    </w:p>
    <w:p w14:paraId="51DA0487"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联系人：胡波</w:t>
      </w:r>
    </w:p>
    <w:p w14:paraId="33EC8776"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联系电话：（021）61618888</w:t>
      </w:r>
    </w:p>
    <w:p w14:paraId="141585B3"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lastRenderedPageBreak/>
        <w:t>上海浦东发展银行自2003年开展资产托管业务，是较早开展银行资产托管服务的股份制商业银行之一。经过二十年来的稳健经营和业务开拓，各项业务发展一直保持较快增长，各项经营指标在股份制商业银行中处于较好水平。</w:t>
      </w:r>
    </w:p>
    <w:p w14:paraId="18B6D09D"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上海浦东发展银行总行于2003年设立基金托管部，2005年更名为资产托管部，2013年更名为资产托管与养老金业务部，2016年进行组织架构优化调整，并更名为资产托管部，目前下设证券托管处、客户资产托管处、内控管理处、业务保障处、总行资产托管运营中心（含合肥分中心）五个职能处室。</w:t>
      </w:r>
    </w:p>
    <w:p w14:paraId="386DCD6F"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目前，上海浦东发展银行已拥有客户资金托管、资金信托保管、证券投资基金托管、全球资产托管、保险资金托管、基金专户理财托管、证券公司客户资产托管、期货公司客户资产托管、私募证券投资基金托管、私募股权托管、银行理财产品托管、企业年金托管等多项托管产品，形成完备的产品体系，可满足多领域客户、境内外市场的资产托管需求。</w:t>
      </w:r>
    </w:p>
    <w:p w14:paraId="676EF037"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b/>
          <w:bCs/>
          <w:sz w:val="21"/>
          <w:szCs w:val="21"/>
        </w:rPr>
        <w:t>（二）主要人员情况</w:t>
      </w:r>
    </w:p>
    <w:p w14:paraId="26026678"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高国富，男，1956年出生，研究生学历，博士学位，高级经济师职称。曾任上海外高桥保税区开发（控股）公司总经理；上海外高桥保税区管委会副主任；上海万国证券公司代总裁；上海久事公司总经理；上海市城市建设投资开发总公司总经理；中国太平洋保险（集团）股份有限公司党委书记、董事长。现任上海浦东发展银行股份有限公司党委书记、董事长。第十二届全国政协委员。伦敦金融城中国事务顾问委员会委员，中欧国际工商学院理事会成员、国际顾问委员会委员，上海交通大学安泰经济管理学院顾问委员会委员。</w:t>
      </w:r>
    </w:p>
    <w:p w14:paraId="4521C011"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刘信义，男，1965年出生，硕士研究生，高级经济师。曾任上海浦东发展银行上海地区总部副总经理，上海市金融服务办挂职任机构处处长、市金融服务办主任助理，上海浦东发展银行党委委员、副行长、财务总监，上海国盛集团有限公司总裁。现任上海浦东发展银行党委副书记、副董事长、行长。</w:t>
      </w:r>
    </w:p>
    <w:p w14:paraId="3AD2280A"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孔建，男，1968年出生，博士研究生。历任工商银行山东省分行计划处科员、副主任科员，国际业务部、工商信贷处科长，资金营运处副处长，上海浦东发展银行济南分行信管处总经理，上海浦东发展银行济南分行行长助理、副行长、党委书记、行长。现任上海浦东发展银行总行资产托管部党支部书记、资产托管部总经理。</w:t>
      </w:r>
    </w:p>
    <w:p w14:paraId="2B56D5A2"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b/>
          <w:bCs/>
          <w:sz w:val="21"/>
          <w:szCs w:val="21"/>
        </w:rPr>
        <w:t>（三）基金托管业务经营情况</w:t>
      </w:r>
    </w:p>
    <w:p w14:paraId="3D4E8510"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截止2018年12月31日，上海浦东发展银行证券投资基金托管规模为4213.09亿元，比去年末增加33.12%。托管证券投资基金共一百五十六只，分别为国泰金龙行业精选基金、国泰金龙债券基金、天治财富增长基金、广发小盘成长基金、汇添富货币基金、长信金利趋势基金、嘉实优质企业基金、国联安货币基金、长信利众债券基金（LOF）、华富保本混合型证券投资基金、中海策略精选灵活配置混合基金、博时安丰18个月基金（LOF）、易方达裕丰回报基金、鹏华丰泰定期开放基金、汇添富双利增强债券基金、中信建投稳信债券基金、华富恒财定开债券基金、汇添富和聚宝货币基金、工银目标收益一年定开债券基</w:t>
      </w:r>
      <w:r>
        <w:rPr>
          <w:rFonts w:hint="eastAsia"/>
          <w:sz w:val="21"/>
          <w:szCs w:val="21"/>
        </w:rPr>
        <w:lastRenderedPageBreak/>
        <w:t>金、北信瑞丰宜投宝货币基金、中海医药健康产业基金、国寿安保尊益信用纯债基金、华富国泰民安灵活配置混合基金、安信动态策略灵活配置基金、东方红稳健精选基金、国联安鑫享混合基金、长安鑫利优选混合基金、工银瑞信生态环境基金、天弘新价值混合基金、嘉实机构快线货币基金、鹏华REITs封闭式基金、华富健康文娱基金、国寿安保稳定回报基金、金鹰改革红利基金、易方达裕祥回报债券基金、国联安鑫禧基金、中银瑞利灵活配置混合基金、华夏新活力混合基金、鑫元汇利债券型基金、南方转型驱动灵活配置基金、银华远景债券基金、富安达长盈灵活配置混合型基金、中信建投睿溢混合型证券投资基金、工银瑞信恒享纯债基金、长信利发债券基金、博时景发纯债基金、鑫元得利债券型基金、中银尊享半年定开基金、鹏华兴盛灵活配置混合型证券投资基金、华富元鑫灵活配置基金、东方红战略沪港深混合基金、博时富发纯债基金、博时利发纯债基金、银河君信混合基金、汇添富保鑫保本混合基金、兴业启元一年定开债券基金、工银瑞信瑞盈18个月定开债券基金、中信建投稳裕定开债券基金、招商招怡纯债债券基金、中加丰享纯债债券基金、长安泓泽纯债债券基金、银河君耀灵活配置混合基金、广发汇瑞3个月定期开放债券发起式证券投资基金、汇安嘉汇纯债债券基金、南方宣利定开债券基金、招商兴福灵活配置混合基金、博时鑫润灵活配置混合基金、兴业裕华债券基金、易方达瑞通灵活配置混合基金、招商招祥纯债债券基金、易方达瑞程混合基金、华福长富一年定开债券基金、中欧骏泰货币基金、招商招华纯债债券基金、汇安丰融灵活配置混合基金、汇安嘉源纯债债券基金、国泰普益混合基金、汇添富鑫瑞债券基金、鑫元合丰纯债债券基金、博时鑫惠混合基金、国泰润利纯债基金、华富天益货币基金、汇安丰华混合基金、汇安沪深300指数增强型证券投资基金、汇安丰恒混合基金、交银施罗德启通灵活配置混合型证券投资基金、景顺长城中证500指数基金、南方和利定开债券基金、鹏华丰康债券基金、兴业安润货币基金、兴业瑞丰6个月定开债券基金、兴业裕丰债券基金、易方达瑞弘混合基金、银河犇利灵活配置混合基金、长安鑫富领先混合基金、万家现金增利货币基金、上银慧增利货币市场基金、易方达瑞富灵活配置证券投资基金、博时富腾纯债债券型证券投资基金、安信工业4.0主题沪港深精选混合基金、民生加银鑫顺债券型基金、万家天添宝货币基金、长安鑫垚主题轮动混合基金、中欧瑾泰灵活配置混合基金、中银证券安弘债券基金、鑫元鑫趋势灵活配置混合基金、泰康年年红纯债一年定期开放债券基金、广发高端制造股票型发起式基金、永赢永益债券基金、南方安福混合基金、中银证券聚瑞混合基金、太平改革红利精选灵活配置混合基金、中金价值轮动灵活配置混合基金、富荣富乾债券型证券投资基金基金、国联安安稳灵活配置混合型证券投资基金、前海开源景鑫灵活配置混合型证券投资基金、前海开源润鑫灵活配置混合型证券投资基金、中海沪港深多策略灵活配置混合型基金基金、中银证券祥瑞混合型证券投资基金、前海开源盛鑫灵活配置混合型证券投资基金、鑫元行业轮动灵活配置混合型证券投资基金、华富恒悦定期开放债券型证券投资基金、兴业3个月定期开放债券型发起式证券投资基金、富国颐利纯债债券型证券投资基金、华安安浦债</w:t>
      </w:r>
      <w:r>
        <w:rPr>
          <w:rFonts w:hint="eastAsia"/>
          <w:sz w:val="21"/>
          <w:szCs w:val="21"/>
        </w:rPr>
        <w:lastRenderedPageBreak/>
        <w:t>券型证券投资基金、南方泽元债券型证券投资基金、鹏扬淳利定期开放债券型证券投资基金、万家鑫悦纯债债券型基金、新疆前海联合泳祺纯债债券型证券投资基金、永赢盈益债券型证券投资基金、中加颐合纯债债券型证券投资基金、中信保诚稳达债券型证券投资基金基金、中银中债3-5年期农发行债券指数证券投资基金、东方红核心优选一年定期开放混合型证券投资基金、平安大华惠锦纯债债券型证券投资基金、华夏鼎通债券型证券投资基金、鑫元全利债券型发起式证券投资基金、中融恒裕纯债债券型证券投资基金、嘉实致盈债券型证券投资基金、永赢消费主题灵活配置混合型证券投资基金、工银瑞信瑞福纯债债券型证券投资基金、广发景智纯债债券型证券投资基金、东兴品牌精选灵活配置混合型证券投资基金、广发中债1-3年国开行债券指数证券投资基金、融通通捷债券型证券投资基金、华富恒盛纯债债券型证券投资基金、建信中证1000指数增强型发起式证券投资基金、汇安嘉鑫纯债债券型证券投资基金、中欧瑾泰债券型证券投资基金、国寿安保安丰纯债债券型证券投资基金、海富通聚丰纯债债券型证券投资基金、博时中债1-3年政策性金融债指数证券投资基金、银河家盈纯债债券型证券投资基金、博时富永纯债3个月定期开放债券型发起式证券投资基金、南方畅利定期开放债券型发起式证券投资基金、中加瑞利纯债债券型证券投资基金等。</w:t>
      </w:r>
    </w:p>
    <w:p w14:paraId="08538F28"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b/>
          <w:bCs/>
          <w:sz w:val="21"/>
          <w:szCs w:val="21"/>
        </w:rPr>
        <w:t>（四）基金托管人的内部控制制度</w:t>
      </w:r>
    </w:p>
    <w:p w14:paraId="08A7AAEE"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1、本行内部控制目标为：确保经营活动中严格遵守国家有关法律法规、监管部门监管规则和本行规章制度，形成守法经营、规范运作的经营思想。确保经营业务的稳健运行，保证基金资产的安全和完整，确保业务活动信息的真实、准确、完整，保护基金份额持有人的合法权益。</w:t>
      </w:r>
    </w:p>
    <w:p w14:paraId="2355252F"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2、本行内部控制组织架构为：总行法律合规部是全行内部控制的牵头管理部门，指导业务部门建立并维护资产托管业务的内部控制体系。总行风险监控部是全行操作风险的牵头管理部门。指导业务部门开展资产托管业务的操作风险管控工作。总行资产托管部下设内控管理处。内控管理处是全行托管业务条线的内部控制具体管理实施机构，并配备专职内控监督人员负责托管业务的内控监督工作，独立行使监督稽核职责。</w:t>
      </w:r>
    </w:p>
    <w:p w14:paraId="148042CF"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3、内部控制制度及措施: 本行已建立完善的内部控制制度。内控制度贯穿资产托管业务的决策、执行、监督全过程，渗透到各业务流程和各操作环节，覆盖到从事资产托管各级组织结构、岗位及人员。内部控制以防范风险、合规经营为出发点，各项业务流程体现“内控优先”要求。</w:t>
      </w:r>
    </w:p>
    <w:p w14:paraId="178FC4A9"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具体内控措施包括：培育员工树立内控优先、制度先行、全员化风险控制的风险管理理念，营造浓厚的内控文化氛围，使风险意识贯穿到组织架构、业务岗位、人员的各个环节。制定权责清晰的业务授权管理制度、明确岗位职责和各项操作规程、员工职业道德规范、业务数据备份和保密等在内的各项业务管理制度；建立严格完善的资产隔离和资产保管制度，托管资产与托管人资产及不同托管资产之间实行独立运作、分别核算；对各类突</w:t>
      </w:r>
      <w:r>
        <w:rPr>
          <w:rFonts w:hint="eastAsia"/>
          <w:sz w:val="21"/>
          <w:szCs w:val="21"/>
        </w:rPr>
        <w:lastRenderedPageBreak/>
        <w:t>发事件或故障，建立完备有效的应急方案，定期组织灾备演练，建立重大事项报告制度；在基金运作办公区域建立健全安全监控系统，利用录音、录像等技术手段实现风险控制；定期对业务情况进行自查、内部稽核等措施进行监控，通过专项/全面审计等措施实施业务监控，排查风险隐患。</w:t>
      </w:r>
    </w:p>
    <w:p w14:paraId="0178497C"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b/>
          <w:bCs/>
          <w:sz w:val="21"/>
          <w:szCs w:val="21"/>
        </w:rPr>
        <w:t>（五）托管人对管理人运作基金进行监督的方法和程序</w:t>
      </w:r>
    </w:p>
    <w:p w14:paraId="7EA7D576"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1、监督依据</w:t>
      </w:r>
    </w:p>
    <w:p w14:paraId="07B511A6"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托管人严格按照有关政策法规、以及基金合同、托管协议等进行监督。监督依据具体包括：</w:t>
      </w:r>
    </w:p>
    <w:p w14:paraId="4872BD09"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（1）《中华人民共和国证券法》；</w:t>
      </w:r>
    </w:p>
    <w:p w14:paraId="74CAD0CB"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（2）《中华人民共和国证券投资基金法》；</w:t>
      </w:r>
    </w:p>
    <w:p w14:paraId="23B8E360"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（3）《公开募集证券投资基金运作管理办法》；；</w:t>
      </w:r>
    </w:p>
    <w:p w14:paraId="06F79572"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（4）《证券投资基金销售管理办法》</w:t>
      </w:r>
    </w:p>
    <w:p w14:paraId="632CF966"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（5）《基金合同》、《基金托管协议》；</w:t>
      </w:r>
    </w:p>
    <w:p w14:paraId="4F68A6BB"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（6）法律、法规、政策的其他规定。</w:t>
      </w:r>
    </w:p>
    <w:p w14:paraId="7CD12441"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2、监督内容</w:t>
      </w:r>
    </w:p>
    <w:p w14:paraId="7E68C706"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我行根据基金合同及托管协议约定，对基金合同生效之后所托管基金的投资范围、投资比例、投资限制等进行严格监督，及时提示基金管理人违规风险。</w:t>
      </w:r>
    </w:p>
    <w:p w14:paraId="14A8234C"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3、监督方法</w:t>
      </w:r>
    </w:p>
    <w:p w14:paraId="115EE6AA"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（1）资产托管部设置核算监督岗位，配备相应的业务人员，在授权范围内独立行使对基金管理人投资交易行为的监督职责，规范基金运作，维护基金投资人的合法权益，不受任何外界力量的干预；</w:t>
      </w:r>
    </w:p>
    <w:p w14:paraId="00C3C940"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（2）在日常运作中，凡可量化的监督指标，由核算监督岗通过托管业务的自动处理程序进行监督，实现系统的自动跟踪和预警；</w:t>
      </w:r>
    </w:p>
    <w:p w14:paraId="720C4648"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（3）对非量化指标、投资指令、管理人提供的各种报表和报告等，采取人工监督的方法。</w:t>
      </w:r>
    </w:p>
    <w:p w14:paraId="5BF13489"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4、监督结果的处理方式</w:t>
      </w:r>
    </w:p>
    <w:p w14:paraId="4F79653A"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（1）基金托管人对基金管理人的投资运作监督结果，采取定期和不定期报告形式向基金管理人和中国证监会报告。定期报告包括基金监控周报等。不定期报告包括提示函、临时日报、其他临时报告等；</w:t>
      </w:r>
    </w:p>
    <w:p w14:paraId="7F2D4CC4"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t>（2）若基金托管人发现基金管理人违规违法操作，以电话、邮件、书面提示函的方式通知基金管理人，指明违规事项，明确纠正期限。在规定期限内基金托管人再对基金管理人违规事项进行复查，如果基金管理人对违规事项未予纠正，基金托管人将报告中国证监会。如果发现基金管理人投资运作有重大违规行为时，基金托管人应立即报告中国证监会，同时通知基金管理人限期纠正；</w:t>
      </w:r>
    </w:p>
    <w:p w14:paraId="07E6EE39" w14:textId="77777777" w:rsidR="00D0083C" w:rsidRDefault="00854AE5">
      <w:pPr>
        <w:pStyle w:val="a3"/>
        <w:spacing w:before="0" w:beforeAutospacing="0" w:after="0" w:afterAutospacing="0" w:line="360" w:lineRule="auto"/>
        <w:ind w:firstLine="420"/>
        <w:jc w:val="both"/>
        <w:divId w:val="333075514"/>
        <w:rPr>
          <w:sz w:val="21"/>
          <w:szCs w:val="21"/>
        </w:rPr>
      </w:pPr>
      <w:r>
        <w:rPr>
          <w:rFonts w:hint="eastAsia"/>
          <w:sz w:val="21"/>
          <w:szCs w:val="21"/>
        </w:rPr>
        <w:lastRenderedPageBreak/>
        <w:t>（3）针对中国证监会、中国人民银行对基金投资运作监督情况的检查，应及时提供有关情况和资料。</w:t>
      </w:r>
    </w:p>
    <w:p w14:paraId="414DAD4A" w14:textId="77777777" w:rsidR="00D0083C" w:rsidRDefault="00854AE5">
      <w:pPr>
        <w:pStyle w:val="1"/>
        <w:spacing w:before="240" w:line="360" w:lineRule="auto"/>
        <w:jc w:val="center"/>
        <w:divId w:val="1994599321"/>
        <w:rPr>
          <w:sz w:val="24"/>
          <w:szCs w:val="24"/>
        </w:rPr>
      </w:pPr>
      <w:bookmarkStart w:id="22" w:name="_Toc387824871"/>
      <w:bookmarkStart w:id="23" w:name="_PictureBullets"/>
      <w:bookmarkEnd w:id="22"/>
      <w:r>
        <w:rPr>
          <w:rFonts w:hint="eastAsia"/>
          <w:sz w:val="24"/>
          <w:szCs w:val="24"/>
        </w:rPr>
        <w:t>第五部分</w:t>
      </w:r>
      <w:r>
        <w:rPr>
          <w:rFonts w:hint="eastAsia"/>
          <w:sz w:val="24"/>
          <w:szCs w:val="24"/>
        </w:rPr>
        <w:t xml:space="preserve"> </w:t>
      </w:r>
      <w:r>
        <w:rPr>
          <w:rFonts w:hint="eastAsia"/>
          <w:sz w:val="24"/>
          <w:szCs w:val="24"/>
        </w:rPr>
        <w:t>相关服务机构</w:t>
      </w:r>
    </w:p>
    <w:p w14:paraId="5BFDCCA5"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一、基金份额销售机构</w:t>
      </w:r>
    </w:p>
    <w:p w14:paraId="32A0AAD6"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1</w:t>
      </w:r>
      <w:r>
        <w:rPr>
          <w:rFonts w:hint="eastAsia"/>
          <w:sz w:val="21"/>
          <w:szCs w:val="21"/>
        </w:rPr>
        <w:t>、直销机构</w:t>
      </w:r>
    </w:p>
    <w:p w14:paraId="58C6A5DD"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）鹏华基金管理有限公司直销中心</w:t>
      </w:r>
    </w:p>
    <w:p w14:paraId="57D5EC1F"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办公地址：深圳市福田区福华三路</w:t>
      </w:r>
      <w:r>
        <w:rPr>
          <w:rFonts w:ascii="Times New Roman" w:hAnsi="Times New Roman" w:cs="Times New Roman"/>
          <w:sz w:val="21"/>
          <w:szCs w:val="21"/>
        </w:rPr>
        <w:t>168</w:t>
      </w:r>
      <w:r>
        <w:rPr>
          <w:rFonts w:hint="eastAsia"/>
          <w:sz w:val="21"/>
          <w:szCs w:val="21"/>
        </w:rPr>
        <w:t>号深圳国际商会中心</w:t>
      </w:r>
      <w:r>
        <w:rPr>
          <w:rFonts w:ascii="Times New Roman" w:hAnsi="Times New Roman" w:cs="Times New Roman"/>
          <w:sz w:val="21"/>
          <w:szCs w:val="21"/>
        </w:rPr>
        <w:t>43</w:t>
      </w:r>
      <w:r>
        <w:rPr>
          <w:rFonts w:hint="eastAsia"/>
          <w:sz w:val="21"/>
          <w:szCs w:val="21"/>
        </w:rPr>
        <w:t>层</w:t>
      </w:r>
    </w:p>
    <w:p w14:paraId="44D03D20"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联系电话：</w:t>
      </w:r>
      <w:r>
        <w:rPr>
          <w:rFonts w:ascii="Times New Roman" w:hAnsi="Times New Roman" w:cs="Times New Roman"/>
          <w:sz w:val="21"/>
          <w:szCs w:val="21"/>
        </w:rPr>
        <w:t>0755-82021233</w:t>
      </w:r>
    </w:p>
    <w:p w14:paraId="03C5C2A1"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传真：</w:t>
      </w:r>
      <w:r>
        <w:rPr>
          <w:rFonts w:ascii="Times New Roman" w:hAnsi="Times New Roman" w:cs="Times New Roman"/>
          <w:sz w:val="21"/>
          <w:szCs w:val="21"/>
        </w:rPr>
        <w:t>0755-82021155</w:t>
      </w:r>
    </w:p>
    <w:p w14:paraId="54C85156"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联系人：吕奇志</w:t>
      </w:r>
    </w:p>
    <w:p w14:paraId="23E52896"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网址：</w:t>
      </w:r>
      <w:r>
        <w:rPr>
          <w:rFonts w:ascii="Times New Roman" w:hAnsi="Times New Roman" w:cs="Times New Roman"/>
          <w:sz w:val="21"/>
          <w:szCs w:val="21"/>
        </w:rPr>
        <w:t>www.phfund.com</w:t>
      </w:r>
    </w:p>
    <w:p w14:paraId="2952BBE4"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）鹏华基金管理有限公司北京分公司</w:t>
      </w:r>
    </w:p>
    <w:p w14:paraId="65FED28C"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办公地址：北京市西城区金融大街甲</w:t>
      </w:r>
      <w:r>
        <w:rPr>
          <w:rFonts w:ascii="Times New Roman" w:hAnsi="Times New Roman" w:cs="Times New Roman"/>
          <w:sz w:val="21"/>
          <w:szCs w:val="21"/>
        </w:rPr>
        <w:t>9</w:t>
      </w:r>
      <w:r>
        <w:rPr>
          <w:rFonts w:hint="eastAsia"/>
          <w:sz w:val="21"/>
          <w:szCs w:val="21"/>
        </w:rPr>
        <w:t>号金融街中心南楼</w:t>
      </w:r>
      <w:r>
        <w:rPr>
          <w:rFonts w:ascii="Times New Roman" w:hAnsi="Times New Roman" w:cs="Times New Roman"/>
          <w:sz w:val="21"/>
          <w:szCs w:val="21"/>
        </w:rPr>
        <w:t>502</w:t>
      </w:r>
      <w:r>
        <w:rPr>
          <w:rFonts w:hint="eastAsia"/>
          <w:sz w:val="21"/>
          <w:szCs w:val="21"/>
        </w:rPr>
        <w:t>房</w:t>
      </w:r>
    </w:p>
    <w:p w14:paraId="7BE031F4"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联系电话：</w:t>
      </w:r>
      <w:r>
        <w:rPr>
          <w:rFonts w:ascii="Times New Roman" w:hAnsi="Times New Roman" w:cs="Times New Roman"/>
          <w:sz w:val="21"/>
          <w:szCs w:val="21"/>
        </w:rPr>
        <w:t>010-88082426</w:t>
      </w:r>
    </w:p>
    <w:p w14:paraId="62E94976"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传真：</w:t>
      </w:r>
      <w:r>
        <w:rPr>
          <w:rFonts w:ascii="Times New Roman" w:hAnsi="Times New Roman" w:cs="Times New Roman"/>
          <w:sz w:val="21"/>
          <w:szCs w:val="21"/>
        </w:rPr>
        <w:t>010-88082018</w:t>
      </w:r>
    </w:p>
    <w:p w14:paraId="2AB41C65"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联系人：张圆圆</w:t>
      </w:r>
    </w:p>
    <w:p w14:paraId="5AB21114"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）鹏华基金管理有限公司上海分公司</w:t>
      </w:r>
    </w:p>
    <w:p w14:paraId="7C46038E"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办公地址：上海市浦东新区花园石桥路</w:t>
      </w:r>
      <w:r>
        <w:rPr>
          <w:rFonts w:ascii="Times New Roman" w:hAnsi="Times New Roman" w:cs="Times New Roman"/>
          <w:sz w:val="21"/>
          <w:szCs w:val="21"/>
        </w:rPr>
        <w:t>33</w:t>
      </w:r>
      <w:r>
        <w:rPr>
          <w:rFonts w:hint="eastAsia"/>
          <w:sz w:val="21"/>
          <w:szCs w:val="21"/>
        </w:rPr>
        <w:t>号花旗集团大厦</w:t>
      </w:r>
      <w:r>
        <w:rPr>
          <w:rFonts w:ascii="Times New Roman" w:hAnsi="Times New Roman" w:cs="Times New Roman"/>
          <w:sz w:val="21"/>
          <w:szCs w:val="21"/>
        </w:rPr>
        <w:t>801B</w:t>
      </w:r>
      <w:r>
        <w:rPr>
          <w:rFonts w:hint="eastAsia"/>
          <w:sz w:val="21"/>
          <w:szCs w:val="21"/>
        </w:rPr>
        <w:t>室</w:t>
      </w:r>
    </w:p>
    <w:p w14:paraId="25034FE1"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联系电话：</w:t>
      </w:r>
      <w:r>
        <w:rPr>
          <w:rFonts w:ascii="Times New Roman" w:hAnsi="Times New Roman" w:cs="Times New Roman"/>
          <w:sz w:val="21"/>
          <w:szCs w:val="21"/>
        </w:rPr>
        <w:t>021-68876878</w:t>
      </w:r>
    </w:p>
    <w:p w14:paraId="0B1C36CB"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传真：</w:t>
      </w:r>
      <w:r>
        <w:rPr>
          <w:rFonts w:ascii="Times New Roman" w:hAnsi="Times New Roman" w:cs="Times New Roman"/>
          <w:sz w:val="21"/>
          <w:szCs w:val="21"/>
        </w:rPr>
        <w:t>021-68876821</w:t>
      </w:r>
    </w:p>
    <w:p w14:paraId="546ECB3C"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联系人：李化怡</w:t>
      </w:r>
    </w:p>
    <w:p w14:paraId="39778D32"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）鹏华基金管理有限公司武汉分公司</w:t>
      </w:r>
    </w:p>
    <w:p w14:paraId="3A708D2F"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办公地址：武汉市江汉区建设大道</w:t>
      </w:r>
      <w:r>
        <w:rPr>
          <w:rFonts w:ascii="Times New Roman" w:hAnsi="Times New Roman" w:cs="Times New Roman"/>
          <w:sz w:val="21"/>
          <w:szCs w:val="21"/>
        </w:rPr>
        <w:t>568</w:t>
      </w:r>
      <w:r>
        <w:rPr>
          <w:rFonts w:hint="eastAsia"/>
          <w:sz w:val="21"/>
          <w:szCs w:val="21"/>
        </w:rPr>
        <w:t>号新世界国贸大厦</w:t>
      </w:r>
      <w:r>
        <w:rPr>
          <w:rFonts w:ascii="Times New Roman" w:hAnsi="Times New Roman" w:cs="Times New Roman"/>
          <w:sz w:val="21"/>
          <w:szCs w:val="21"/>
        </w:rPr>
        <w:t>I</w:t>
      </w:r>
      <w:r>
        <w:rPr>
          <w:rFonts w:hint="eastAsia"/>
          <w:sz w:val="21"/>
          <w:szCs w:val="21"/>
        </w:rPr>
        <w:t>座</w:t>
      </w:r>
      <w:r>
        <w:rPr>
          <w:rFonts w:ascii="Times New Roman" w:hAnsi="Times New Roman" w:cs="Times New Roman"/>
          <w:sz w:val="21"/>
          <w:szCs w:val="21"/>
        </w:rPr>
        <w:t>3305</w:t>
      </w:r>
      <w:r>
        <w:rPr>
          <w:rFonts w:hint="eastAsia"/>
          <w:sz w:val="21"/>
          <w:szCs w:val="21"/>
        </w:rPr>
        <w:t>室</w:t>
      </w:r>
    </w:p>
    <w:p w14:paraId="0AE50BA2"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联系电话：</w:t>
      </w:r>
      <w:r>
        <w:rPr>
          <w:rFonts w:ascii="Times New Roman" w:hAnsi="Times New Roman" w:cs="Times New Roman"/>
          <w:sz w:val="21"/>
          <w:szCs w:val="21"/>
        </w:rPr>
        <w:t>027-85557881</w:t>
      </w:r>
    </w:p>
    <w:p w14:paraId="0FFC0B3D"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传真：</w:t>
      </w:r>
      <w:r>
        <w:rPr>
          <w:rFonts w:ascii="Times New Roman" w:hAnsi="Times New Roman" w:cs="Times New Roman"/>
          <w:sz w:val="21"/>
          <w:szCs w:val="21"/>
        </w:rPr>
        <w:t>027-85557973</w:t>
      </w:r>
    </w:p>
    <w:p w14:paraId="5347DE4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联系人：祁明兵</w:t>
      </w:r>
    </w:p>
    <w:p w14:paraId="07272FB3"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）鹏华基金管理有限公司广州分公司</w:t>
      </w:r>
    </w:p>
    <w:p w14:paraId="055D9AB5"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办公地址：广州市天河区珠江新城华夏路</w:t>
      </w:r>
      <w:r>
        <w:rPr>
          <w:rFonts w:ascii="Times New Roman" w:hAnsi="Times New Roman" w:cs="Times New Roman"/>
          <w:sz w:val="21"/>
          <w:szCs w:val="21"/>
        </w:rPr>
        <w:t>10</w:t>
      </w:r>
      <w:r>
        <w:rPr>
          <w:rFonts w:hint="eastAsia"/>
          <w:sz w:val="21"/>
          <w:szCs w:val="21"/>
        </w:rPr>
        <w:t>号富力中心</w:t>
      </w:r>
      <w:r>
        <w:rPr>
          <w:rFonts w:ascii="Times New Roman" w:hAnsi="Times New Roman" w:cs="Times New Roman"/>
          <w:sz w:val="21"/>
          <w:szCs w:val="21"/>
        </w:rPr>
        <w:t>24</w:t>
      </w:r>
      <w:r>
        <w:rPr>
          <w:rFonts w:hint="eastAsia"/>
          <w:sz w:val="21"/>
          <w:szCs w:val="21"/>
        </w:rPr>
        <w:t>楼</w:t>
      </w:r>
      <w:r>
        <w:rPr>
          <w:rFonts w:ascii="Times New Roman" w:hAnsi="Times New Roman" w:cs="Times New Roman"/>
          <w:sz w:val="21"/>
          <w:szCs w:val="21"/>
        </w:rPr>
        <w:t>07</w:t>
      </w:r>
      <w:r>
        <w:rPr>
          <w:rFonts w:hint="eastAsia"/>
          <w:sz w:val="21"/>
          <w:szCs w:val="21"/>
        </w:rPr>
        <w:t>单元</w:t>
      </w:r>
    </w:p>
    <w:p w14:paraId="7304B97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联系电话：</w:t>
      </w:r>
      <w:r>
        <w:rPr>
          <w:rFonts w:ascii="Times New Roman" w:hAnsi="Times New Roman" w:cs="Times New Roman"/>
          <w:sz w:val="21"/>
          <w:szCs w:val="21"/>
        </w:rPr>
        <w:t>020-38927993</w:t>
      </w:r>
    </w:p>
    <w:p w14:paraId="174BEE6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传真：</w:t>
      </w:r>
      <w:r>
        <w:rPr>
          <w:rFonts w:ascii="Times New Roman" w:hAnsi="Times New Roman" w:cs="Times New Roman"/>
          <w:sz w:val="21"/>
          <w:szCs w:val="21"/>
        </w:rPr>
        <w:t>020-38927990</w:t>
      </w:r>
    </w:p>
    <w:p w14:paraId="57060670"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联系人：周樱</w:t>
      </w:r>
    </w:p>
    <w:p w14:paraId="1D31DDCB" w14:textId="77777777" w:rsidR="00D0083C" w:rsidRDefault="00854AE5">
      <w:pPr>
        <w:spacing w:line="360" w:lineRule="auto"/>
        <w:ind w:firstLine="420"/>
        <w:divId w:val="1994599321"/>
      </w:pPr>
      <w:r>
        <w:t>2</w:t>
      </w:r>
      <w:r>
        <w:t>、其他销售机构</w:t>
      </w:r>
    </w:p>
    <w:p w14:paraId="1D1665D4" w14:textId="77777777" w:rsidR="00D0083C" w:rsidRDefault="00854AE5">
      <w:pPr>
        <w:spacing w:line="360" w:lineRule="auto"/>
        <w:ind w:firstLine="420"/>
        <w:divId w:val="1994599321"/>
      </w:pPr>
      <w:r>
        <w:lastRenderedPageBreak/>
        <w:t>（</w:t>
      </w:r>
      <w:r>
        <w:t>1</w:t>
      </w:r>
      <w:r>
        <w:t>）第三方销售机构</w:t>
      </w:r>
    </w:p>
    <w:p w14:paraId="7F4D2884" w14:textId="77777777" w:rsidR="00D0083C" w:rsidRDefault="00854AE5">
      <w:pPr>
        <w:spacing w:line="360" w:lineRule="auto"/>
        <w:ind w:firstLine="420"/>
        <w:divId w:val="1994599321"/>
      </w:pPr>
      <w:r>
        <w:t>1</w:t>
      </w:r>
      <w:r>
        <w:t>）北京百度百盈基金销售有限公司</w:t>
      </w:r>
    </w:p>
    <w:p w14:paraId="4E183A20" w14:textId="77777777" w:rsidR="00D0083C" w:rsidRDefault="00854AE5">
      <w:pPr>
        <w:spacing w:line="360" w:lineRule="auto"/>
        <w:ind w:firstLine="420"/>
        <w:divId w:val="1994599321"/>
      </w:pPr>
      <w:r>
        <w:t>注册地址：北京市海淀区上地十街</w:t>
      </w:r>
      <w:r>
        <w:t>10</w:t>
      </w:r>
      <w:r>
        <w:t>号百度大厦</w:t>
      </w:r>
      <w:r>
        <w:t>2</w:t>
      </w:r>
      <w:r>
        <w:t>层</w:t>
      </w:r>
    </w:p>
    <w:p w14:paraId="127AC64E" w14:textId="77777777" w:rsidR="00D0083C" w:rsidRDefault="00854AE5">
      <w:pPr>
        <w:spacing w:line="360" w:lineRule="auto"/>
        <w:ind w:firstLine="420"/>
        <w:divId w:val="1994599321"/>
      </w:pPr>
      <w:r>
        <w:t>办公地址：北京市海淀区上地十街</w:t>
      </w:r>
      <w:r>
        <w:t>10</w:t>
      </w:r>
      <w:r>
        <w:t>号</w:t>
      </w:r>
    </w:p>
    <w:p w14:paraId="0B16484D" w14:textId="77777777" w:rsidR="00D0083C" w:rsidRDefault="00854AE5">
      <w:pPr>
        <w:spacing w:line="360" w:lineRule="auto"/>
        <w:ind w:firstLine="420"/>
        <w:divId w:val="1994599321"/>
      </w:pPr>
      <w:r>
        <w:t>法定代表人：梁志祥</w:t>
      </w:r>
    </w:p>
    <w:p w14:paraId="70E05AA8" w14:textId="77777777" w:rsidR="00D0083C" w:rsidRDefault="00854AE5">
      <w:pPr>
        <w:spacing w:line="360" w:lineRule="auto"/>
        <w:ind w:firstLine="420"/>
        <w:divId w:val="1994599321"/>
      </w:pPr>
      <w:r>
        <w:t>联系人：王笑宇</w:t>
      </w:r>
    </w:p>
    <w:p w14:paraId="6A02D112" w14:textId="77777777" w:rsidR="00D0083C" w:rsidRDefault="00854AE5">
      <w:pPr>
        <w:spacing w:line="360" w:lineRule="auto"/>
        <w:ind w:firstLine="420"/>
        <w:divId w:val="1994599321"/>
      </w:pPr>
      <w:r>
        <w:t>客户服务电话：</w:t>
      </w:r>
      <w:r>
        <w:t>95055-9</w:t>
      </w:r>
    </w:p>
    <w:p w14:paraId="091B8B11" w14:textId="77777777" w:rsidR="00D0083C" w:rsidRDefault="00854AE5">
      <w:pPr>
        <w:spacing w:line="360" w:lineRule="auto"/>
        <w:ind w:firstLine="420"/>
        <w:divId w:val="1994599321"/>
      </w:pPr>
      <w:r>
        <w:t>网址：</w:t>
      </w:r>
      <w:r>
        <w:t>https://www.baiyingfund.com/</w:t>
      </w:r>
    </w:p>
    <w:p w14:paraId="00B2B165" w14:textId="77777777" w:rsidR="00D0083C" w:rsidRDefault="00854AE5">
      <w:pPr>
        <w:spacing w:line="360" w:lineRule="auto"/>
        <w:ind w:firstLine="420"/>
        <w:divId w:val="1994599321"/>
      </w:pPr>
      <w:r>
        <w:t>2</w:t>
      </w:r>
      <w:r>
        <w:t>）北京植信基金销售有限公司</w:t>
      </w:r>
    </w:p>
    <w:p w14:paraId="624C153B" w14:textId="77777777" w:rsidR="00D0083C" w:rsidRDefault="00854AE5">
      <w:pPr>
        <w:spacing w:line="360" w:lineRule="auto"/>
        <w:ind w:firstLine="420"/>
        <w:divId w:val="1994599321"/>
      </w:pPr>
      <w:r>
        <w:t>注册地址：北京市密云县兴盛南路</w:t>
      </w:r>
      <w:r>
        <w:t>8</w:t>
      </w:r>
      <w:r>
        <w:t>号院</w:t>
      </w:r>
      <w:r>
        <w:t>2</w:t>
      </w:r>
      <w:r>
        <w:t>号楼</w:t>
      </w:r>
      <w:r>
        <w:t>106</w:t>
      </w:r>
      <w:r>
        <w:t>室</w:t>
      </w:r>
      <w:r>
        <w:t>-67</w:t>
      </w:r>
    </w:p>
    <w:p w14:paraId="1BD7525A" w14:textId="77777777" w:rsidR="00D0083C" w:rsidRDefault="00854AE5">
      <w:pPr>
        <w:spacing w:line="360" w:lineRule="auto"/>
        <w:ind w:firstLine="420"/>
        <w:divId w:val="1994599321"/>
      </w:pPr>
      <w:r>
        <w:t>办公地址：北京市朝阳区惠河南路盛世龙源</w:t>
      </w:r>
      <w:r>
        <w:t>10</w:t>
      </w:r>
      <w:r>
        <w:t>号</w:t>
      </w:r>
    </w:p>
    <w:p w14:paraId="2E7F0470" w14:textId="77777777" w:rsidR="00D0083C" w:rsidRDefault="00854AE5">
      <w:pPr>
        <w:spacing w:line="360" w:lineRule="auto"/>
        <w:ind w:firstLine="420"/>
        <w:divId w:val="1994599321"/>
      </w:pPr>
      <w:r>
        <w:t>法定代表人：于龙</w:t>
      </w:r>
    </w:p>
    <w:p w14:paraId="59DA09F0" w14:textId="77777777" w:rsidR="00D0083C" w:rsidRDefault="00854AE5">
      <w:pPr>
        <w:spacing w:line="360" w:lineRule="auto"/>
        <w:ind w:firstLine="420"/>
        <w:divId w:val="1994599321"/>
      </w:pPr>
      <w:r>
        <w:t>联系人：张喆</w:t>
      </w:r>
    </w:p>
    <w:p w14:paraId="1CBC2072" w14:textId="77777777" w:rsidR="00D0083C" w:rsidRDefault="00854AE5">
      <w:pPr>
        <w:spacing w:line="360" w:lineRule="auto"/>
        <w:ind w:firstLine="420"/>
        <w:divId w:val="1994599321"/>
      </w:pPr>
      <w:r>
        <w:t>客户服务电话：</w:t>
      </w:r>
      <w:r>
        <w:t>4006-802-123</w:t>
      </w:r>
    </w:p>
    <w:p w14:paraId="78356A3C" w14:textId="77777777" w:rsidR="00D0083C" w:rsidRDefault="00854AE5">
      <w:pPr>
        <w:spacing w:line="360" w:lineRule="auto"/>
        <w:ind w:firstLine="420"/>
        <w:divId w:val="1994599321"/>
      </w:pPr>
      <w:r>
        <w:t>网址：</w:t>
      </w:r>
      <w:r>
        <w:t>https://www.zhixin-inv.com/</w:t>
      </w:r>
    </w:p>
    <w:p w14:paraId="3439822C" w14:textId="77777777" w:rsidR="00D0083C" w:rsidRDefault="00854AE5">
      <w:pPr>
        <w:spacing w:line="360" w:lineRule="auto"/>
        <w:ind w:firstLine="420"/>
        <w:divId w:val="1994599321"/>
      </w:pPr>
      <w:r>
        <w:t>3</w:t>
      </w:r>
      <w:r>
        <w:t>）成都华羿恒信基金销售有限公司</w:t>
      </w:r>
    </w:p>
    <w:p w14:paraId="1D43ADED" w14:textId="77777777" w:rsidR="00D0083C" w:rsidRDefault="00854AE5">
      <w:pPr>
        <w:spacing w:line="360" w:lineRule="auto"/>
        <w:ind w:firstLine="420"/>
        <w:divId w:val="1994599321"/>
      </w:pPr>
      <w:r>
        <w:t>注册地址：中国（四川）自由贸易试验区成都高新区蜀锦路</w:t>
      </w:r>
      <w:r>
        <w:t>88</w:t>
      </w:r>
      <w:r>
        <w:t>号</w:t>
      </w:r>
      <w:r>
        <w:t>1</w:t>
      </w:r>
      <w:r>
        <w:t>号楼</w:t>
      </w:r>
      <w:r>
        <w:t>32</w:t>
      </w:r>
      <w:r>
        <w:t>楼</w:t>
      </w:r>
      <w:r>
        <w:t>2</w:t>
      </w:r>
      <w:r>
        <w:t>号</w:t>
      </w:r>
    </w:p>
    <w:p w14:paraId="48740BB4" w14:textId="77777777" w:rsidR="00D0083C" w:rsidRDefault="00854AE5">
      <w:pPr>
        <w:spacing w:line="360" w:lineRule="auto"/>
        <w:ind w:firstLine="420"/>
        <w:divId w:val="1994599321"/>
      </w:pPr>
      <w:r>
        <w:t>办公地址：中国（四川）自由贸易试验区成都高新区蜀锦路</w:t>
      </w:r>
      <w:r>
        <w:t>88</w:t>
      </w:r>
      <w:r>
        <w:t>号</w:t>
      </w:r>
      <w:r>
        <w:t>1</w:t>
      </w:r>
      <w:r>
        <w:t>号楼</w:t>
      </w:r>
      <w:r>
        <w:t>32</w:t>
      </w:r>
      <w:r>
        <w:t>楼</w:t>
      </w:r>
      <w:r>
        <w:t>2</w:t>
      </w:r>
      <w:r>
        <w:t>号</w:t>
      </w:r>
    </w:p>
    <w:p w14:paraId="26F1D17B" w14:textId="77777777" w:rsidR="00D0083C" w:rsidRDefault="00854AE5">
      <w:pPr>
        <w:spacing w:line="360" w:lineRule="auto"/>
        <w:ind w:firstLine="420"/>
        <w:divId w:val="1994599321"/>
      </w:pPr>
      <w:r>
        <w:t>法定代表人：赵壁</w:t>
      </w:r>
    </w:p>
    <w:p w14:paraId="25FE3467" w14:textId="77777777" w:rsidR="00D0083C" w:rsidRDefault="00854AE5">
      <w:pPr>
        <w:spacing w:line="360" w:lineRule="auto"/>
        <w:ind w:firstLine="420"/>
        <w:divId w:val="1994599321"/>
      </w:pPr>
      <w:r>
        <w:t>联系人：徐莉</w:t>
      </w:r>
    </w:p>
    <w:p w14:paraId="242D094B" w14:textId="77777777" w:rsidR="00D0083C" w:rsidRDefault="00854AE5">
      <w:pPr>
        <w:spacing w:line="360" w:lineRule="auto"/>
        <w:ind w:firstLine="420"/>
        <w:divId w:val="1994599321"/>
      </w:pPr>
      <w:r>
        <w:t>客户服务电话：</w:t>
      </w:r>
      <w:r>
        <w:t>028-87326832</w:t>
      </w:r>
    </w:p>
    <w:p w14:paraId="6ECA4CB9" w14:textId="77777777" w:rsidR="00D0083C" w:rsidRDefault="00854AE5">
      <w:pPr>
        <w:spacing w:line="360" w:lineRule="auto"/>
        <w:ind w:firstLine="420"/>
        <w:divId w:val="1994599321"/>
      </w:pPr>
      <w:r>
        <w:t>网址：</w:t>
      </w:r>
      <w:r>
        <w:t>www.huayihengxin.com/</w:t>
      </w:r>
    </w:p>
    <w:p w14:paraId="61EE442D" w14:textId="77777777" w:rsidR="00D0083C" w:rsidRDefault="00854AE5">
      <w:pPr>
        <w:spacing w:line="360" w:lineRule="auto"/>
        <w:ind w:firstLine="420"/>
        <w:divId w:val="1994599321"/>
      </w:pPr>
      <w:r>
        <w:t>4</w:t>
      </w:r>
      <w:r>
        <w:t>）诺亚正行基金销售有限公司</w:t>
      </w:r>
    </w:p>
    <w:p w14:paraId="0CBA4CA4" w14:textId="77777777" w:rsidR="00D0083C" w:rsidRDefault="00854AE5">
      <w:pPr>
        <w:spacing w:line="360" w:lineRule="auto"/>
        <w:ind w:firstLine="420"/>
        <w:divId w:val="1994599321"/>
      </w:pPr>
      <w:r>
        <w:t>注册地址：上海市虹口区飞虹路</w:t>
      </w:r>
      <w:r>
        <w:t>360</w:t>
      </w:r>
      <w:r>
        <w:t>弄</w:t>
      </w:r>
      <w:r>
        <w:t>9</w:t>
      </w:r>
      <w:r>
        <w:t>号</w:t>
      </w:r>
      <w:r>
        <w:t>3724</w:t>
      </w:r>
      <w:r>
        <w:t>室</w:t>
      </w:r>
    </w:p>
    <w:p w14:paraId="621ADE55" w14:textId="77777777" w:rsidR="00D0083C" w:rsidRDefault="00854AE5">
      <w:pPr>
        <w:spacing w:line="360" w:lineRule="auto"/>
        <w:ind w:firstLine="420"/>
        <w:divId w:val="1994599321"/>
      </w:pPr>
      <w:r>
        <w:t>办公地址：上海市杨浦区秦皇岛路</w:t>
      </w:r>
      <w:r>
        <w:t>32</w:t>
      </w:r>
      <w:r>
        <w:t>号</w:t>
      </w:r>
      <w:r>
        <w:t>c</w:t>
      </w:r>
      <w:r>
        <w:t>栋</w:t>
      </w:r>
    </w:p>
    <w:p w14:paraId="3BD049E8" w14:textId="77777777" w:rsidR="00D0083C" w:rsidRDefault="00854AE5">
      <w:pPr>
        <w:spacing w:line="360" w:lineRule="auto"/>
        <w:ind w:firstLine="420"/>
        <w:divId w:val="1994599321"/>
      </w:pPr>
      <w:r>
        <w:t>法定代表人：汪静波</w:t>
      </w:r>
    </w:p>
    <w:p w14:paraId="40B019C1" w14:textId="77777777" w:rsidR="00D0083C" w:rsidRDefault="00854AE5">
      <w:pPr>
        <w:spacing w:line="360" w:lineRule="auto"/>
        <w:ind w:firstLine="420"/>
        <w:divId w:val="1994599321"/>
      </w:pPr>
      <w:r>
        <w:t>联系人：朱了</w:t>
      </w:r>
    </w:p>
    <w:p w14:paraId="3ED8DE1A" w14:textId="77777777" w:rsidR="00D0083C" w:rsidRDefault="00854AE5">
      <w:pPr>
        <w:spacing w:line="360" w:lineRule="auto"/>
        <w:ind w:firstLine="420"/>
        <w:divId w:val="1994599321"/>
      </w:pPr>
      <w:r>
        <w:t>客户服务电话：</w:t>
      </w:r>
      <w:r>
        <w:t>400-821-5399</w:t>
      </w:r>
    </w:p>
    <w:p w14:paraId="20CD4EE2" w14:textId="77777777" w:rsidR="00D0083C" w:rsidRDefault="00854AE5">
      <w:pPr>
        <w:spacing w:line="360" w:lineRule="auto"/>
        <w:ind w:firstLine="420"/>
        <w:divId w:val="1994599321"/>
      </w:pPr>
      <w:r>
        <w:t>网址：</w:t>
      </w:r>
      <w:r>
        <w:t>www.noah-fund.com</w:t>
      </w:r>
    </w:p>
    <w:p w14:paraId="7F57F9DB" w14:textId="77777777" w:rsidR="00D0083C" w:rsidRDefault="00854AE5">
      <w:pPr>
        <w:spacing w:line="360" w:lineRule="auto"/>
        <w:ind w:firstLine="420"/>
        <w:divId w:val="1994599321"/>
      </w:pPr>
      <w:r>
        <w:t>5</w:t>
      </w:r>
      <w:r>
        <w:t>）上海好买基金销售有限公司</w:t>
      </w:r>
    </w:p>
    <w:p w14:paraId="6D194AE1" w14:textId="77777777" w:rsidR="00D0083C" w:rsidRDefault="00854AE5">
      <w:pPr>
        <w:spacing w:line="360" w:lineRule="auto"/>
        <w:ind w:firstLine="420"/>
        <w:divId w:val="1994599321"/>
      </w:pPr>
      <w:r>
        <w:t>注册地址：上海市虹口区欧阳路</w:t>
      </w:r>
      <w:r>
        <w:t>196</w:t>
      </w:r>
      <w:r>
        <w:t>号</w:t>
      </w:r>
      <w:r>
        <w:t>26</w:t>
      </w:r>
      <w:r>
        <w:t>号楼</w:t>
      </w:r>
      <w:r>
        <w:t>2</w:t>
      </w:r>
      <w:r>
        <w:t>楼</w:t>
      </w:r>
      <w:r>
        <w:t>41</w:t>
      </w:r>
      <w:r>
        <w:t>号</w:t>
      </w:r>
    </w:p>
    <w:p w14:paraId="7E5A918C" w14:textId="77777777" w:rsidR="00D0083C" w:rsidRDefault="00854AE5">
      <w:pPr>
        <w:spacing w:line="360" w:lineRule="auto"/>
        <w:ind w:firstLine="420"/>
        <w:divId w:val="1994599321"/>
      </w:pPr>
      <w:r>
        <w:t>办公地址：上海市浦东南路</w:t>
      </w:r>
      <w:r>
        <w:t>1118</w:t>
      </w:r>
      <w:r>
        <w:t>号鄂尔多斯大厦</w:t>
      </w:r>
      <w:r>
        <w:t>903</w:t>
      </w:r>
      <w:r>
        <w:t>～</w:t>
      </w:r>
      <w:r>
        <w:t>906</w:t>
      </w:r>
      <w:r>
        <w:t>室</w:t>
      </w:r>
    </w:p>
    <w:p w14:paraId="738E92C7" w14:textId="77777777" w:rsidR="00D0083C" w:rsidRDefault="00854AE5">
      <w:pPr>
        <w:spacing w:line="360" w:lineRule="auto"/>
        <w:ind w:firstLine="420"/>
        <w:divId w:val="1994599321"/>
      </w:pPr>
      <w:r>
        <w:t>法定代表人：杨文斌</w:t>
      </w:r>
    </w:p>
    <w:p w14:paraId="3FA1E44A" w14:textId="77777777" w:rsidR="00D0083C" w:rsidRDefault="00854AE5">
      <w:pPr>
        <w:spacing w:line="360" w:lineRule="auto"/>
        <w:ind w:firstLine="420"/>
        <w:divId w:val="1994599321"/>
      </w:pPr>
      <w:r>
        <w:t>联系人：王诗玙</w:t>
      </w:r>
    </w:p>
    <w:p w14:paraId="40BFB86F" w14:textId="77777777" w:rsidR="00D0083C" w:rsidRDefault="00854AE5">
      <w:pPr>
        <w:spacing w:line="360" w:lineRule="auto"/>
        <w:ind w:firstLine="420"/>
        <w:divId w:val="1994599321"/>
      </w:pPr>
      <w:r>
        <w:lastRenderedPageBreak/>
        <w:t>客户服务电话：</w:t>
      </w:r>
      <w:r>
        <w:t>400-700-9665</w:t>
      </w:r>
    </w:p>
    <w:p w14:paraId="16135417" w14:textId="77777777" w:rsidR="00D0083C" w:rsidRDefault="00854AE5">
      <w:pPr>
        <w:spacing w:line="360" w:lineRule="auto"/>
        <w:ind w:firstLine="420"/>
        <w:divId w:val="1994599321"/>
      </w:pPr>
      <w:r>
        <w:t>网址：</w:t>
      </w:r>
      <w:r>
        <w:t>www.howbuy.com</w:t>
      </w:r>
    </w:p>
    <w:p w14:paraId="7E8DC10E" w14:textId="77777777" w:rsidR="00D0083C" w:rsidRDefault="00854AE5">
      <w:pPr>
        <w:spacing w:line="360" w:lineRule="auto"/>
        <w:ind w:firstLine="420"/>
        <w:divId w:val="1994599321"/>
      </w:pPr>
      <w:r>
        <w:t>6</w:t>
      </w:r>
      <w:r>
        <w:t>）上海基煜基金销售有限公司</w:t>
      </w:r>
    </w:p>
    <w:p w14:paraId="1F3439F6" w14:textId="77777777" w:rsidR="00D0083C" w:rsidRDefault="00854AE5">
      <w:pPr>
        <w:spacing w:line="360" w:lineRule="auto"/>
        <w:ind w:firstLine="420"/>
        <w:divId w:val="1994599321"/>
      </w:pPr>
      <w:r>
        <w:t>注册地址：上海市崇明县长兴镇潘园公路</w:t>
      </w:r>
      <w:r>
        <w:t>1800</w:t>
      </w:r>
      <w:r>
        <w:t>号</w:t>
      </w:r>
      <w:r>
        <w:t>2</w:t>
      </w:r>
      <w:r>
        <w:t>号楼</w:t>
      </w:r>
      <w:r>
        <w:t>6153</w:t>
      </w:r>
      <w:r>
        <w:t>室（上海泰和经济发展区）</w:t>
      </w:r>
    </w:p>
    <w:p w14:paraId="31A06038" w14:textId="77777777" w:rsidR="00D0083C" w:rsidRDefault="00854AE5">
      <w:pPr>
        <w:spacing w:line="360" w:lineRule="auto"/>
        <w:ind w:firstLine="420"/>
        <w:divId w:val="1994599321"/>
      </w:pPr>
      <w:r>
        <w:t>办公地址：上海市浦东新区银城中路</w:t>
      </w:r>
      <w:r>
        <w:t>488</w:t>
      </w:r>
      <w:r>
        <w:t>号太平金融大厦</w:t>
      </w:r>
      <w:r>
        <w:t>1503</w:t>
      </w:r>
      <w:r>
        <w:t>室</w:t>
      </w:r>
    </w:p>
    <w:p w14:paraId="7098139E" w14:textId="77777777" w:rsidR="00D0083C" w:rsidRDefault="00854AE5">
      <w:pPr>
        <w:spacing w:line="360" w:lineRule="auto"/>
        <w:ind w:firstLine="420"/>
        <w:divId w:val="1994599321"/>
      </w:pPr>
      <w:r>
        <w:t>法定代表人：王翔</w:t>
      </w:r>
    </w:p>
    <w:p w14:paraId="153574FC" w14:textId="77777777" w:rsidR="00D0083C" w:rsidRDefault="00854AE5">
      <w:pPr>
        <w:spacing w:line="360" w:lineRule="auto"/>
        <w:ind w:firstLine="420"/>
        <w:divId w:val="1994599321"/>
      </w:pPr>
      <w:r>
        <w:t>联系人：吴鸿飞</w:t>
      </w:r>
    </w:p>
    <w:p w14:paraId="3ED5A045" w14:textId="77777777" w:rsidR="00D0083C" w:rsidRDefault="00854AE5">
      <w:pPr>
        <w:spacing w:line="360" w:lineRule="auto"/>
        <w:ind w:firstLine="420"/>
        <w:divId w:val="1994599321"/>
      </w:pPr>
      <w:r>
        <w:t>客户服务电话：</w:t>
      </w:r>
      <w:r>
        <w:t>400-820-5369</w:t>
      </w:r>
    </w:p>
    <w:p w14:paraId="24723DCD" w14:textId="77777777" w:rsidR="00D0083C" w:rsidRDefault="00854AE5">
      <w:pPr>
        <w:spacing w:line="360" w:lineRule="auto"/>
        <w:ind w:firstLine="420"/>
        <w:divId w:val="1994599321"/>
      </w:pPr>
      <w:r>
        <w:t>网址：</w:t>
      </w:r>
      <w:r>
        <w:t>www.jiyufund.com.cn</w:t>
      </w:r>
    </w:p>
    <w:p w14:paraId="4DB9A6EE" w14:textId="77777777" w:rsidR="00D0083C" w:rsidRDefault="00854AE5">
      <w:pPr>
        <w:spacing w:line="360" w:lineRule="auto"/>
        <w:ind w:firstLine="420"/>
        <w:divId w:val="1994599321"/>
      </w:pPr>
      <w:r>
        <w:t>7</w:t>
      </w:r>
      <w:r>
        <w:t>）上海陆金所基金销售有限公司</w:t>
      </w:r>
    </w:p>
    <w:p w14:paraId="6645E0E9" w14:textId="77777777" w:rsidR="00D0083C" w:rsidRDefault="00854AE5">
      <w:pPr>
        <w:spacing w:line="360" w:lineRule="auto"/>
        <w:ind w:firstLine="420"/>
        <w:divId w:val="1994599321"/>
      </w:pPr>
      <w:r>
        <w:t>注册地址：上海市浦东新区陆家嘴环路</w:t>
      </w:r>
      <w:r>
        <w:t>1333</w:t>
      </w:r>
      <w:r>
        <w:t>号</w:t>
      </w:r>
      <w:r>
        <w:t>14</w:t>
      </w:r>
      <w:r>
        <w:t>楼</w:t>
      </w:r>
    </w:p>
    <w:p w14:paraId="21D22C6E" w14:textId="77777777" w:rsidR="00D0083C" w:rsidRDefault="00854AE5">
      <w:pPr>
        <w:spacing w:line="360" w:lineRule="auto"/>
        <w:ind w:firstLine="420"/>
        <w:divId w:val="1994599321"/>
      </w:pPr>
      <w:r>
        <w:t>办公地址：上海市浦东新区陆家嘴环路</w:t>
      </w:r>
      <w:r>
        <w:t>1333</w:t>
      </w:r>
      <w:r>
        <w:t>号</w:t>
      </w:r>
      <w:r>
        <w:t>14</w:t>
      </w:r>
      <w:r>
        <w:t>楼</w:t>
      </w:r>
    </w:p>
    <w:p w14:paraId="16FF2D03" w14:textId="77777777" w:rsidR="00D0083C" w:rsidRDefault="00854AE5">
      <w:pPr>
        <w:spacing w:line="360" w:lineRule="auto"/>
        <w:ind w:firstLine="420"/>
        <w:divId w:val="1994599321"/>
      </w:pPr>
      <w:r>
        <w:t>法定代表人：郭坚</w:t>
      </w:r>
    </w:p>
    <w:p w14:paraId="566E96A4" w14:textId="77777777" w:rsidR="00D0083C" w:rsidRDefault="00854AE5">
      <w:pPr>
        <w:spacing w:line="360" w:lineRule="auto"/>
        <w:ind w:firstLine="420"/>
        <w:divId w:val="1994599321"/>
      </w:pPr>
      <w:r>
        <w:t>联系人：陈铭洲</w:t>
      </w:r>
    </w:p>
    <w:p w14:paraId="6B960783" w14:textId="77777777" w:rsidR="00D0083C" w:rsidRDefault="00854AE5">
      <w:pPr>
        <w:spacing w:line="360" w:lineRule="auto"/>
        <w:ind w:firstLine="420"/>
        <w:divId w:val="1994599321"/>
      </w:pPr>
      <w:r>
        <w:t>客户服务电话：</w:t>
      </w:r>
      <w:r>
        <w:t>400-821-9031</w:t>
      </w:r>
    </w:p>
    <w:p w14:paraId="75AB290B" w14:textId="77777777" w:rsidR="00D0083C" w:rsidRDefault="00854AE5">
      <w:pPr>
        <w:spacing w:line="360" w:lineRule="auto"/>
        <w:ind w:firstLine="420"/>
        <w:divId w:val="1994599321"/>
      </w:pPr>
      <w:r>
        <w:t>网址：</w:t>
      </w:r>
      <w:r>
        <w:t>www.lu.com</w:t>
      </w:r>
    </w:p>
    <w:p w14:paraId="42527FF6" w14:textId="77777777" w:rsidR="00D0083C" w:rsidRDefault="00854AE5">
      <w:pPr>
        <w:spacing w:line="360" w:lineRule="auto"/>
        <w:ind w:firstLine="420"/>
        <w:divId w:val="1994599321"/>
      </w:pPr>
      <w:r>
        <w:t>8</w:t>
      </w:r>
      <w:r>
        <w:t>）上海天天基金销售有限公司</w:t>
      </w:r>
    </w:p>
    <w:p w14:paraId="7203C8AC" w14:textId="77777777" w:rsidR="00D0083C" w:rsidRDefault="00854AE5">
      <w:pPr>
        <w:spacing w:line="360" w:lineRule="auto"/>
        <w:ind w:firstLine="420"/>
        <w:divId w:val="1994599321"/>
      </w:pPr>
      <w:r>
        <w:t>注册地址：上海市徐汇区龙田路</w:t>
      </w:r>
      <w:r>
        <w:t>190</w:t>
      </w:r>
      <w:r>
        <w:t>号</w:t>
      </w:r>
      <w:r>
        <w:t>2</w:t>
      </w:r>
      <w:r>
        <w:t>号楼</w:t>
      </w:r>
      <w:r>
        <w:t>2</w:t>
      </w:r>
      <w:r>
        <w:t>层</w:t>
      </w:r>
    </w:p>
    <w:p w14:paraId="16365331" w14:textId="77777777" w:rsidR="00D0083C" w:rsidRDefault="00854AE5">
      <w:pPr>
        <w:spacing w:line="360" w:lineRule="auto"/>
        <w:ind w:firstLine="420"/>
        <w:divId w:val="1994599321"/>
      </w:pPr>
      <w:r>
        <w:t>办公地址：上海市徐汇区龙田路</w:t>
      </w:r>
      <w:r>
        <w:t>195</w:t>
      </w:r>
      <w:r>
        <w:t>号</w:t>
      </w:r>
      <w:r>
        <w:t>3C</w:t>
      </w:r>
      <w:r>
        <w:t>座</w:t>
      </w:r>
      <w:r>
        <w:t>10</w:t>
      </w:r>
      <w:r>
        <w:t>楼</w:t>
      </w:r>
    </w:p>
    <w:p w14:paraId="3D223713" w14:textId="77777777" w:rsidR="00D0083C" w:rsidRDefault="00854AE5">
      <w:pPr>
        <w:spacing w:line="360" w:lineRule="auto"/>
        <w:ind w:firstLine="420"/>
        <w:divId w:val="1994599321"/>
      </w:pPr>
      <w:r>
        <w:t>法定代表人：其实</w:t>
      </w:r>
    </w:p>
    <w:p w14:paraId="64A79730" w14:textId="77777777" w:rsidR="00D0083C" w:rsidRDefault="00854AE5">
      <w:pPr>
        <w:spacing w:line="360" w:lineRule="auto"/>
        <w:ind w:firstLine="420"/>
        <w:divId w:val="1994599321"/>
      </w:pPr>
      <w:r>
        <w:t>联系人：高莉莉</w:t>
      </w:r>
    </w:p>
    <w:p w14:paraId="0C5FEAA0" w14:textId="77777777" w:rsidR="00D0083C" w:rsidRDefault="00854AE5">
      <w:pPr>
        <w:spacing w:line="360" w:lineRule="auto"/>
        <w:ind w:firstLine="420"/>
        <w:divId w:val="1994599321"/>
      </w:pPr>
      <w:r>
        <w:t>客户服务电话：</w:t>
      </w:r>
      <w:r>
        <w:t>400-1818-188</w:t>
      </w:r>
    </w:p>
    <w:p w14:paraId="56B8BBF6" w14:textId="77777777" w:rsidR="00D0083C" w:rsidRDefault="00854AE5">
      <w:pPr>
        <w:spacing w:line="360" w:lineRule="auto"/>
        <w:ind w:firstLine="420"/>
        <w:divId w:val="1994599321"/>
      </w:pPr>
      <w:r>
        <w:t>网址：</w:t>
      </w:r>
      <w:r>
        <w:t>www.1234567.com.cn</w:t>
      </w:r>
    </w:p>
    <w:p w14:paraId="080FC348" w14:textId="77777777" w:rsidR="00D0083C" w:rsidRDefault="00854AE5">
      <w:pPr>
        <w:spacing w:line="360" w:lineRule="auto"/>
        <w:ind w:firstLine="420"/>
        <w:divId w:val="1994599321"/>
      </w:pPr>
      <w:r>
        <w:t>9</w:t>
      </w:r>
      <w:r>
        <w:t>）深圳众禄基金销售股份有限公司</w:t>
      </w:r>
    </w:p>
    <w:p w14:paraId="5FC35EBF" w14:textId="77777777" w:rsidR="00D0083C" w:rsidRDefault="00854AE5">
      <w:pPr>
        <w:spacing w:line="360" w:lineRule="auto"/>
        <w:ind w:firstLine="420"/>
        <w:divId w:val="1994599321"/>
      </w:pPr>
      <w:r>
        <w:t>注册地址：深圳市罗湖区梨园路物资控股置地大厦</w:t>
      </w:r>
      <w:r>
        <w:t>8</w:t>
      </w:r>
      <w:r>
        <w:t>楼</w:t>
      </w:r>
    </w:p>
    <w:p w14:paraId="6516AB10" w14:textId="77777777" w:rsidR="00D0083C" w:rsidRDefault="00854AE5">
      <w:pPr>
        <w:spacing w:line="360" w:lineRule="auto"/>
        <w:ind w:firstLine="420"/>
        <w:divId w:val="1994599321"/>
      </w:pPr>
      <w:r>
        <w:t>办公地址：深圳市罗湖区笋岗街道梨园路物资控股置地大厦</w:t>
      </w:r>
      <w:r>
        <w:t>8</w:t>
      </w:r>
      <w:r>
        <w:t>楼</w:t>
      </w:r>
      <w:r>
        <w:t xml:space="preserve">801 </w:t>
      </w:r>
    </w:p>
    <w:p w14:paraId="31AD714F" w14:textId="77777777" w:rsidR="00D0083C" w:rsidRDefault="00854AE5">
      <w:pPr>
        <w:spacing w:line="360" w:lineRule="auto"/>
        <w:ind w:firstLine="420"/>
        <w:divId w:val="1994599321"/>
      </w:pPr>
      <w:r>
        <w:t>法定代表人：薛峰</w:t>
      </w:r>
    </w:p>
    <w:p w14:paraId="65E0BE23" w14:textId="77777777" w:rsidR="00D0083C" w:rsidRDefault="00854AE5">
      <w:pPr>
        <w:spacing w:line="360" w:lineRule="auto"/>
        <w:ind w:firstLine="420"/>
        <w:divId w:val="1994599321"/>
      </w:pPr>
      <w:r>
        <w:t>联系人：邓爱萍</w:t>
      </w:r>
    </w:p>
    <w:p w14:paraId="79EB27C4" w14:textId="77777777" w:rsidR="00D0083C" w:rsidRDefault="00854AE5">
      <w:pPr>
        <w:spacing w:line="360" w:lineRule="auto"/>
        <w:ind w:firstLine="420"/>
        <w:divId w:val="1994599321"/>
      </w:pPr>
      <w:r>
        <w:t>客户服务电话：</w:t>
      </w:r>
      <w:r>
        <w:t>4006-788-887</w:t>
      </w:r>
    </w:p>
    <w:p w14:paraId="4D618F5A" w14:textId="77777777" w:rsidR="00D0083C" w:rsidRDefault="00854AE5">
      <w:pPr>
        <w:spacing w:line="360" w:lineRule="auto"/>
        <w:ind w:firstLine="420"/>
        <w:divId w:val="1994599321"/>
      </w:pPr>
      <w:r>
        <w:t>网址：</w:t>
      </w:r>
      <w:r>
        <w:t>www.zlfund.cn</w:t>
      </w:r>
      <w:r>
        <w:t>、</w:t>
      </w:r>
      <w:r>
        <w:t xml:space="preserve"> www.jjmmw.com</w:t>
      </w:r>
    </w:p>
    <w:p w14:paraId="32C540FE" w14:textId="77777777" w:rsidR="00D0083C" w:rsidRDefault="00854AE5">
      <w:pPr>
        <w:spacing w:line="360" w:lineRule="auto"/>
        <w:ind w:firstLine="420"/>
        <w:divId w:val="1994599321"/>
      </w:pPr>
      <w:r>
        <w:t>10</w:t>
      </w:r>
      <w:r>
        <w:t>）浙江同花顺基金销售有限公司</w:t>
      </w:r>
    </w:p>
    <w:p w14:paraId="545B2D2F" w14:textId="77777777" w:rsidR="00D0083C" w:rsidRDefault="00854AE5">
      <w:pPr>
        <w:spacing w:line="360" w:lineRule="auto"/>
        <w:ind w:firstLine="420"/>
        <w:divId w:val="1994599321"/>
      </w:pPr>
      <w:r>
        <w:t>注册地址：浙江省杭州市文二西路一号元茂大厦</w:t>
      </w:r>
      <w:r>
        <w:t>903</w:t>
      </w:r>
    </w:p>
    <w:p w14:paraId="48E146E8" w14:textId="77777777" w:rsidR="00D0083C" w:rsidRDefault="00854AE5">
      <w:pPr>
        <w:spacing w:line="360" w:lineRule="auto"/>
        <w:ind w:firstLine="420"/>
        <w:divId w:val="1994599321"/>
      </w:pPr>
      <w:r>
        <w:t>办公地址：杭州市余杭区五常街道同顺路</w:t>
      </w:r>
      <w:r>
        <w:t>18</w:t>
      </w:r>
      <w:r>
        <w:t>号同花顺大楼</w:t>
      </w:r>
    </w:p>
    <w:p w14:paraId="0569FC2A" w14:textId="77777777" w:rsidR="00D0083C" w:rsidRDefault="00854AE5">
      <w:pPr>
        <w:spacing w:line="360" w:lineRule="auto"/>
        <w:ind w:firstLine="420"/>
        <w:divId w:val="1994599321"/>
      </w:pPr>
      <w:r>
        <w:lastRenderedPageBreak/>
        <w:t>法定代表人：凌顺平</w:t>
      </w:r>
    </w:p>
    <w:p w14:paraId="4DFB8E7B" w14:textId="77777777" w:rsidR="00D0083C" w:rsidRDefault="00854AE5">
      <w:pPr>
        <w:spacing w:line="360" w:lineRule="auto"/>
        <w:ind w:firstLine="420"/>
        <w:divId w:val="1994599321"/>
      </w:pPr>
      <w:r>
        <w:t>联系人：吴强</w:t>
      </w:r>
    </w:p>
    <w:p w14:paraId="4695D981" w14:textId="77777777" w:rsidR="00D0083C" w:rsidRDefault="00854AE5">
      <w:pPr>
        <w:spacing w:line="360" w:lineRule="auto"/>
        <w:ind w:firstLine="420"/>
        <w:divId w:val="1994599321"/>
      </w:pPr>
      <w:r>
        <w:t>客户服务电话：</w:t>
      </w:r>
      <w:r>
        <w:t>4008773772</w:t>
      </w:r>
    </w:p>
    <w:p w14:paraId="7DC5F503" w14:textId="77777777" w:rsidR="00D0083C" w:rsidRDefault="00854AE5">
      <w:pPr>
        <w:spacing w:line="360" w:lineRule="auto"/>
        <w:ind w:firstLine="420"/>
        <w:divId w:val="1994599321"/>
      </w:pPr>
      <w:r>
        <w:t>网址：</w:t>
      </w:r>
      <w:r>
        <w:t>www.5ifund.com</w:t>
      </w:r>
    </w:p>
    <w:p w14:paraId="2E557B69" w14:textId="77777777" w:rsidR="00D0083C" w:rsidRDefault="00854AE5">
      <w:pPr>
        <w:divId w:val="1994599321"/>
        <w:rPr>
          <w:sz w:val="24"/>
          <w:szCs w:val="24"/>
        </w:rPr>
      </w:pPr>
      <w:r>
        <w:t> </w:t>
      </w:r>
    </w:p>
    <w:p w14:paraId="206C46C9" w14:textId="2519B023"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基金管理人可根据有关法律法规要求，根据实情，选择其他符合要求的机构销售本基金或变更上述销售机构</w:t>
      </w:r>
      <w:r w:rsidR="00BE6383" w:rsidRPr="00C12A9D">
        <w:rPr>
          <w:rFonts w:hint="eastAsia"/>
          <w:bCs/>
          <w:sz w:val="21"/>
          <w:szCs w:val="21"/>
        </w:rPr>
        <w:t>，并在基金管理人网站公示</w:t>
      </w:r>
      <w:r>
        <w:rPr>
          <w:rFonts w:hint="eastAsia"/>
          <w:sz w:val="21"/>
          <w:szCs w:val="21"/>
        </w:rPr>
        <w:t>。</w:t>
      </w:r>
    </w:p>
    <w:p w14:paraId="74E4461D"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二、登记机构</w:t>
      </w:r>
    </w:p>
    <w:p w14:paraId="7462B01B" w14:textId="77777777" w:rsidR="00D0083C" w:rsidRDefault="00854AE5">
      <w:pPr>
        <w:spacing w:line="360" w:lineRule="auto"/>
        <w:ind w:firstLine="420"/>
        <w:divId w:val="1994599321"/>
      </w:pPr>
      <w:r>
        <w:t>名称：鹏华基金管理有限公司</w:t>
      </w:r>
    </w:p>
    <w:p w14:paraId="090AF978" w14:textId="77777777" w:rsidR="00D0083C" w:rsidRDefault="00854AE5">
      <w:pPr>
        <w:spacing w:line="360" w:lineRule="auto"/>
        <w:ind w:firstLine="420"/>
        <w:divId w:val="1994599321"/>
      </w:pPr>
      <w:r>
        <w:t>住所：深圳市福田区福华三路</w:t>
      </w:r>
      <w:r>
        <w:t xml:space="preserve">168 </w:t>
      </w:r>
      <w:r>
        <w:t>号深圳国际商会中心</w:t>
      </w:r>
      <w:r>
        <w:t xml:space="preserve">43 </w:t>
      </w:r>
      <w:r>
        <w:t>层</w:t>
      </w:r>
    </w:p>
    <w:p w14:paraId="0511153D" w14:textId="77777777" w:rsidR="00D0083C" w:rsidRDefault="00854AE5">
      <w:pPr>
        <w:spacing w:line="360" w:lineRule="auto"/>
        <w:ind w:firstLine="420"/>
        <w:divId w:val="1994599321"/>
      </w:pPr>
      <w:r>
        <w:t>法定代表人：何如</w:t>
      </w:r>
    </w:p>
    <w:p w14:paraId="7B6871D0" w14:textId="77777777" w:rsidR="00D0083C" w:rsidRDefault="00854AE5">
      <w:pPr>
        <w:spacing w:line="360" w:lineRule="auto"/>
        <w:ind w:firstLine="420"/>
        <w:divId w:val="1994599321"/>
      </w:pPr>
      <w:r>
        <w:t>办公室地址：深圳市福田区福华三路</w:t>
      </w:r>
      <w:r>
        <w:t xml:space="preserve">168 </w:t>
      </w:r>
      <w:r>
        <w:t>号深圳国际商会中心</w:t>
      </w:r>
      <w:r>
        <w:t xml:space="preserve">43 </w:t>
      </w:r>
      <w:r>
        <w:t>层</w:t>
      </w:r>
    </w:p>
    <w:p w14:paraId="70E342A7" w14:textId="77777777" w:rsidR="00D0083C" w:rsidRDefault="00854AE5">
      <w:pPr>
        <w:spacing w:line="360" w:lineRule="auto"/>
        <w:ind w:firstLine="420"/>
        <w:divId w:val="1994599321"/>
      </w:pPr>
      <w:r>
        <w:t>联系电话：（</w:t>
      </w:r>
      <w:r>
        <w:t>0755</w:t>
      </w:r>
      <w:r>
        <w:t>）</w:t>
      </w:r>
      <w:r>
        <w:t>82021877</w:t>
      </w:r>
    </w:p>
    <w:p w14:paraId="5980F7E1" w14:textId="77777777" w:rsidR="00D0083C" w:rsidRDefault="00854AE5">
      <w:pPr>
        <w:spacing w:line="360" w:lineRule="auto"/>
        <w:ind w:firstLine="420"/>
        <w:divId w:val="1994599321"/>
      </w:pPr>
      <w:r>
        <w:t>传真：（</w:t>
      </w:r>
      <w:r>
        <w:t>0755</w:t>
      </w:r>
      <w:r>
        <w:t>）</w:t>
      </w:r>
      <w:r>
        <w:t>82021165</w:t>
      </w:r>
    </w:p>
    <w:p w14:paraId="43B24C47" w14:textId="77777777" w:rsidR="00D0083C" w:rsidRDefault="00854AE5">
      <w:pPr>
        <w:spacing w:line="360" w:lineRule="auto"/>
        <w:ind w:firstLine="420"/>
        <w:divId w:val="1994599321"/>
      </w:pPr>
      <w:r>
        <w:t>负责人：范伟强</w:t>
      </w:r>
    </w:p>
    <w:p w14:paraId="2A251BF5" w14:textId="77777777" w:rsidR="00D0083C" w:rsidRDefault="00854AE5">
      <w:pPr>
        <w:divId w:val="1994599321"/>
        <w:rPr>
          <w:sz w:val="24"/>
          <w:szCs w:val="24"/>
        </w:rPr>
      </w:pPr>
      <w:r>
        <w:t> </w:t>
      </w:r>
    </w:p>
    <w:p w14:paraId="6CAE4983"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三、出具法律意见书的律师事务所</w:t>
      </w:r>
    </w:p>
    <w:p w14:paraId="754719AD" w14:textId="77777777" w:rsidR="00D0083C" w:rsidRDefault="00854AE5">
      <w:pPr>
        <w:spacing w:line="360" w:lineRule="auto"/>
        <w:ind w:firstLine="420"/>
        <w:divId w:val="1994599321"/>
      </w:pPr>
      <w:r>
        <w:t>名称：广东嘉得信律师事务所</w:t>
      </w:r>
    </w:p>
    <w:p w14:paraId="43B1020D" w14:textId="77777777" w:rsidR="00D0083C" w:rsidRDefault="00854AE5">
      <w:pPr>
        <w:spacing w:line="360" w:lineRule="auto"/>
        <w:ind w:firstLine="420"/>
        <w:divId w:val="1994599321"/>
      </w:pPr>
      <w:r>
        <w:t>住所：深圳市罗湖区笋岗东路中民时代广场</w:t>
      </w:r>
      <w:r>
        <w:t xml:space="preserve">A </w:t>
      </w:r>
      <w:r>
        <w:t>座</w:t>
      </w:r>
      <w:r>
        <w:t>201</w:t>
      </w:r>
    </w:p>
    <w:p w14:paraId="78A87E77" w14:textId="77777777" w:rsidR="00D0083C" w:rsidRDefault="00854AE5">
      <w:pPr>
        <w:spacing w:line="360" w:lineRule="auto"/>
        <w:ind w:firstLine="420"/>
        <w:divId w:val="1994599321"/>
      </w:pPr>
      <w:r>
        <w:t>法定代表人：闵齐双</w:t>
      </w:r>
    </w:p>
    <w:p w14:paraId="7308A1F3" w14:textId="77777777" w:rsidR="00D0083C" w:rsidRDefault="00854AE5">
      <w:pPr>
        <w:spacing w:line="360" w:lineRule="auto"/>
        <w:ind w:firstLine="420"/>
        <w:divId w:val="1994599321"/>
      </w:pPr>
      <w:r>
        <w:t>办公室地址：深圳市罗湖区笋岗东路中民时代广场</w:t>
      </w:r>
      <w:r>
        <w:t xml:space="preserve">A </w:t>
      </w:r>
      <w:r>
        <w:t>座</w:t>
      </w:r>
      <w:r>
        <w:t>201</w:t>
      </w:r>
    </w:p>
    <w:p w14:paraId="2D39D7E5" w14:textId="77777777" w:rsidR="00D0083C" w:rsidRDefault="00854AE5">
      <w:pPr>
        <w:spacing w:line="360" w:lineRule="auto"/>
        <w:ind w:firstLine="420"/>
        <w:divId w:val="1994599321"/>
      </w:pPr>
      <w:r>
        <w:t>联系电话：（</w:t>
      </w:r>
      <w:r>
        <w:t>0755</w:t>
      </w:r>
      <w:r>
        <w:t>）</w:t>
      </w:r>
      <w:r>
        <w:t>33391280</w:t>
      </w:r>
    </w:p>
    <w:p w14:paraId="1F1C4655" w14:textId="77777777" w:rsidR="00D0083C" w:rsidRDefault="00854AE5">
      <w:pPr>
        <w:spacing w:line="360" w:lineRule="auto"/>
        <w:ind w:firstLine="420"/>
        <w:divId w:val="1994599321"/>
      </w:pPr>
      <w:r>
        <w:t>传真：</w:t>
      </w:r>
      <w:r>
        <w:t>0755-33033086</w:t>
      </w:r>
    </w:p>
    <w:p w14:paraId="1AC2F210" w14:textId="77777777" w:rsidR="00D0083C" w:rsidRDefault="00854AE5">
      <w:pPr>
        <w:spacing w:line="360" w:lineRule="auto"/>
        <w:ind w:firstLine="420"/>
        <w:divId w:val="1994599321"/>
      </w:pPr>
      <w:r>
        <w:t>联系人：闵齐双</w:t>
      </w:r>
    </w:p>
    <w:p w14:paraId="43CD18B8" w14:textId="77777777" w:rsidR="00D0083C" w:rsidRDefault="00854AE5">
      <w:pPr>
        <w:spacing w:line="360" w:lineRule="auto"/>
        <w:ind w:firstLine="420"/>
        <w:divId w:val="1994599321"/>
      </w:pPr>
      <w:r>
        <w:t>经办律师：闵齐双、刘中良</w:t>
      </w:r>
    </w:p>
    <w:p w14:paraId="2E3A1A92"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四、会计师事务所</w:t>
      </w:r>
    </w:p>
    <w:p w14:paraId="061A10B5" w14:textId="77777777" w:rsidR="00D0083C" w:rsidRDefault="00854AE5">
      <w:pPr>
        <w:spacing w:line="360" w:lineRule="auto"/>
        <w:ind w:firstLine="420"/>
        <w:divId w:val="1994599321"/>
      </w:pPr>
      <w:r>
        <w:t>名称：毕马威华振会计师事务所（特殊普通合伙）</w:t>
      </w:r>
    </w:p>
    <w:p w14:paraId="30FFB60A" w14:textId="77777777" w:rsidR="00D0083C" w:rsidRDefault="00854AE5">
      <w:pPr>
        <w:spacing w:line="360" w:lineRule="auto"/>
        <w:ind w:firstLine="420"/>
        <w:divId w:val="1994599321"/>
      </w:pPr>
      <w:r>
        <w:t>住所：北京市东城区东长安街</w:t>
      </w:r>
      <w:r>
        <w:t>1</w:t>
      </w:r>
      <w:r>
        <w:t>号东方广场东</w:t>
      </w:r>
      <w:r>
        <w:t>2</w:t>
      </w:r>
      <w:r>
        <w:t>座办公楼</w:t>
      </w:r>
      <w:r>
        <w:t>8</w:t>
      </w:r>
      <w:r>
        <w:t>层</w:t>
      </w:r>
    </w:p>
    <w:p w14:paraId="5CF75FA5" w14:textId="77777777" w:rsidR="00D0083C" w:rsidRDefault="00854AE5">
      <w:pPr>
        <w:spacing w:line="360" w:lineRule="auto"/>
        <w:ind w:firstLine="420"/>
        <w:divId w:val="1994599321"/>
      </w:pPr>
      <w:r>
        <w:t>法定代表人：邹俊</w:t>
      </w:r>
    </w:p>
    <w:p w14:paraId="191D17C2" w14:textId="77777777" w:rsidR="00D0083C" w:rsidRDefault="00854AE5">
      <w:pPr>
        <w:spacing w:line="360" w:lineRule="auto"/>
        <w:ind w:firstLine="420"/>
        <w:divId w:val="1994599321"/>
      </w:pPr>
      <w:r>
        <w:t>办公室地址：北京市东城区东长安街</w:t>
      </w:r>
      <w:r>
        <w:t>1</w:t>
      </w:r>
      <w:r>
        <w:t>号东方广场东</w:t>
      </w:r>
      <w:r>
        <w:t>2</w:t>
      </w:r>
      <w:r>
        <w:t>座办公楼</w:t>
      </w:r>
      <w:r>
        <w:t>8</w:t>
      </w:r>
      <w:r>
        <w:t>层</w:t>
      </w:r>
    </w:p>
    <w:p w14:paraId="0C2526A6" w14:textId="77777777" w:rsidR="00D0083C" w:rsidRDefault="00854AE5">
      <w:pPr>
        <w:spacing w:line="360" w:lineRule="auto"/>
        <w:ind w:firstLine="420"/>
        <w:divId w:val="1994599321"/>
      </w:pPr>
      <w:r>
        <w:t>联系电话：</w:t>
      </w:r>
      <w:r>
        <w:t>(755)2547 1000</w:t>
      </w:r>
    </w:p>
    <w:p w14:paraId="0848787D" w14:textId="77777777" w:rsidR="00D0083C" w:rsidRDefault="00854AE5">
      <w:pPr>
        <w:spacing w:line="360" w:lineRule="auto"/>
        <w:ind w:firstLine="420"/>
        <w:divId w:val="1994599321"/>
      </w:pPr>
      <w:r>
        <w:t>传真：</w:t>
      </w:r>
      <w:r>
        <w:t>(755)8266 8930</w:t>
      </w:r>
    </w:p>
    <w:p w14:paraId="5F430024" w14:textId="77777777" w:rsidR="00D0083C" w:rsidRDefault="00854AE5">
      <w:pPr>
        <w:spacing w:line="360" w:lineRule="auto"/>
        <w:ind w:firstLine="420"/>
        <w:divId w:val="1994599321"/>
      </w:pPr>
      <w:r>
        <w:t>联系人：蔡正轩</w:t>
      </w:r>
    </w:p>
    <w:p w14:paraId="28694FC7" w14:textId="77777777" w:rsidR="00D0083C" w:rsidRDefault="00854AE5">
      <w:pPr>
        <w:spacing w:line="360" w:lineRule="auto"/>
        <w:ind w:firstLine="420"/>
        <w:divId w:val="1994599321"/>
      </w:pPr>
      <w:r>
        <w:t>经办会计师：吴钟鸣、胡悦</w:t>
      </w:r>
    </w:p>
    <w:p w14:paraId="6B2651F1" w14:textId="77777777" w:rsidR="00D0083C" w:rsidRDefault="00854AE5">
      <w:pPr>
        <w:pStyle w:val="1"/>
        <w:spacing w:before="240" w:line="360" w:lineRule="auto"/>
        <w:jc w:val="center"/>
        <w:divId w:val="1994599321"/>
        <w:rPr>
          <w:sz w:val="24"/>
          <w:szCs w:val="24"/>
        </w:rPr>
      </w:pPr>
      <w:bookmarkStart w:id="24" w:name="_Toc524923147"/>
      <w:bookmarkStart w:id="25" w:name="_Toc523023964"/>
      <w:bookmarkStart w:id="26" w:name="_Toc82759146"/>
      <w:bookmarkStart w:id="27" w:name="_Toc387824872"/>
      <w:bookmarkStart w:id="28" w:name="_Toc87755011"/>
      <w:bookmarkStart w:id="29" w:name="_Toc82759142"/>
      <w:bookmarkEnd w:id="24"/>
      <w:bookmarkEnd w:id="25"/>
      <w:bookmarkEnd w:id="26"/>
      <w:bookmarkEnd w:id="27"/>
      <w:bookmarkEnd w:id="28"/>
      <w:r>
        <w:rPr>
          <w:rFonts w:hint="eastAsia"/>
          <w:sz w:val="24"/>
          <w:szCs w:val="24"/>
        </w:rPr>
        <w:lastRenderedPageBreak/>
        <w:t>第六部分</w:t>
      </w:r>
      <w:r>
        <w:rPr>
          <w:rFonts w:hint="eastAsia"/>
          <w:sz w:val="24"/>
          <w:szCs w:val="24"/>
        </w:rPr>
        <w:t xml:space="preserve"> </w:t>
      </w:r>
      <w:r>
        <w:rPr>
          <w:rFonts w:hint="eastAsia"/>
          <w:sz w:val="24"/>
          <w:szCs w:val="24"/>
        </w:rPr>
        <w:t>基金的募集</w:t>
      </w:r>
      <w:bookmarkEnd w:id="29"/>
      <w:r>
        <w:rPr>
          <w:rFonts w:hint="eastAsia"/>
          <w:sz w:val="24"/>
          <w:szCs w:val="24"/>
        </w:rPr>
        <w:t>与基金合同的生效</w:t>
      </w:r>
    </w:p>
    <w:p w14:paraId="382283C9"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一、基金的募集与基金合同的生效</w:t>
      </w:r>
      <w:r>
        <w:rPr>
          <w:rFonts w:ascii="Times New Roman" w:hAnsi="Times New Roman" w:cs="Times New Roman"/>
          <w:sz w:val="21"/>
          <w:szCs w:val="21"/>
        </w:rPr>
        <w:t> </w:t>
      </w:r>
      <w:r>
        <w:rPr>
          <w:rFonts w:hint="eastAsia"/>
          <w:sz w:val="21"/>
          <w:szCs w:val="21"/>
        </w:rPr>
        <w:t xml:space="preserve"> </w:t>
      </w:r>
    </w:p>
    <w:p w14:paraId="1F268BF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本基金由基金管理人依照《基金法》和其他有关法律法规，以及基金合同的规定，经中国证监会</w:t>
      </w:r>
      <w:r>
        <w:rPr>
          <w:rFonts w:ascii="Times New Roman" w:hAnsi="Times New Roman" w:cs="Times New Roman"/>
          <w:sz w:val="21"/>
          <w:szCs w:val="21"/>
        </w:rPr>
        <w:t>2016</w:t>
      </w:r>
      <w:r>
        <w:rPr>
          <w:rFonts w:hint="eastAsia"/>
          <w:sz w:val="21"/>
          <w:szCs w:val="21"/>
        </w:rPr>
        <w:t>年</w:t>
      </w:r>
      <w:r>
        <w:rPr>
          <w:rFonts w:ascii="Times New Roman" w:hAnsi="Times New Roman" w:cs="Times New Roman"/>
          <w:sz w:val="21"/>
          <w:szCs w:val="21"/>
        </w:rPr>
        <w:t>8</w:t>
      </w:r>
      <w:r>
        <w:rPr>
          <w:rFonts w:hint="eastAsia"/>
          <w:sz w:val="21"/>
          <w:szCs w:val="21"/>
        </w:rPr>
        <w:t>月</w:t>
      </w:r>
      <w:r>
        <w:rPr>
          <w:rFonts w:ascii="Times New Roman" w:hAnsi="Times New Roman" w:cs="Times New Roman"/>
          <w:sz w:val="21"/>
          <w:szCs w:val="21"/>
        </w:rPr>
        <w:t>18</w:t>
      </w:r>
      <w:r>
        <w:rPr>
          <w:rFonts w:hint="eastAsia"/>
          <w:sz w:val="21"/>
          <w:szCs w:val="21"/>
        </w:rPr>
        <w:t>日证监许可</w:t>
      </w:r>
      <w:r>
        <w:rPr>
          <w:rFonts w:ascii="Times New Roman" w:hAnsi="Times New Roman" w:cs="Times New Roman"/>
          <w:sz w:val="21"/>
          <w:szCs w:val="21"/>
        </w:rPr>
        <w:t>[2016]1879</w:t>
      </w:r>
      <w:r>
        <w:rPr>
          <w:rFonts w:hint="eastAsia"/>
          <w:sz w:val="21"/>
          <w:szCs w:val="21"/>
        </w:rPr>
        <w:t>号文准予募集注册。募集期间有效认购份额</w:t>
      </w:r>
      <w:r>
        <w:rPr>
          <w:rFonts w:ascii="Times New Roman" w:hAnsi="Times New Roman" w:cs="Times New Roman"/>
          <w:sz w:val="21"/>
          <w:szCs w:val="21"/>
        </w:rPr>
        <w:t>1,000,123,900.78</w:t>
      </w:r>
      <w:r>
        <w:rPr>
          <w:rFonts w:hint="eastAsia"/>
          <w:sz w:val="21"/>
          <w:szCs w:val="21"/>
        </w:rPr>
        <w:t>份，利息结转份额</w:t>
      </w:r>
      <w:r>
        <w:rPr>
          <w:rFonts w:ascii="Times New Roman" w:hAnsi="Times New Roman" w:cs="Times New Roman"/>
          <w:sz w:val="21"/>
          <w:szCs w:val="21"/>
        </w:rPr>
        <w:t>285.40</w:t>
      </w:r>
      <w:r>
        <w:rPr>
          <w:rFonts w:hint="eastAsia"/>
          <w:sz w:val="21"/>
          <w:szCs w:val="21"/>
        </w:rPr>
        <w:t>份，合计</w:t>
      </w:r>
      <w:r>
        <w:rPr>
          <w:rFonts w:ascii="Times New Roman" w:hAnsi="Times New Roman" w:cs="Times New Roman"/>
          <w:sz w:val="21"/>
          <w:szCs w:val="21"/>
        </w:rPr>
        <w:t>1,000,124,186.18</w:t>
      </w:r>
      <w:r>
        <w:rPr>
          <w:rFonts w:hint="eastAsia"/>
          <w:sz w:val="21"/>
          <w:szCs w:val="21"/>
        </w:rPr>
        <w:t>份，募集户数为</w:t>
      </w:r>
      <w:r>
        <w:rPr>
          <w:rFonts w:ascii="Times New Roman" w:hAnsi="Times New Roman" w:cs="Times New Roman"/>
          <w:sz w:val="21"/>
          <w:szCs w:val="21"/>
        </w:rPr>
        <w:t>950</w:t>
      </w:r>
      <w:r>
        <w:rPr>
          <w:rFonts w:hint="eastAsia"/>
          <w:sz w:val="21"/>
          <w:szCs w:val="21"/>
        </w:rPr>
        <w:t>户。</w:t>
      </w:r>
      <w:r>
        <w:rPr>
          <w:rFonts w:ascii="Times New Roman" w:hAnsi="Times New Roman" w:cs="Times New Roman"/>
          <w:sz w:val="21"/>
          <w:szCs w:val="21"/>
        </w:rPr>
        <w:t> </w:t>
      </w:r>
      <w:r>
        <w:rPr>
          <w:rFonts w:hint="eastAsia"/>
          <w:sz w:val="21"/>
          <w:szCs w:val="21"/>
        </w:rPr>
        <w:t xml:space="preserve"> </w:t>
      </w:r>
    </w:p>
    <w:p w14:paraId="24D44352"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本基金的基金合同已于</w:t>
      </w:r>
      <w:r>
        <w:rPr>
          <w:rFonts w:ascii="Times New Roman" w:hAnsi="Times New Roman" w:cs="Times New Roman"/>
          <w:sz w:val="21"/>
          <w:szCs w:val="21"/>
        </w:rPr>
        <w:t>2017</w:t>
      </w:r>
      <w:r>
        <w:rPr>
          <w:rFonts w:hint="eastAsia"/>
          <w:sz w:val="21"/>
          <w:szCs w:val="21"/>
        </w:rPr>
        <w:t>年</w:t>
      </w:r>
      <w:r>
        <w:rPr>
          <w:rFonts w:ascii="Times New Roman" w:hAnsi="Times New Roman" w:cs="Times New Roman"/>
          <w:sz w:val="21"/>
          <w:szCs w:val="21"/>
        </w:rPr>
        <w:t>3</w:t>
      </w:r>
      <w:r>
        <w:rPr>
          <w:rFonts w:hint="eastAsia"/>
          <w:sz w:val="21"/>
          <w:szCs w:val="21"/>
        </w:rPr>
        <w:t>月</w:t>
      </w:r>
      <w:r>
        <w:rPr>
          <w:rFonts w:ascii="Times New Roman" w:hAnsi="Times New Roman" w:cs="Times New Roman"/>
          <w:sz w:val="21"/>
          <w:szCs w:val="21"/>
        </w:rPr>
        <w:t>17</w:t>
      </w:r>
      <w:r>
        <w:rPr>
          <w:rFonts w:hint="eastAsia"/>
          <w:sz w:val="21"/>
          <w:szCs w:val="21"/>
        </w:rPr>
        <w:t xml:space="preserve">日正式生效。  </w:t>
      </w:r>
    </w:p>
    <w:p w14:paraId="7E276A4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二、基金运作方式和类型</w:t>
      </w:r>
    </w:p>
    <w:p w14:paraId="4925A05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契约型开放式，债券型基金</w:t>
      </w:r>
    </w:p>
    <w:p w14:paraId="4385861F"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三、基金的存续期间</w:t>
      </w:r>
    </w:p>
    <w:p w14:paraId="74771C8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不定期</w:t>
      </w:r>
    </w:p>
    <w:p w14:paraId="188ECCB3"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四、基金存续期内的基金份额持有人数量和资产规模</w:t>
      </w:r>
    </w:p>
    <w:p w14:paraId="394FBE8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基金合同生效后，连续</w:t>
      </w:r>
      <w:r>
        <w:rPr>
          <w:rFonts w:ascii="Times New Roman" w:hAnsi="Times New Roman" w:cs="Times New Roman"/>
          <w:sz w:val="21"/>
          <w:szCs w:val="21"/>
        </w:rPr>
        <w:t>20</w:t>
      </w:r>
      <w:r>
        <w:rPr>
          <w:rFonts w:hint="eastAsia"/>
          <w:sz w:val="21"/>
          <w:szCs w:val="21"/>
        </w:rPr>
        <w:t>个工作日出现基金份额持有人数量不满</w:t>
      </w:r>
      <w:r>
        <w:rPr>
          <w:rFonts w:ascii="Times New Roman" w:hAnsi="Times New Roman" w:cs="Times New Roman"/>
          <w:sz w:val="21"/>
          <w:szCs w:val="21"/>
        </w:rPr>
        <w:t>200</w:t>
      </w:r>
      <w:r>
        <w:rPr>
          <w:rFonts w:hint="eastAsia"/>
          <w:sz w:val="21"/>
          <w:szCs w:val="21"/>
        </w:rPr>
        <w:t>人或者基金资产净值低于</w:t>
      </w:r>
      <w:r>
        <w:rPr>
          <w:rFonts w:ascii="Times New Roman" w:hAnsi="Times New Roman" w:cs="Times New Roman"/>
          <w:sz w:val="21"/>
          <w:szCs w:val="21"/>
        </w:rPr>
        <w:t>5000</w:t>
      </w:r>
      <w:r>
        <w:rPr>
          <w:rFonts w:hint="eastAsia"/>
          <w:sz w:val="21"/>
          <w:szCs w:val="21"/>
        </w:rPr>
        <w:t>万元的，基金管理人应当在定期报告中予以披露；连续</w:t>
      </w:r>
      <w:r>
        <w:rPr>
          <w:rFonts w:ascii="Times New Roman" w:hAnsi="Times New Roman" w:cs="Times New Roman"/>
          <w:sz w:val="21"/>
          <w:szCs w:val="21"/>
        </w:rPr>
        <w:t>60</w:t>
      </w:r>
      <w:r>
        <w:rPr>
          <w:rFonts w:hint="eastAsia"/>
          <w:sz w:val="21"/>
          <w:szCs w:val="21"/>
        </w:rPr>
        <w:t>个工作日出现前述情形的，基金管理人应当终止《基金合同》，无须召开基金份额持有人大会。</w:t>
      </w:r>
    </w:p>
    <w:p w14:paraId="434D102B"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法律法规另有规定时，从其规定。</w:t>
      </w:r>
    </w:p>
    <w:p w14:paraId="7E721443" w14:textId="77777777" w:rsidR="00D0083C" w:rsidRDefault="00854AE5">
      <w:pPr>
        <w:pStyle w:val="1"/>
        <w:spacing w:before="240" w:line="360" w:lineRule="auto"/>
        <w:jc w:val="center"/>
        <w:divId w:val="1994599321"/>
        <w:rPr>
          <w:sz w:val="24"/>
          <w:szCs w:val="24"/>
        </w:rPr>
      </w:pPr>
      <w:bookmarkStart w:id="30" w:name="_Toc387824874"/>
      <w:r>
        <w:rPr>
          <w:rFonts w:hint="eastAsia"/>
          <w:sz w:val="24"/>
          <w:szCs w:val="24"/>
        </w:rPr>
        <w:t>第七部分</w:t>
      </w:r>
      <w:r>
        <w:rPr>
          <w:rFonts w:hint="eastAsia"/>
          <w:sz w:val="24"/>
          <w:szCs w:val="24"/>
        </w:rPr>
        <w:t xml:space="preserve"> </w:t>
      </w:r>
      <w:r>
        <w:rPr>
          <w:rFonts w:hint="eastAsia"/>
          <w:sz w:val="24"/>
          <w:szCs w:val="24"/>
        </w:rPr>
        <w:t>基金份额的申购与赎回</w:t>
      </w:r>
      <w:bookmarkEnd w:id="30"/>
    </w:p>
    <w:p w14:paraId="79805BF3"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一、申购和赎回场所</w:t>
      </w:r>
    </w:p>
    <w:p w14:paraId="4C54852B" w14:textId="6586FD50"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本基金的申购与赎回将通过销售机构进行。具体的销售网点将由基金管理人在招募说明书或其他相关公告中列明。基金管理人可根据情况变更或增减销售机构，</w:t>
      </w:r>
      <w:r w:rsidR="00BE6383" w:rsidRPr="00BE6383">
        <w:rPr>
          <w:rFonts w:hint="eastAsia"/>
          <w:bCs/>
          <w:sz w:val="21"/>
          <w:szCs w:val="21"/>
        </w:rPr>
        <w:t>并在基金管理人</w:t>
      </w:r>
      <w:r w:rsidR="00BE6383" w:rsidRPr="00BE6383">
        <w:rPr>
          <w:bCs/>
          <w:sz w:val="21"/>
          <w:szCs w:val="21"/>
        </w:rPr>
        <w:t>网站公示</w:t>
      </w:r>
      <w:r>
        <w:rPr>
          <w:rFonts w:hint="eastAsia"/>
          <w:sz w:val="21"/>
          <w:szCs w:val="21"/>
        </w:rPr>
        <w:t>。基金投资者应当在销售机构办理基金销售业务的营业场所或按销售机构提供的其他方式办理基金份额的申购与赎回。</w:t>
      </w:r>
    </w:p>
    <w:p w14:paraId="6185A141"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若基金管理人或其指定的销售机构开通电话、传真或网上等交易方式，投资人可以通过上述方式进行申购与赎回，具体办法由基金管理人或其指定的销售机构另行公告。</w:t>
      </w:r>
    </w:p>
    <w:p w14:paraId="5E882443"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二、申购和赎回的开放日及时间</w:t>
      </w:r>
    </w:p>
    <w:p w14:paraId="27E3FC87"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1</w:t>
      </w:r>
      <w:r>
        <w:rPr>
          <w:rFonts w:hint="eastAsia"/>
          <w:sz w:val="21"/>
          <w:szCs w:val="21"/>
        </w:rPr>
        <w:t>、开放日及开放时间</w:t>
      </w:r>
    </w:p>
    <w:p w14:paraId="705B86E1"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14:paraId="02525CA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合同生效后，若出现新的证券交易市场、证券交易所交易时间变更或其他特殊情况，基金管理人将视情况对前述开放日及开放时间进行相应的调整，但应在实施日前依照《信息披露办法》的有关规定在指定媒介上公告。</w:t>
      </w:r>
    </w:p>
    <w:p w14:paraId="2CB93056"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lastRenderedPageBreak/>
        <w:t>2</w:t>
      </w:r>
      <w:r>
        <w:rPr>
          <w:rFonts w:hint="eastAsia"/>
          <w:sz w:val="21"/>
          <w:szCs w:val="21"/>
        </w:rPr>
        <w:t>、申购、赎回开始日及业务办理时间</w:t>
      </w:r>
    </w:p>
    <w:p w14:paraId="5780198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本基金于</w:t>
      </w:r>
      <w:r>
        <w:rPr>
          <w:rFonts w:ascii="Times New Roman" w:hAnsi="Times New Roman" w:cs="Times New Roman"/>
          <w:sz w:val="21"/>
          <w:szCs w:val="21"/>
        </w:rPr>
        <w:t>2017</w:t>
      </w:r>
      <w:r>
        <w:rPr>
          <w:rFonts w:hint="eastAsia"/>
          <w:sz w:val="21"/>
          <w:szCs w:val="21"/>
        </w:rPr>
        <w:t>年</w:t>
      </w:r>
      <w:r>
        <w:rPr>
          <w:rFonts w:ascii="Times New Roman" w:hAnsi="Times New Roman" w:cs="Times New Roman"/>
          <w:sz w:val="21"/>
          <w:szCs w:val="21"/>
        </w:rPr>
        <w:t>06</w:t>
      </w:r>
      <w:r>
        <w:rPr>
          <w:rFonts w:hint="eastAsia"/>
          <w:sz w:val="21"/>
          <w:szCs w:val="21"/>
        </w:rPr>
        <w:t>月</w:t>
      </w:r>
      <w:r>
        <w:rPr>
          <w:rFonts w:ascii="Times New Roman" w:hAnsi="Times New Roman" w:cs="Times New Roman"/>
          <w:sz w:val="21"/>
          <w:szCs w:val="21"/>
        </w:rPr>
        <w:t>15</w:t>
      </w:r>
      <w:r>
        <w:rPr>
          <w:rFonts w:hint="eastAsia"/>
          <w:sz w:val="21"/>
          <w:szCs w:val="21"/>
        </w:rPr>
        <w:t>日起的每个开放日（本公司公告暂停相关业务的除外）开放日常申购、赎回、转换和定期定额投资业务。</w:t>
      </w:r>
    </w:p>
    <w:p w14:paraId="6860290E"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管理人不得在基金合同约定之外的日期或者时间办理基金份额的申购或者赎回或者转换。投资人在基金合同约定之外的日期和时间提出申购、赎回或转换申请且登记机构确认接受的，其基金份额申购、赎回价格为下一开放日基金份额申购、赎回的价格。</w:t>
      </w:r>
    </w:p>
    <w:p w14:paraId="4C13F632" w14:textId="77777777" w:rsidR="00D0083C" w:rsidRDefault="00854AE5">
      <w:pPr>
        <w:pStyle w:val="a3"/>
        <w:spacing w:before="0" w:beforeAutospacing="0" w:after="0" w:afterAutospacing="0" w:line="360" w:lineRule="auto"/>
        <w:ind w:firstLine="420"/>
        <w:jc w:val="both"/>
        <w:divId w:val="1994599321"/>
        <w:rPr>
          <w:sz w:val="21"/>
          <w:szCs w:val="21"/>
        </w:rPr>
      </w:pPr>
      <w:bookmarkStart w:id="31" w:name="_Toc79392609"/>
      <w:r>
        <w:rPr>
          <w:rFonts w:hint="eastAsia"/>
          <w:sz w:val="21"/>
          <w:szCs w:val="21"/>
        </w:rPr>
        <w:t>三、申购与赎回的原则</w:t>
      </w:r>
      <w:bookmarkEnd w:id="31"/>
    </w:p>
    <w:p w14:paraId="34D8BC86"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1</w:t>
      </w:r>
      <w:r>
        <w:rPr>
          <w:rFonts w:hint="eastAsia"/>
          <w:sz w:val="21"/>
          <w:szCs w:val="21"/>
        </w:rPr>
        <w:t>、“未知价”原则，即申购、赎回价格以申请当日收市后计算的基金份额净值为基准进行计算；</w:t>
      </w:r>
    </w:p>
    <w:p w14:paraId="79C52AC8"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2</w:t>
      </w:r>
      <w:r>
        <w:rPr>
          <w:rFonts w:hint="eastAsia"/>
          <w:sz w:val="21"/>
          <w:szCs w:val="21"/>
        </w:rPr>
        <w:t>、“金额申购、份额赎回”原则，即申购以金额申请，赎回以份额申请；</w:t>
      </w:r>
    </w:p>
    <w:p w14:paraId="1C072D26"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3</w:t>
      </w:r>
      <w:r>
        <w:rPr>
          <w:rFonts w:hint="eastAsia"/>
          <w:sz w:val="21"/>
          <w:szCs w:val="21"/>
        </w:rPr>
        <w:t>、当日的申购与赎回申请可以在基金管理人规定的时间以内撤销；</w:t>
      </w:r>
    </w:p>
    <w:p w14:paraId="5A5BD342"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4</w:t>
      </w:r>
      <w:r>
        <w:rPr>
          <w:rFonts w:hint="eastAsia"/>
          <w:sz w:val="21"/>
          <w:szCs w:val="21"/>
        </w:rPr>
        <w:t>、赎回遵循“先进先出”原则，即按照投资人认购、申购的先后次序进行顺序赎回。</w:t>
      </w:r>
    </w:p>
    <w:p w14:paraId="0FC47D9F"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基金管理人可在法律法规允许的情况下，对上述原则进行调整。基金管理人必须在新规则开始实施前依照《信息披露办法》的有关规定在指定媒介上公告。</w:t>
      </w:r>
    </w:p>
    <w:p w14:paraId="0013ECCC" w14:textId="77777777" w:rsidR="00D0083C" w:rsidRDefault="00854AE5">
      <w:pPr>
        <w:pStyle w:val="a3"/>
        <w:spacing w:before="0" w:beforeAutospacing="0" w:after="0" w:afterAutospacing="0" w:line="360" w:lineRule="auto"/>
        <w:ind w:firstLine="420"/>
        <w:jc w:val="both"/>
        <w:divId w:val="1994599321"/>
        <w:rPr>
          <w:sz w:val="21"/>
          <w:szCs w:val="21"/>
        </w:rPr>
      </w:pPr>
      <w:bookmarkStart w:id="32" w:name="_Toc79392610"/>
      <w:r>
        <w:rPr>
          <w:rFonts w:hint="eastAsia"/>
          <w:sz w:val="21"/>
          <w:szCs w:val="21"/>
        </w:rPr>
        <w:t>四、申购与赎回的程序</w:t>
      </w:r>
      <w:bookmarkEnd w:id="32"/>
    </w:p>
    <w:p w14:paraId="176FEBC9"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1</w:t>
      </w:r>
      <w:r>
        <w:rPr>
          <w:rFonts w:hint="eastAsia"/>
          <w:sz w:val="21"/>
          <w:szCs w:val="21"/>
        </w:rPr>
        <w:t>、申购和赎回的申请方式</w:t>
      </w:r>
    </w:p>
    <w:p w14:paraId="3BB52ECD"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投资人必须根据销售机构规定的程序，在开放日的具体业务办理时间内提出申购或赎回的申请。</w:t>
      </w:r>
    </w:p>
    <w:p w14:paraId="30D1391F"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2</w:t>
      </w:r>
      <w:r>
        <w:rPr>
          <w:rFonts w:hint="eastAsia"/>
          <w:sz w:val="21"/>
          <w:szCs w:val="21"/>
        </w:rPr>
        <w:t>、申购和赎回的款项支付</w:t>
      </w:r>
    </w:p>
    <w:p w14:paraId="658928EF"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投资人申购基金份额时，必须全额交付申购款项，投资人交付申购款项，申购成立；基金份额登记机构确认基金份额时，申购生效。若资金在规定时间内未全额到账则申购不成立，申购款项将退回投资人账户，基金管理人不承担由此产生的利息损失。</w:t>
      </w:r>
    </w:p>
    <w:p w14:paraId="59F44E63"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基金份额持有人递交赎回申请，赎回成立；基金份额登记机构确认赎回时，赎回生效。</w:t>
      </w:r>
    </w:p>
    <w:p w14:paraId="0C700595"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投资人赎回生效后，基金管理人将在</w:t>
      </w:r>
      <w:r>
        <w:rPr>
          <w:rFonts w:ascii="Times New Roman" w:hAnsi="Times New Roman" w:cs="Times New Roman"/>
          <w:sz w:val="21"/>
          <w:szCs w:val="21"/>
        </w:rPr>
        <w:t>T</w:t>
      </w:r>
      <w:r>
        <w:rPr>
          <w:rFonts w:hint="eastAsia"/>
          <w:sz w:val="21"/>
          <w:szCs w:val="21"/>
        </w:rPr>
        <w:t>＋</w:t>
      </w:r>
      <w:r>
        <w:rPr>
          <w:rFonts w:ascii="Times New Roman" w:hAnsi="Times New Roman" w:cs="Times New Roman"/>
          <w:sz w:val="21"/>
          <w:szCs w:val="21"/>
        </w:rPr>
        <w:t>7</w:t>
      </w:r>
      <w:r>
        <w:rPr>
          <w:rFonts w:hint="eastAsia"/>
          <w:sz w:val="21"/>
          <w:szCs w:val="21"/>
        </w:rPr>
        <w:t>日（包括该日）内支付赎回款项。在发生巨额赎回时，款项的支付办法参照本基金合同有关条款处理。</w:t>
      </w:r>
    </w:p>
    <w:p w14:paraId="4092E1E5"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3</w:t>
      </w:r>
      <w:r>
        <w:rPr>
          <w:rFonts w:hint="eastAsia"/>
          <w:sz w:val="21"/>
          <w:szCs w:val="21"/>
        </w:rPr>
        <w:t>、申购和赎回申请的确认</w:t>
      </w:r>
    </w:p>
    <w:p w14:paraId="5DF0F3F1"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基金管理人应以交易时间结束前受理有效申购和赎回申请的当天作为申购或赎回申请日（</w:t>
      </w:r>
      <w:r>
        <w:rPr>
          <w:rFonts w:ascii="Times New Roman" w:hAnsi="Times New Roman" w:cs="Times New Roman"/>
          <w:sz w:val="21"/>
          <w:szCs w:val="21"/>
        </w:rPr>
        <w:t>T</w:t>
      </w:r>
      <w:r>
        <w:rPr>
          <w:rFonts w:hint="eastAsia"/>
          <w:sz w:val="21"/>
          <w:szCs w:val="21"/>
        </w:rPr>
        <w:t>日），在正常情况下，本基金登记机构在</w:t>
      </w:r>
      <w:r>
        <w:rPr>
          <w:rFonts w:ascii="Times New Roman" w:hAnsi="Times New Roman" w:cs="Times New Roman"/>
          <w:sz w:val="21"/>
          <w:szCs w:val="21"/>
        </w:rPr>
        <w:t>T+1</w:t>
      </w:r>
      <w:r>
        <w:rPr>
          <w:rFonts w:hint="eastAsia"/>
          <w:sz w:val="21"/>
          <w:szCs w:val="21"/>
        </w:rPr>
        <w:t>日内对该交易的有效性进行确认。</w:t>
      </w:r>
      <w:r>
        <w:rPr>
          <w:rFonts w:ascii="Times New Roman" w:hAnsi="Times New Roman" w:cs="Times New Roman"/>
          <w:sz w:val="21"/>
          <w:szCs w:val="21"/>
        </w:rPr>
        <w:t>T</w:t>
      </w:r>
      <w:r>
        <w:rPr>
          <w:rFonts w:hint="eastAsia"/>
          <w:sz w:val="21"/>
          <w:szCs w:val="21"/>
        </w:rPr>
        <w:t>日提交的有效申请，投资人可在</w:t>
      </w:r>
      <w:r>
        <w:rPr>
          <w:rFonts w:ascii="Times New Roman" w:hAnsi="Times New Roman" w:cs="Times New Roman"/>
          <w:sz w:val="21"/>
          <w:szCs w:val="21"/>
        </w:rPr>
        <w:t>T+2</w:t>
      </w:r>
      <w:r>
        <w:rPr>
          <w:rFonts w:hint="eastAsia"/>
          <w:sz w:val="21"/>
          <w:szCs w:val="21"/>
        </w:rPr>
        <w:t>日后（包括该日）到销售网点柜台或以销售机构规定的其他方式查询申请的确认情况。若申购不成功，则申购款项退还给投资人。</w:t>
      </w:r>
    </w:p>
    <w:p w14:paraId="7FCB5803"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销售机构对申购、赎回申请的受理并不代表申请一定成功，而仅代表销售机构确实接收到申请。申购、赎回申请的确认以登记机构的确认结果为准。对于申请的确认情况，投资人应及时查询并妥善行使合法权利。</w:t>
      </w:r>
    </w:p>
    <w:p w14:paraId="36FC67C5"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五、申购和赎回的限制</w:t>
      </w:r>
    </w:p>
    <w:p w14:paraId="0C25D400"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lastRenderedPageBreak/>
        <w:t>1</w:t>
      </w:r>
      <w:r>
        <w:rPr>
          <w:rFonts w:hint="eastAsia"/>
          <w:sz w:val="21"/>
          <w:szCs w:val="21"/>
        </w:rPr>
        <w:t>、本基金对单个基金份额持有人不设置最高申购金额限制。</w:t>
      </w:r>
    </w:p>
    <w:p w14:paraId="2242B8E7"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2</w:t>
      </w:r>
      <w:r>
        <w:rPr>
          <w:rFonts w:hint="eastAsia"/>
          <w:sz w:val="21"/>
          <w:szCs w:val="21"/>
        </w:rPr>
        <w:t>、投资人通过销售机构申购本基金，单笔最低申购金额为</w:t>
      </w:r>
      <w:r>
        <w:rPr>
          <w:rFonts w:ascii="Times New Roman" w:hAnsi="Times New Roman" w:cs="Times New Roman"/>
          <w:sz w:val="21"/>
          <w:szCs w:val="21"/>
        </w:rPr>
        <w:t>10</w:t>
      </w:r>
      <w:r>
        <w:rPr>
          <w:rFonts w:hint="eastAsia"/>
          <w:sz w:val="21"/>
          <w:szCs w:val="21"/>
        </w:rPr>
        <w:t>元，各销售机构对本基金最低申购金额及交易级差有其他规定的，以各销售机构的业务规定为准。通过基金管理人直销中心申购本基金，首次最低申购金额为</w:t>
      </w:r>
      <w:r>
        <w:rPr>
          <w:rFonts w:ascii="Times New Roman" w:hAnsi="Times New Roman" w:cs="Times New Roman"/>
          <w:sz w:val="21"/>
          <w:szCs w:val="21"/>
        </w:rPr>
        <w:t>100</w:t>
      </w:r>
      <w:r>
        <w:rPr>
          <w:rFonts w:hint="eastAsia"/>
          <w:sz w:val="21"/>
          <w:szCs w:val="21"/>
        </w:rPr>
        <w:t>万元，追加申购单笔最低金额为</w:t>
      </w:r>
      <w:r>
        <w:rPr>
          <w:rFonts w:ascii="Times New Roman" w:hAnsi="Times New Roman" w:cs="Times New Roman"/>
          <w:sz w:val="21"/>
          <w:szCs w:val="21"/>
        </w:rPr>
        <w:t>1</w:t>
      </w:r>
      <w:r>
        <w:rPr>
          <w:rFonts w:hint="eastAsia"/>
          <w:sz w:val="21"/>
          <w:szCs w:val="21"/>
        </w:rPr>
        <w:t>万元（通过本基金管理人基金网上交易系统等特定交易方式申购本基金暂不受此限制）。本基金直销中心单笔申购最低金额与申购级差限制可由基金管理人酌情调整。</w:t>
      </w:r>
    </w:p>
    <w:p w14:paraId="74BC3288"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3</w:t>
      </w:r>
      <w:r>
        <w:rPr>
          <w:rFonts w:hint="eastAsia"/>
          <w:sz w:val="21"/>
          <w:szCs w:val="21"/>
        </w:rPr>
        <w:t>、投资人赎回本基金份额时，可申请将其持有的部分或全部基金份额赎回；账户最低余额为</w:t>
      </w:r>
      <w:r>
        <w:rPr>
          <w:rFonts w:ascii="Times New Roman" w:hAnsi="Times New Roman" w:cs="Times New Roman"/>
          <w:sz w:val="21"/>
          <w:szCs w:val="21"/>
        </w:rPr>
        <w:t>5</w:t>
      </w:r>
      <w:r>
        <w:rPr>
          <w:rFonts w:hint="eastAsia"/>
          <w:sz w:val="21"/>
          <w:szCs w:val="21"/>
        </w:rPr>
        <w:t>份基金份额，若某笔赎回将导致投资人在销售机构托管的单只基金份额余额不足</w:t>
      </w:r>
      <w:r>
        <w:rPr>
          <w:rFonts w:ascii="Times New Roman" w:hAnsi="Times New Roman" w:cs="Times New Roman"/>
          <w:sz w:val="21"/>
          <w:szCs w:val="21"/>
        </w:rPr>
        <w:t>5</w:t>
      </w:r>
      <w:r>
        <w:rPr>
          <w:rFonts w:hint="eastAsia"/>
          <w:sz w:val="21"/>
          <w:szCs w:val="21"/>
        </w:rPr>
        <w:t>份时，该笔赎回业务应包括账户内全部基金份额，否则，剩余部分的基金份额将被强制赎回。</w:t>
      </w:r>
    </w:p>
    <w:p w14:paraId="72EB8995"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4</w:t>
      </w:r>
      <w:r>
        <w:rPr>
          <w:rFonts w:hint="eastAsia"/>
          <w:sz w:val="21"/>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w:t>
      </w:r>
    </w:p>
    <w:p w14:paraId="510A14D6" w14:textId="06B0D4A9"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5</w:t>
      </w:r>
      <w:r>
        <w:rPr>
          <w:rFonts w:hint="eastAsia"/>
          <w:sz w:val="21"/>
          <w:szCs w:val="21"/>
        </w:rPr>
        <w:t>、基金管理人可以根据市场情况，在法律法规允许的情况下，调整上述规定申购金额和赎回份额的数量限制。基金管理人必须依照《信息披露办法》的有关规定在指定媒介上公告。</w:t>
      </w:r>
    </w:p>
    <w:p w14:paraId="0ACE2B64"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六、申购和赎回的价格、费用及其用途</w:t>
      </w:r>
    </w:p>
    <w:p w14:paraId="2263400C"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1</w:t>
      </w:r>
      <w:r>
        <w:rPr>
          <w:rFonts w:hint="eastAsia"/>
          <w:sz w:val="21"/>
          <w:szCs w:val="21"/>
        </w:rPr>
        <w:t>、本基金份额净值的计算，保留到小数点后</w:t>
      </w:r>
      <w:r>
        <w:rPr>
          <w:rFonts w:ascii="Times New Roman" w:hAnsi="Times New Roman" w:cs="Times New Roman"/>
          <w:sz w:val="21"/>
          <w:szCs w:val="21"/>
        </w:rPr>
        <w:t>4</w:t>
      </w:r>
      <w:r>
        <w:rPr>
          <w:rFonts w:hint="eastAsia"/>
          <w:sz w:val="21"/>
          <w:szCs w:val="21"/>
        </w:rPr>
        <w:t>位，小数点后第</w:t>
      </w:r>
      <w:r>
        <w:rPr>
          <w:rFonts w:ascii="Times New Roman" w:hAnsi="Times New Roman" w:cs="Times New Roman"/>
          <w:sz w:val="21"/>
          <w:szCs w:val="21"/>
        </w:rPr>
        <w:t>5</w:t>
      </w:r>
      <w:r>
        <w:rPr>
          <w:rFonts w:hint="eastAsia"/>
          <w:sz w:val="21"/>
          <w:szCs w:val="21"/>
        </w:rPr>
        <w:t>位四舍五入，由此产生的收益或损失由基金财产承担。</w:t>
      </w:r>
      <w:r>
        <w:rPr>
          <w:rFonts w:ascii="Times New Roman" w:hAnsi="Times New Roman" w:cs="Times New Roman"/>
          <w:sz w:val="21"/>
          <w:szCs w:val="21"/>
        </w:rPr>
        <w:t>T</w:t>
      </w:r>
      <w:r>
        <w:rPr>
          <w:rFonts w:hint="eastAsia"/>
          <w:sz w:val="21"/>
          <w:szCs w:val="21"/>
        </w:rPr>
        <w:t>日的基金份额净值在当天收市后计算，并在</w:t>
      </w:r>
      <w:r>
        <w:rPr>
          <w:rFonts w:ascii="Times New Roman" w:hAnsi="Times New Roman" w:cs="Times New Roman"/>
          <w:sz w:val="21"/>
          <w:szCs w:val="21"/>
        </w:rPr>
        <w:t>T+1</w:t>
      </w:r>
      <w:r>
        <w:rPr>
          <w:rFonts w:hint="eastAsia"/>
          <w:sz w:val="21"/>
          <w:szCs w:val="21"/>
        </w:rPr>
        <w:t>日内公告。遇特殊情况，经中国证监会同意，可以适当延迟计算或公告。</w:t>
      </w:r>
    </w:p>
    <w:p w14:paraId="549CBFFC"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2</w:t>
      </w:r>
      <w:r>
        <w:rPr>
          <w:rFonts w:hint="eastAsia"/>
          <w:sz w:val="21"/>
          <w:szCs w:val="21"/>
        </w:rPr>
        <w:t>、申购费率</w:t>
      </w:r>
    </w:p>
    <w:p w14:paraId="1C7E0628"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本基金对通过直销柜台申购的养老金客户与除此之外的其他投资人实施差别的申购费率。</w:t>
      </w:r>
    </w:p>
    <w:p w14:paraId="29BEFDAE" w14:textId="48DB0EC4"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养老金客户指基本养老基金与依法成立的养老计划筹集的资金及其投资运营收益形成的补充养老基金等，包括全国社会保障基金、可以投资基金的地方社会保障基金、企业年金单一计划以及集合计划。如将来出现经养老基金监管部门认可的新的养老基金类型，基金管理人可在招募说明书更新时或发布临时公告将其纳入养老金客户范围。非养老金客户指除养老金客户外的其他投资人。</w:t>
      </w:r>
    </w:p>
    <w:p w14:paraId="1F16CB30"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通过基金管理人的直销柜台申购本基金基金份额的养老金客户适用下表特定申购费率，其他投资人申购本基金基金份额的适用下表一般申购费率：</w:t>
      </w:r>
    </w:p>
    <w:tbl>
      <w:tblPr>
        <w:tblW w:w="8023" w:type="dxa"/>
        <w:tblInd w:w="525"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3284"/>
        <w:gridCol w:w="2411"/>
        <w:gridCol w:w="2328"/>
      </w:tblGrid>
      <w:tr w:rsidR="00D0083C" w14:paraId="711E4DCE" w14:textId="77777777">
        <w:trPr>
          <w:divId w:val="1994599321"/>
          <w:trHeight w:val="415"/>
        </w:trPr>
        <w:tc>
          <w:tcPr>
            <w:tcW w:w="3011" w:type="dxa"/>
            <w:tcBorders>
              <w:bottom w:val="single" w:sz="8" w:space="0" w:color="auto"/>
              <w:right w:val="single" w:sz="8" w:space="0" w:color="auto"/>
            </w:tcBorders>
            <w:tcMar>
              <w:top w:w="0" w:type="dxa"/>
              <w:left w:w="98" w:type="dxa"/>
              <w:bottom w:w="0" w:type="dxa"/>
              <w:right w:w="98" w:type="dxa"/>
            </w:tcMar>
            <w:vAlign w:val="center"/>
            <w:hideMark/>
          </w:tcPr>
          <w:p w14:paraId="487DB526" w14:textId="77777777" w:rsidR="00D0083C" w:rsidRDefault="00854AE5">
            <w:pPr>
              <w:pStyle w:val="a3"/>
              <w:spacing w:before="0" w:beforeAutospacing="0" w:after="0" w:afterAutospacing="0" w:line="360" w:lineRule="auto"/>
              <w:jc w:val="center"/>
              <w:rPr>
                <w:sz w:val="21"/>
                <w:szCs w:val="21"/>
              </w:rPr>
            </w:pPr>
            <w:r>
              <w:rPr>
                <w:rFonts w:hint="eastAsia"/>
                <w:b/>
                <w:bCs/>
                <w:sz w:val="21"/>
                <w:szCs w:val="21"/>
              </w:rPr>
              <w:t>申购金额</w:t>
            </w:r>
            <w:r>
              <w:rPr>
                <w:rFonts w:ascii="Times New Roman" w:hAnsi="Times New Roman" w:cs="Times New Roman"/>
                <w:b/>
                <w:bCs/>
                <w:sz w:val="21"/>
                <w:szCs w:val="21"/>
              </w:rPr>
              <w:t>M</w:t>
            </w:r>
            <w:r>
              <w:rPr>
                <w:rFonts w:hint="eastAsia"/>
                <w:b/>
                <w:bCs/>
                <w:sz w:val="21"/>
                <w:szCs w:val="21"/>
              </w:rPr>
              <w:t>（元）</w:t>
            </w:r>
          </w:p>
        </w:tc>
        <w:tc>
          <w:tcPr>
            <w:tcW w:w="2210" w:type="dxa"/>
            <w:tcBorders>
              <w:bottom w:val="single" w:sz="8" w:space="0" w:color="auto"/>
              <w:right w:val="single" w:sz="8" w:space="0" w:color="auto"/>
            </w:tcBorders>
            <w:tcMar>
              <w:top w:w="0" w:type="dxa"/>
              <w:left w:w="108" w:type="dxa"/>
              <w:bottom w:w="0" w:type="dxa"/>
              <w:right w:w="98" w:type="dxa"/>
            </w:tcMar>
            <w:vAlign w:val="center"/>
            <w:hideMark/>
          </w:tcPr>
          <w:p w14:paraId="199B3BF0" w14:textId="77777777" w:rsidR="00D0083C" w:rsidRDefault="00854AE5">
            <w:pPr>
              <w:pStyle w:val="a3"/>
              <w:spacing w:before="0" w:beforeAutospacing="0" w:after="0" w:afterAutospacing="0" w:line="360" w:lineRule="auto"/>
              <w:jc w:val="center"/>
              <w:rPr>
                <w:sz w:val="21"/>
                <w:szCs w:val="21"/>
              </w:rPr>
            </w:pPr>
            <w:r>
              <w:rPr>
                <w:rFonts w:hint="eastAsia"/>
                <w:b/>
                <w:bCs/>
                <w:sz w:val="21"/>
                <w:szCs w:val="21"/>
              </w:rPr>
              <w:t>一般申购费率</w:t>
            </w:r>
          </w:p>
        </w:tc>
        <w:tc>
          <w:tcPr>
            <w:tcW w:w="2134" w:type="dxa"/>
            <w:tcBorders>
              <w:bottom w:val="single" w:sz="8" w:space="0" w:color="auto"/>
            </w:tcBorders>
            <w:tcMar>
              <w:top w:w="0" w:type="dxa"/>
              <w:left w:w="108" w:type="dxa"/>
              <w:bottom w:w="0" w:type="dxa"/>
              <w:right w:w="98" w:type="dxa"/>
            </w:tcMar>
            <w:vAlign w:val="center"/>
            <w:hideMark/>
          </w:tcPr>
          <w:p w14:paraId="73572473" w14:textId="77777777" w:rsidR="00D0083C" w:rsidRDefault="00854AE5">
            <w:pPr>
              <w:pStyle w:val="a3"/>
              <w:spacing w:before="0" w:beforeAutospacing="0" w:after="0" w:afterAutospacing="0" w:line="360" w:lineRule="auto"/>
              <w:jc w:val="center"/>
              <w:rPr>
                <w:sz w:val="21"/>
                <w:szCs w:val="21"/>
              </w:rPr>
            </w:pPr>
            <w:r>
              <w:rPr>
                <w:rFonts w:hint="eastAsia"/>
                <w:b/>
                <w:bCs/>
                <w:sz w:val="21"/>
                <w:szCs w:val="21"/>
              </w:rPr>
              <w:t>特定申购费率</w:t>
            </w:r>
          </w:p>
        </w:tc>
      </w:tr>
      <w:tr w:rsidR="00D0083C" w14:paraId="65C83C36" w14:textId="77777777">
        <w:trPr>
          <w:divId w:val="1994599321"/>
          <w:trHeight w:val="415"/>
        </w:trPr>
        <w:tc>
          <w:tcPr>
            <w:tcW w:w="3011" w:type="dxa"/>
            <w:tcBorders>
              <w:bottom w:val="single" w:sz="8" w:space="0" w:color="auto"/>
              <w:right w:val="single" w:sz="8" w:space="0" w:color="auto"/>
            </w:tcBorders>
            <w:tcMar>
              <w:top w:w="0" w:type="dxa"/>
              <w:left w:w="98" w:type="dxa"/>
              <w:bottom w:w="0" w:type="dxa"/>
              <w:right w:w="98" w:type="dxa"/>
            </w:tcMar>
            <w:vAlign w:val="center"/>
            <w:hideMark/>
          </w:tcPr>
          <w:p w14:paraId="329BC5C2"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M&lt;100</w:t>
            </w:r>
            <w:r>
              <w:rPr>
                <w:rFonts w:hint="eastAsia"/>
                <w:sz w:val="21"/>
                <w:szCs w:val="21"/>
              </w:rPr>
              <w:t>万</w:t>
            </w:r>
          </w:p>
        </w:tc>
        <w:tc>
          <w:tcPr>
            <w:tcW w:w="2210" w:type="dxa"/>
            <w:tcBorders>
              <w:bottom w:val="single" w:sz="8" w:space="0" w:color="auto"/>
              <w:right w:val="single" w:sz="8" w:space="0" w:color="auto"/>
            </w:tcBorders>
            <w:tcMar>
              <w:top w:w="0" w:type="dxa"/>
              <w:left w:w="108" w:type="dxa"/>
              <w:bottom w:w="0" w:type="dxa"/>
              <w:right w:w="98" w:type="dxa"/>
            </w:tcMar>
            <w:vAlign w:val="center"/>
            <w:hideMark/>
          </w:tcPr>
          <w:p w14:paraId="1CFE68F0"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0.8%</w:t>
            </w:r>
          </w:p>
        </w:tc>
        <w:tc>
          <w:tcPr>
            <w:tcW w:w="2134" w:type="dxa"/>
            <w:tcBorders>
              <w:bottom w:val="single" w:sz="8" w:space="0" w:color="auto"/>
            </w:tcBorders>
            <w:tcMar>
              <w:top w:w="0" w:type="dxa"/>
              <w:left w:w="108" w:type="dxa"/>
              <w:bottom w:w="0" w:type="dxa"/>
              <w:right w:w="98" w:type="dxa"/>
            </w:tcMar>
            <w:vAlign w:val="center"/>
            <w:hideMark/>
          </w:tcPr>
          <w:p w14:paraId="670C8146"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0.32%</w:t>
            </w:r>
          </w:p>
        </w:tc>
      </w:tr>
      <w:tr w:rsidR="00D0083C" w14:paraId="2787EB25" w14:textId="77777777">
        <w:trPr>
          <w:divId w:val="1994599321"/>
          <w:trHeight w:val="415"/>
        </w:trPr>
        <w:tc>
          <w:tcPr>
            <w:tcW w:w="3011" w:type="dxa"/>
            <w:tcBorders>
              <w:bottom w:val="single" w:sz="8" w:space="0" w:color="auto"/>
              <w:right w:val="single" w:sz="8" w:space="0" w:color="auto"/>
            </w:tcBorders>
            <w:tcMar>
              <w:top w:w="0" w:type="dxa"/>
              <w:left w:w="98" w:type="dxa"/>
              <w:bottom w:w="0" w:type="dxa"/>
              <w:right w:w="98" w:type="dxa"/>
            </w:tcMar>
            <w:vAlign w:val="center"/>
            <w:hideMark/>
          </w:tcPr>
          <w:p w14:paraId="4DBABF07"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100</w:t>
            </w:r>
            <w:r>
              <w:rPr>
                <w:rFonts w:hint="eastAsia"/>
                <w:sz w:val="21"/>
                <w:szCs w:val="21"/>
              </w:rPr>
              <w:t>万</w:t>
            </w:r>
            <w:r>
              <w:rPr>
                <w:rFonts w:ascii="Times New Roman" w:hAnsi="Times New Roman" w:cs="Times New Roman"/>
                <w:sz w:val="21"/>
                <w:szCs w:val="21"/>
              </w:rPr>
              <w:t>≤ M &lt;500</w:t>
            </w:r>
            <w:r>
              <w:rPr>
                <w:rFonts w:hint="eastAsia"/>
                <w:sz w:val="21"/>
                <w:szCs w:val="21"/>
              </w:rPr>
              <w:t>万</w:t>
            </w:r>
          </w:p>
        </w:tc>
        <w:tc>
          <w:tcPr>
            <w:tcW w:w="2210" w:type="dxa"/>
            <w:tcBorders>
              <w:bottom w:val="single" w:sz="8" w:space="0" w:color="auto"/>
              <w:right w:val="single" w:sz="8" w:space="0" w:color="auto"/>
            </w:tcBorders>
            <w:tcMar>
              <w:top w:w="0" w:type="dxa"/>
              <w:left w:w="108" w:type="dxa"/>
              <w:bottom w:w="0" w:type="dxa"/>
              <w:right w:w="98" w:type="dxa"/>
            </w:tcMar>
            <w:vAlign w:val="center"/>
            <w:hideMark/>
          </w:tcPr>
          <w:p w14:paraId="103F6077"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0.4%</w:t>
            </w:r>
          </w:p>
        </w:tc>
        <w:tc>
          <w:tcPr>
            <w:tcW w:w="2134" w:type="dxa"/>
            <w:tcBorders>
              <w:bottom w:val="single" w:sz="8" w:space="0" w:color="auto"/>
            </w:tcBorders>
            <w:tcMar>
              <w:top w:w="0" w:type="dxa"/>
              <w:left w:w="108" w:type="dxa"/>
              <w:bottom w:w="0" w:type="dxa"/>
              <w:right w:w="98" w:type="dxa"/>
            </w:tcMar>
            <w:vAlign w:val="center"/>
            <w:hideMark/>
          </w:tcPr>
          <w:p w14:paraId="6A645E70"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0.12%</w:t>
            </w:r>
          </w:p>
        </w:tc>
      </w:tr>
      <w:tr w:rsidR="00D0083C" w14:paraId="7A820263" w14:textId="77777777">
        <w:trPr>
          <w:divId w:val="1994599321"/>
          <w:trHeight w:val="415"/>
        </w:trPr>
        <w:tc>
          <w:tcPr>
            <w:tcW w:w="3011" w:type="dxa"/>
            <w:tcBorders>
              <w:right w:val="single" w:sz="8" w:space="0" w:color="auto"/>
            </w:tcBorders>
            <w:tcMar>
              <w:top w:w="0" w:type="dxa"/>
              <w:left w:w="98" w:type="dxa"/>
              <w:bottom w:w="0" w:type="dxa"/>
              <w:right w:w="98" w:type="dxa"/>
            </w:tcMar>
            <w:vAlign w:val="center"/>
            <w:hideMark/>
          </w:tcPr>
          <w:p w14:paraId="2454B8F8"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lastRenderedPageBreak/>
              <w:t>M≥ 500</w:t>
            </w:r>
            <w:r>
              <w:rPr>
                <w:rFonts w:hint="eastAsia"/>
                <w:sz w:val="21"/>
                <w:szCs w:val="21"/>
              </w:rPr>
              <w:t>万</w:t>
            </w:r>
          </w:p>
        </w:tc>
        <w:tc>
          <w:tcPr>
            <w:tcW w:w="2210" w:type="dxa"/>
            <w:tcBorders>
              <w:right w:val="single" w:sz="8" w:space="0" w:color="auto"/>
            </w:tcBorders>
            <w:tcMar>
              <w:top w:w="0" w:type="dxa"/>
              <w:left w:w="108" w:type="dxa"/>
              <w:bottom w:w="0" w:type="dxa"/>
              <w:right w:w="98" w:type="dxa"/>
            </w:tcMar>
            <w:vAlign w:val="center"/>
            <w:hideMark/>
          </w:tcPr>
          <w:p w14:paraId="6148C35B" w14:textId="77777777" w:rsidR="00D0083C" w:rsidRDefault="00854AE5">
            <w:pPr>
              <w:pStyle w:val="a3"/>
              <w:spacing w:before="0" w:beforeAutospacing="0" w:after="0" w:afterAutospacing="0" w:line="360" w:lineRule="auto"/>
              <w:jc w:val="center"/>
              <w:rPr>
                <w:sz w:val="21"/>
                <w:szCs w:val="21"/>
              </w:rPr>
            </w:pPr>
            <w:r>
              <w:rPr>
                <w:rFonts w:hint="eastAsia"/>
                <w:sz w:val="21"/>
                <w:szCs w:val="21"/>
              </w:rPr>
              <w:t>每笔</w:t>
            </w:r>
            <w:r>
              <w:rPr>
                <w:rFonts w:ascii="Times New Roman" w:hAnsi="Times New Roman" w:cs="Times New Roman"/>
                <w:sz w:val="21"/>
                <w:szCs w:val="21"/>
              </w:rPr>
              <w:t>1000</w:t>
            </w:r>
            <w:r>
              <w:rPr>
                <w:rFonts w:hint="eastAsia"/>
                <w:sz w:val="21"/>
                <w:szCs w:val="21"/>
              </w:rPr>
              <w:t>元</w:t>
            </w:r>
          </w:p>
        </w:tc>
        <w:tc>
          <w:tcPr>
            <w:tcW w:w="2134" w:type="dxa"/>
            <w:tcMar>
              <w:top w:w="0" w:type="dxa"/>
              <w:left w:w="108" w:type="dxa"/>
              <w:bottom w:w="0" w:type="dxa"/>
              <w:right w:w="98" w:type="dxa"/>
            </w:tcMar>
            <w:vAlign w:val="center"/>
            <w:hideMark/>
          </w:tcPr>
          <w:p w14:paraId="3F7B5BEA" w14:textId="77777777" w:rsidR="00D0083C" w:rsidRDefault="00854AE5">
            <w:pPr>
              <w:pStyle w:val="a3"/>
              <w:spacing w:before="0" w:beforeAutospacing="0" w:after="0" w:afterAutospacing="0" w:line="360" w:lineRule="auto"/>
              <w:jc w:val="center"/>
              <w:rPr>
                <w:sz w:val="21"/>
                <w:szCs w:val="21"/>
              </w:rPr>
            </w:pPr>
            <w:r>
              <w:rPr>
                <w:rFonts w:hint="eastAsia"/>
                <w:sz w:val="21"/>
                <w:szCs w:val="21"/>
              </w:rPr>
              <w:t>每笔</w:t>
            </w:r>
            <w:r>
              <w:rPr>
                <w:rFonts w:ascii="Times New Roman" w:hAnsi="Times New Roman" w:cs="Times New Roman"/>
                <w:sz w:val="21"/>
                <w:szCs w:val="21"/>
              </w:rPr>
              <w:t>1000</w:t>
            </w:r>
            <w:r>
              <w:rPr>
                <w:rFonts w:hint="eastAsia"/>
                <w:sz w:val="21"/>
                <w:szCs w:val="21"/>
              </w:rPr>
              <w:t>元</w:t>
            </w:r>
          </w:p>
        </w:tc>
      </w:tr>
    </w:tbl>
    <w:p w14:paraId="68A27CC2"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本基金的申购费用应在投资人申购基金份额时收取。投资人在一天之内如果有多笔申购，适用费率按单笔分别计算。</w:t>
      </w:r>
    </w:p>
    <w:p w14:paraId="3C9914C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申购费用由投资人承担，不列入基金财产，主要用于本基金的市场推广、销售、登记等各项费用。</w:t>
      </w:r>
    </w:p>
    <w:p w14:paraId="57BF5BF4"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3</w:t>
      </w:r>
      <w:r>
        <w:rPr>
          <w:rFonts w:hint="eastAsia"/>
          <w:sz w:val="21"/>
          <w:szCs w:val="21"/>
        </w:rPr>
        <w:t>、申购份额的计算及余额的处理方式</w:t>
      </w:r>
    </w:p>
    <w:p w14:paraId="63377FEC"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基金的申购金额包括申购费用和净申购金额。其中：</w:t>
      </w:r>
    </w:p>
    <w:p w14:paraId="63336A3B"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 xml:space="preserve">净申购金额 </w:t>
      </w:r>
      <w:r>
        <w:rPr>
          <w:rFonts w:ascii="Times New Roman" w:hAnsi="Times New Roman" w:cs="Times New Roman"/>
          <w:sz w:val="21"/>
          <w:szCs w:val="21"/>
        </w:rPr>
        <w:t>=</w:t>
      </w:r>
      <w:r>
        <w:rPr>
          <w:rFonts w:hint="eastAsia"/>
          <w:sz w:val="21"/>
          <w:szCs w:val="21"/>
        </w:rPr>
        <w:t>申购金额</w:t>
      </w:r>
      <w:r>
        <w:rPr>
          <w:rFonts w:ascii="Times New Roman" w:hAnsi="Times New Roman" w:cs="Times New Roman"/>
          <w:sz w:val="21"/>
          <w:szCs w:val="21"/>
        </w:rPr>
        <w:t>/</w:t>
      </w:r>
      <w:r>
        <w:rPr>
          <w:rFonts w:hint="eastAsia"/>
          <w:sz w:val="21"/>
          <w:szCs w:val="21"/>
        </w:rPr>
        <w:t>（</w:t>
      </w:r>
      <w:r>
        <w:rPr>
          <w:rFonts w:ascii="Times New Roman" w:hAnsi="Times New Roman" w:cs="Times New Roman"/>
          <w:sz w:val="21"/>
          <w:szCs w:val="21"/>
        </w:rPr>
        <w:t>1</w:t>
      </w:r>
      <w:r>
        <w:rPr>
          <w:rFonts w:hint="eastAsia"/>
          <w:sz w:val="21"/>
          <w:szCs w:val="21"/>
        </w:rPr>
        <w:t>＋申购费率）</w:t>
      </w:r>
    </w:p>
    <w:p w14:paraId="467F500C"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申购费用</w:t>
      </w:r>
      <w:r>
        <w:rPr>
          <w:rFonts w:ascii="Times New Roman" w:hAnsi="Times New Roman" w:cs="Times New Roman"/>
          <w:sz w:val="21"/>
          <w:szCs w:val="21"/>
        </w:rPr>
        <w:t>=</w:t>
      </w:r>
      <w:r>
        <w:rPr>
          <w:rFonts w:hint="eastAsia"/>
          <w:sz w:val="21"/>
          <w:szCs w:val="21"/>
        </w:rPr>
        <w:t>申购金额</w:t>
      </w:r>
      <w:r>
        <w:rPr>
          <w:rFonts w:ascii="Times New Roman" w:hAnsi="Times New Roman" w:cs="Times New Roman"/>
          <w:sz w:val="21"/>
          <w:szCs w:val="21"/>
        </w:rPr>
        <w:t>-</w:t>
      </w:r>
      <w:r>
        <w:rPr>
          <w:rFonts w:hint="eastAsia"/>
          <w:sz w:val="21"/>
          <w:szCs w:val="21"/>
        </w:rPr>
        <w:t>净申购金额</w:t>
      </w:r>
    </w:p>
    <w:p w14:paraId="1D2EA471"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申购份额</w:t>
      </w:r>
      <w:r>
        <w:rPr>
          <w:rFonts w:ascii="Times New Roman" w:hAnsi="Times New Roman" w:cs="Times New Roman"/>
          <w:sz w:val="21"/>
          <w:szCs w:val="21"/>
        </w:rPr>
        <w:t>=</w:t>
      </w:r>
      <w:r>
        <w:rPr>
          <w:rFonts w:hint="eastAsia"/>
          <w:sz w:val="21"/>
          <w:szCs w:val="21"/>
        </w:rPr>
        <w:t>净申购金额</w:t>
      </w:r>
      <w:r>
        <w:rPr>
          <w:rFonts w:ascii="Times New Roman" w:hAnsi="Times New Roman" w:cs="Times New Roman"/>
          <w:sz w:val="21"/>
          <w:szCs w:val="21"/>
        </w:rPr>
        <w:t>/</w:t>
      </w:r>
      <w:r>
        <w:rPr>
          <w:rFonts w:hint="eastAsia"/>
          <w:sz w:val="21"/>
          <w:szCs w:val="21"/>
        </w:rPr>
        <w:t>申购当日基金份额净值</w:t>
      </w:r>
    </w:p>
    <w:p w14:paraId="216752D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申购的有效份额单位为份，上述计算结果均按四舍五入方法，保留到小数点后两位，由此产生的收益或损失由基金财产承担。</w:t>
      </w:r>
    </w:p>
    <w:p w14:paraId="13E239D5"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例如：某投资人（非养老金客户）投资</w:t>
      </w:r>
      <w:r>
        <w:rPr>
          <w:rFonts w:ascii="Times New Roman" w:hAnsi="Times New Roman" w:cs="Times New Roman"/>
          <w:sz w:val="21"/>
          <w:szCs w:val="21"/>
        </w:rPr>
        <w:t>5</w:t>
      </w:r>
      <w:r>
        <w:rPr>
          <w:rFonts w:hint="eastAsia"/>
          <w:sz w:val="21"/>
          <w:szCs w:val="21"/>
        </w:rPr>
        <w:t>万元申购本基金份额，对应费率为</w:t>
      </w:r>
      <w:r>
        <w:rPr>
          <w:rFonts w:ascii="Times New Roman" w:hAnsi="Times New Roman" w:cs="Times New Roman"/>
          <w:sz w:val="21"/>
          <w:szCs w:val="21"/>
        </w:rPr>
        <w:t>0.8%</w:t>
      </w:r>
      <w:r>
        <w:rPr>
          <w:rFonts w:hint="eastAsia"/>
          <w:sz w:val="21"/>
          <w:szCs w:val="21"/>
        </w:rPr>
        <w:t>，假设申购当日基金份额净值为</w:t>
      </w:r>
      <w:r>
        <w:rPr>
          <w:rFonts w:ascii="Times New Roman" w:hAnsi="Times New Roman" w:cs="Times New Roman"/>
          <w:sz w:val="21"/>
          <w:szCs w:val="21"/>
        </w:rPr>
        <w:t>1.0500</w:t>
      </w:r>
      <w:r>
        <w:rPr>
          <w:rFonts w:hint="eastAsia"/>
          <w:sz w:val="21"/>
          <w:szCs w:val="21"/>
        </w:rPr>
        <w:t>元，则可得到的申购份额为：</w:t>
      </w:r>
    </w:p>
    <w:p w14:paraId="68D1628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净申购金额＝</w:t>
      </w:r>
      <w:r>
        <w:rPr>
          <w:rFonts w:ascii="Times New Roman" w:hAnsi="Times New Roman" w:cs="Times New Roman"/>
          <w:sz w:val="21"/>
          <w:szCs w:val="21"/>
        </w:rPr>
        <w:t>50,000/</w:t>
      </w:r>
      <w:r>
        <w:rPr>
          <w:rFonts w:hint="eastAsia"/>
          <w:sz w:val="21"/>
          <w:szCs w:val="21"/>
        </w:rPr>
        <w:t>（</w:t>
      </w:r>
      <w:r>
        <w:rPr>
          <w:rFonts w:ascii="Times New Roman" w:hAnsi="Times New Roman" w:cs="Times New Roman"/>
          <w:sz w:val="21"/>
          <w:szCs w:val="21"/>
        </w:rPr>
        <w:t>1</w:t>
      </w:r>
      <w:r>
        <w:rPr>
          <w:rFonts w:hint="eastAsia"/>
          <w:sz w:val="21"/>
          <w:szCs w:val="21"/>
        </w:rPr>
        <w:t>＋</w:t>
      </w:r>
      <w:r>
        <w:rPr>
          <w:rFonts w:ascii="Times New Roman" w:hAnsi="Times New Roman" w:cs="Times New Roman"/>
          <w:sz w:val="21"/>
          <w:szCs w:val="21"/>
        </w:rPr>
        <w:t>0.8%</w:t>
      </w:r>
      <w:r>
        <w:rPr>
          <w:rFonts w:hint="eastAsia"/>
          <w:sz w:val="21"/>
          <w:szCs w:val="21"/>
        </w:rPr>
        <w:t>）＝</w:t>
      </w:r>
      <w:r>
        <w:rPr>
          <w:rFonts w:ascii="Times New Roman" w:hAnsi="Times New Roman" w:cs="Times New Roman"/>
          <w:sz w:val="21"/>
          <w:szCs w:val="21"/>
        </w:rPr>
        <w:t>49,603.17</w:t>
      </w:r>
      <w:r>
        <w:rPr>
          <w:rFonts w:hint="eastAsia"/>
          <w:sz w:val="21"/>
          <w:szCs w:val="21"/>
        </w:rPr>
        <w:t>元</w:t>
      </w:r>
    </w:p>
    <w:p w14:paraId="43BE30E2"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申购费用＝</w:t>
      </w:r>
      <w:r>
        <w:rPr>
          <w:rFonts w:ascii="Times New Roman" w:hAnsi="Times New Roman" w:cs="Times New Roman"/>
          <w:sz w:val="21"/>
          <w:szCs w:val="21"/>
        </w:rPr>
        <w:t>50,000</w:t>
      </w:r>
      <w:r>
        <w:rPr>
          <w:rFonts w:hint="eastAsia"/>
          <w:sz w:val="21"/>
          <w:szCs w:val="21"/>
        </w:rPr>
        <w:t>－</w:t>
      </w:r>
      <w:r>
        <w:rPr>
          <w:rFonts w:ascii="Times New Roman" w:hAnsi="Times New Roman" w:cs="Times New Roman"/>
          <w:sz w:val="21"/>
          <w:szCs w:val="21"/>
        </w:rPr>
        <w:t>49,603.17</w:t>
      </w:r>
      <w:r>
        <w:rPr>
          <w:rFonts w:hint="eastAsia"/>
          <w:sz w:val="21"/>
          <w:szCs w:val="21"/>
        </w:rPr>
        <w:t>＝</w:t>
      </w:r>
      <w:r>
        <w:rPr>
          <w:rFonts w:ascii="Times New Roman" w:hAnsi="Times New Roman" w:cs="Times New Roman"/>
          <w:sz w:val="21"/>
          <w:szCs w:val="21"/>
        </w:rPr>
        <w:t>396.83</w:t>
      </w:r>
      <w:r>
        <w:rPr>
          <w:rFonts w:hint="eastAsia"/>
          <w:sz w:val="21"/>
          <w:szCs w:val="21"/>
        </w:rPr>
        <w:t>元</w:t>
      </w:r>
    </w:p>
    <w:p w14:paraId="72662564"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申购份额＝</w:t>
      </w:r>
      <w:r>
        <w:rPr>
          <w:rFonts w:ascii="Times New Roman" w:hAnsi="Times New Roman" w:cs="Times New Roman"/>
          <w:sz w:val="21"/>
          <w:szCs w:val="21"/>
        </w:rPr>
        <w:t>49,603.17/1.0500</w:t>
      </w:r>
      <w:r>
        <w:rPr>
          <w:rFonts w:hint="eastAsia"/>
          <w:sz w:val="21"/>
          <w:szCs w:val="21"/>
        </w:rPr>
        <w:t>＝</w:t>
      </w:r>
      <w:r>
        <w:rPr>
          <w:rFonts w:ascii="Times New Roman" w:hAnsi="Times New Roman" w:cs="Times New Roman"/>
          <w:sz w:val="21"/>
          <w:szCs w:val="21"/>
        </w:rPr>
        <w:t>47,241.11</w:t>
      </w:r>
      <w:r>
        <w:rPr>
          <w:rFonts w:hint="eastAsia"/>
          <w:sz w:val="21"/>
          <w:szCs w:val="21"/>
        </w:rPr>
        <w:t>份</w:t>
      </w:r>
    </w:p>
    <w:p w14:paraId="53B55E9E"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即：投资人投资</w:t>
      </w:r>
      <w:r>
        <w:rPr>
          <w:rFonts w:ascii="Times New Roman" w:hAnsi="Times New Roman" w:cs="Times New Roman"/>
          <w:sz w:val="21"/>
          <w:szCs w:val="21"/>
        </w:rPr>
        <w:t xml:space="preserve">5 </w:t>
      </w:r>
      <w:r>
        <w:rPr>
          <w:rFonts w:hint="eastAsia"/>
          <w:sz w:val="21"/>
          <w:szCs w:val="21"/>
        </w:rPr>
        <w:t>万元申购本基金份额，假设申购当日基金份额净值为</w:t>
      </w:r>
      <w:r>
        <w:rPr>
          <w:rFonts w:ascii="Times New Roman" w:hAnsi="Times New Roman" w:cs="Times New Roman"/>
          <w:sz w:val="21"/>
          <w:szCs w:val="21"/>
        </w:rPr>
        <w:t>1.0500</w:t>
      </w:r>
      <w:r>
        <w:rPr>
          <w:rFonts w:hint="eastAsia"/>
          <w:sz w:val="21"/>
          <w:szCs w:val="21"/>
        </w:rPr>
        <w:t>元，则其可得到</w:t>
      </w:r>
      <w:r>
        <w:rPr>
          <w:rFonts w:ascii="Times New Roman" w:hAnsi="Times New Roman" w:cs="Times New Roman"/>
          <w:sz w:val="21"/>
          <w:szCs w:val="21"/>
        </w:rPr>
        <w:t>47,241.11</w:t>
      </w:r>
      <w:r>
        <w:rPr>
          <w:rFonts w:hint="eastAsia"/>
          <w:sz w:val="21"/>
          <w:szCs w:val="21"/>
        </w:rPr>
        <w:t>份基金份额。</w:t>
      </w:r>
    </w:p>
    <w:p w14:paraId="6FFBC5D0"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4</w:t>
      </w:r>
      <w:r>
        <w:rPr>
          <w:rFonts w:hint="eastAsia"/>
          <w:sz w:val="21"/>
          <w:szCs w:val="21"/>
        </w:rPr>
        <w:t>、赎回费率</w:t>
      </w:r>
    </w:p>
    <w:p w14:paraId="28E0A46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本基金的赎回费率如下表所示：</w:t>
      </w:r>
    </w:p>
    <w:tbl>
      <w:tblPr>
        <w:tblW w:w="0" w:type="auto"/>
        <w:tblInd w:w="633"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3162"/>
        <w:gridCol w:w="3040"/>
      </w:tblGrid>
      <w:tr w:rsidR="00D0083C" w14:paraId="28410D50" w14:textId="77777777">
        <w:trPr>
          <w:divId w:val="1994599321"/>
          <w:trHeight w:val="461"/>
        </w:trPr>
        <w:tc>
          <w:tcPr>
            <w:tcW w:w="3162" w:type="dxa"/>
            <w:tcBorders>
              <w:bottom w:val="single" w:sz="8" w:space="0" w:color="auto"/>
              <w:right w:val="single" w:sz="8" w:space="0" w:color="auto"/>
            </w:tcBorders>
            <w:tcMar>
              <w:top w:w="0" w:type="dxa"/>
              <w:left w:w="98" w:type="dxa"/>
              <w:bottom w:w="0" w:type="dxa"/>
              <w:right w:w="98" w:type="dxa"/>
            </w:tcMar>
            <w:vAlign w:val="center"/>
            <w:hideMark/>
          </w:tcPr>
          <w:p w14:paraId="4D10470E" w14:textId="77777777" w:rsidR="00D0083C" w:rsidRDefault="00854AE5">
            <w:pPr>
              <w:pStyle w:val="a3"/>
              <w:spacing w:before="0" w:beforeAutospacing="0" w:after="0" w:afterAutospacing="0" w:line="360" w:lineRule="auto"/>
              <w:jc w:val="center"/>
              <w:rPr>
                <w:sz w:val="21"/>
                <w:szCs w:val="21"/>
              </w:rPr>
            </w:pPr>
            <w:r>
              <w:rPr>
                <w:rFonts w:hint="eastAsia"/>
                <w:b/>
                <w:bCs/>
                <w:sz w:val="21"/>
                <w:szCs w:val="21"/>
              </w:rPr>
              <w:t>持有年限（</w:t>
            </w:r>
            <w:r>
              <w:rPr>
                <w:rFonts w:ascii="Times New Roman" w:hAnsi="Times New Roman" w:cs="Times New Roman"/>
                <w:b/>
                <w:bCs/>
                <w:sz w:val="21"/>
                <w:szCs w:val="21"/>
              </w:rPr>
              <w:t>Y</w:t>
            </w:r>
            <w:r>
              <w:rPr>
                <w:rFonts w:hint="eastAsia"/>
                <w:b/>
                <w:bCs/>
                <w:sz w:val="21"/>
                <w:szCs w:val="21"/>
              </w:rPr>
              <w:t>）</w:t>
            </w:r>
          </w:p>
        </w:tc>
        <w:tc>
          <w:tcPr>
            <w:tcW w:w="3040" w:type="dxa"/>
            <w:tcBorders>
              <w:bottom w:val="single" w:sz="8" w:space="0" w:color="auto"/>
            </w:tcBorders>
            <w:tcMar>
              <w:top w:w="0" w:type="dxa"/>
              <w:left w:w="108" w:type="dxa"/>
              <w:bottom w:w="0" w:type="dxa"/>
              <w:right w:w="98" w:type="dxa"/>
            </w:tcMar>
            <w:vAlign w:val="center"/>
            <w:hideMark/>
          </w:tcPr>
          <w:p w14:paraId="0482C80B" w14:textId="77777777" w:rsidR="00D0083C" w:rsidRDefault="00854AE5">
            <w:pPr>
              <w:pStyle w:val="a3"/>
              <w:spacing w:before="0" w:beforeAutospacing="0" w:after="0" w:afterAutospacing="0" w:line="360" w:lineRule="auto"/>
              <w:jc w:val="center"/>
              <w:rPr>
                <w:sz w:val="21"/>
                <w:szCs w:val="21"/>
              </w:rPr>
            </w:pPr>
            <w:r>
              <w:rPr>
                <w:rFonts w:hint="eastAsia"/>
                <w:b/>
                <w:bCs/>
                <w:sz w:val="21"/>
                <w:szCs w:val="21"/>
              </w:rPr>
              <w:t>赎回费率</w:t>
            </w:r>
          </w:p>
        </w:tc>
      </w:tr>
      <w:tr w:rsidR="00D0083C" w14:paraId="546D4B00" w14:textId="77777777">
        <w:trPr>
          <w:divId w:val="1994599321"/>
          <w:trHeight w:val="461"/>
        </w:trPr>
        <w:tc>
          <w:tcPr>
            <w:tcW w:w="3162" w:type="dxa"/>
            <w:tcBorders>
              <w:bottom w:val="single" w:sz="8" w:space="0" w:color="auto"/>
              <w:right w:val="single" w:sz="8" w:space="0" w:color="auto"/>
            </w:tcBorders>
            <w:tcMar>
              <w:top w:w="0" w:type="dxa"/>
              <w:left w:w="98" w:type="dxa"/>
              <w:bottom w:w="0" w:type="dxa"/>
              <w:right w:w="98" w:type="dxa"/>
            </w:tcMar>
            <w:vAlign w:val="center"/>
            <w:hideMark/>
          </w:tcPr>
          <w:p w14:paraId="62A87C32"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Y</w:t>
            </w:r>
            <w:r>
              <w:rPr>
                <w:rFonts w:hint="eastAsia"/>
                <w:sz w:val="21"/>
                <w:szCs w:val="21"/>
              </w:rPr>
              <w:t>＜</w:t>
            </w:r>
            <w:r>
              <w:rPr>
                <w:rFonts w:ascii="Times New Roman" w:hAnsi="Times New Roman" w:cs="Times New Roman"/>
                <w:sz w:val="21"/>
                <w:szCs w:val="21"/>
              </w:rPr>
              <w:t>7</w:t>
            </w:r>
            <w:r>
              <w:rPr>
                <w:rFonts w:hint="eastAsia"/>
                <w:sz w:val="21"/>
                <w:szCs w:val="21"/>
              </w:rPr>
              <w:t>日</w:t>
            </w:r>
          </w:p>
        </w:tc>
        <w:tc>
          <w:tcPr>
            <w:tcW w:w="3040" w:type="dxa"/>
            <w:tcBorders>
              <w:bottom w:val="single" w:sz="8" w:space="0" w:color="auto"/>
            </w:tcBorders>
            <w:tcMar>
              <w:top w:w="0" w:type="dxa"/>
              <w:left w:w="108" w:type="dxa"/>
              <w:bottom w:w="0" w:type="dxa"/>
              <w:right w:w="98" w:type="dxa"/>
            </w:tcMar>
            <w:vAlign w:val="center"/>
            <w:hideMark/>
          </w:tcPr>
          <w:p w14:paraId="74B1649A"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1.5%</w:t>
            </w:r>
          </w:p>
        </w:tc>
      </w:tr>
      <w:tr w:rsidR="00D0083C" w14:paraId="6E96E965" w14:textId="77777777">
        <w:trPr>
          <w:divId w:val="1994599321"/>
          <w:trHeight w:val="461"/>
        </w:trPr>
        <w:tc>
          <w:tcPr>
            <w:tcW w:w="3162" w:type="dxa"/>
            <w:tcBorders>
              <w:bottom w:val="single" w:sz="8" w:space="0" w:color="auto"/>
              <w:right w:val="single" w:sz="8" w:space="0" w:color="auto"/>
            </w:tcBorders>
            <w:tcMar>
              <w:top w:w="0" w:type="dxa"/>
              <w:left w:w="98" w:type="dxa"/>
              <w:bottom w:w="0" w:type="dxa"/>
              <w:right w:w="98" w:type="dxa"/>
            </w:tcMar>
            <w:vAlign w:val="center"/>
            <w:hideMark/>
          </w:tcPr>
          <w:p w14:paraId="7FE31DEE"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7</w:t>
            </w:r>
            <w:r>
              <w:rPr>
                <w:rFonts w:hint="eastAsia"/>
                <w:sz w:val="21"/>
                <w:szCs w:val="21"/>
              </w:rPr>
              <w:t>日</w:t>
            </w:r>
            <w:r>
              <w:rPr>
                <w:rFonts w:ascii="Times New Roman" w:hAnsi="Times New Roman" w:cs="Times New Roman"/>
                <w:sz w:val="21"/>
                <w:szCs w:val="21"/>
              </w:rPr>
              <w:t>≤Y</w:t>
            </w:r>
            <w:r>
              <w:rPr>
                <w:rFonts w:hint="eastAsia"/>
                <w:sz w:val="21"/>
                <w:szCs w:val="21"/>
              </w:rPr>
              <w:t>＜</w:t>
            </w:r>
            <w:r>
              <w:rPr>
                <w:rFonts w:ascii="Times New Roman" w:hAnsi="Times New Roman" w:cs="Times New Roman"/>
                <w:sz w:val="21"/>
                <w:szCs w:val="21"/>
              </w:rPr>
              <w:t>1</w:t>
            </w:r>
            <w:r>
              <w:rPr>
                <w:rFonts w:hint="eastAsia"/>
                <w:sz w:val="21"/>
                <w:szCs w:val="21"/>
              </w:rPr>
              <w:t>年</w:t>
            </w:r>
          </w:p>
        </w:tc>
        <w:tc>
          <w:tcPr>
            <w:tcW w:w="3040" w:type="dxa"/>
            <w:tcBorders>
              <w:bottom w:val="single" w:sz="8" w:space="0" w:color="auto"/>
            </w:tcBorders>
            <w:tcMar>
              <w:top w:w="0" w:type="dxa"/>
              <w:left w:w="108" w:type="dxa"/>
              <w:bottom w:w="0" w:type="dxa"/>
              <w:right w:w="98" w:type="dxa"/>
            </w:tcMar>
            <w:vAlign w:val="center"/>
            <w:hideMark/>
          </w:tcPr>
          <w:p w14:paraId="470038FC"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0.1%</w:t>
            </w:r>
          </w:p>
        </w:tc>
      </w:tr>
      <w:tr w:rsidR="00D0083C" w14:paraId="43C1FDD5" w14:textId="77777777">
        <w:trPr>
          <w:divId w:val="1994599321"/>
          <w:trHeight w:val="461"/>
        </w:trPr>
        <w:tc>
          <w:tcPr>
            <w:tcW w:w="3162" w:type="dxa"/>
            <w:tcBorders>
              <w:right w:val="single" w:sz="8" w:space="0" w:color="auto"/>
            </w:tcBorders>
            <w:tcMar>
              <w:top w:w="0" w:type="dxa"/>
              <w:left w:w="98" w:type="dxa"/>
              <w:bottom w:w="0" w:type="dxa"/>
              <w:right w:w="98" w:type="dxa"/>
            </w:tcMar>
            <w:vAlign w:val="center"/>
            <w:hideMark/>
          </w:tcPr>
          <w:p w14:paraId="2E84BD55"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Y≥1</w:t>
            </w:r>
            <w:r>
              <w:rPr>
                <w:rFonts w:hint="eastAsia"/>
                <w:sz w:val="21"/>
                <w:szCs w:val="21"/>
              </w:rPr>
              <w:t>年</w:t>
            </w:r>
          </w:p>
        </w:tc>
        <w:tc>
          <w:tcPr>
            <w:tcW w:w="3040" w:type="dxa"/>
            <w:tcMar>
              <w:top w:w="0" w:type="dxa"/>
              <w:left w:w="108" w:type="dxa"/>
              <w:bottom w:w="0" w:type="dxa"/>
              <w:right w:w="98" w:type="dxa"/>
            </w:tcMar>
            <w:vAlign w:val="center"/>
            <w:hideMark/>
          </w:tcPr>
          <w:p w14:paraId="35602040" w14:textId="77777777" w:rsidR="00D0083C" w:rsidRDefault="00854AE5">
            <w:pPr>
              <w:pStyle w:val="a3"/>
              <w:spacing w:before="0" w:beforeAutospacing="0" w:after="0" w:afterAutospacing="0" w:line="360" w:lineRule="auto"/>
              <w:jc w:val="center"/>
              <w:rPr>
                <w:sz w:val="21"/>
                <w:szCs w:val="21"/>
              </w:rPr>
            </w:pPr>
            <w:r>
              <w:rPr>
                <w:rFonts w:ascii="Times New Roman" w:hAnsi="Times New Roman" w:cs="Times New Roman"/>
                <w:sz w:val="21"/>
                <w:szCs w:val="21"/>
              </w:rPr>
              <w:t>0</w:t>
            </w:r>
          </w:p>
        </w:tc>
      </w:tr>
    </w:tbl>
    <w:p w14:paraId="0433B245"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赎回费用由赎回基金份额的基金份额持有人承担，在基金份额持有人赎回基金份额时收取。赎回费总额的</w:t>
      </w:r>
      <w:r>
        <w:rPr>
          <w:rFonts w:ascii="Times New Roman" w:hAnsi="Times New Roman" w:cs="Times New Roman"/>
          <w:sz w:val="21"/>
          <w:szCs w:val="21"/>
        </w:rPr>
        <w:t>100%</w:t>
      </w:r>
      <w:r>
        <w:rPr>
          <w:rFonts w:hint="eastAsia"/>
          <w:sz w:val="21"/>
          <w:szCs w:val="21"/>
        </w:rPr>
        <w:t>归入基金财产。</w:t>
      </w:r>
    </w:p>
    <w:p w14:paraId="4E4AA508"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5</w:t>
      </w:r>
      <w:r>
        <w:rPr>
          <w:rFonts w:hint="eastAsia"/>
          <w:sz w:val="21"/>
          <w:szCs w:val="21"/>
        </w:rPr>
        <w:t>、赎回金额的计算及处理方式</w:t>
      </w:r>
    </w:p>
    <w:p w14:paraId="20AA04F1"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本基金的净赎回金额为赎回总金额扣减赎回费用。其中，</w:t>
      </w:r>
    </w:p>
    <w:p w14:paraId="358C4DA5"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赎回总金额</w:t>
      </w:r>
      <w:r>
        <w:rPr>
          <w:rFonts w:ascii="Times New Roman" w:hAnsi="Times New Roman" w:cs="Times New Roman"/>
          <w:sz w:val="21"/>
          <w:szCs w:val="21"/>
        </w:rPr>
        <w:t>=</w:t>
      </w:r>
      <w:r>
        <w:rPr>
          <w:rFonts w:hint="eastAsia"/>
          <w:sz w:val="21"/>
          <w:szCs w:val="21"/>
        </w:rPr>
        <w:t>赎回份额</w:t>
      </w:r>
      <w:r>
        <w:rPr>
          <w:rFonts w:ascii="Symbol" w:hAnsi="Symbol"/>
          <w:sz w:val="21"/>
          <w:szCs w:val="21"/>
        </w:rPr>
        <w:t></w:t>
      </w:r>
      <w:r>
        <w:rPr>
          <w:rFonts w:hint="eastAsia"/>
          <w:sz w:val="21"/>
          <w:szCs w:val="21"/>
        </w:rPr>
        <w:t>赎回当日基金份额净值</w:t>
      </w:r>
    </w:p>
    <w:p w14:paraId="628B805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赎回费用</w:t>
      </w:r>
      <w:r>
        <w:rPr>
          <w:rFonts w:ascii="Times New Roman" w:hAnsi="Times New Roman" w:cs="Times New Roman"/>
          <w:sz w:val="21"/>
          <w:szCs w:val="21"/>
        </w:rPr>
        <w:t>=</w:t>
      </w:r>
      <w:r>
        <w:rPr>
          <w:rFonts w:hint="eastAsia"/>
          <w:sz w:val="21"/>
          <w:szCs w:val="21"/>
        </w:rPr>
        <w:t>赎回总金额</w:t>
      </w:r>
      <w:r>
        <w:rPr>
          <w:rFonts w:ascii="Symbol" w:hAnsi="Symbol"/>
          <w:sz w:val="21"/>
          <w:szCs w:val="21"/>
        </w:rPr>
        <w:t></w:t>
      </w:r>
      <w:r>
        <w:rPr>
          <w:rFonts w:hint="eastAsia"/>
          <w:sz w:val="21"/>
          <w:szCs w:val="21"/>
        </w:rPr>
        <w:t>赎回费率</w:t>
      </w:r>
    </w:p>
    <w:p w14:paraId="1CC77BCC"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净赎回金额</w:t>
      </w:r>
      <w:r>
        <w:rPr>
          <w:rFonts w:ascii="Times New Roman" w:hAnsi="Times New Roman" w:cs="Times New Roman"/>
          <w:sz w:val="21"/>
          <w:szCs w:val="21"/>
        </w:rPr>
        <w:t>=</w:t>
      </w:r>
      <w:r>
        <w:rPr>
          <w:rFonts w:hint="eastAsia"/>
          <w:sz w:val="21"/>
          <w:szCs w:val="21"/>
        </w:rPr>
        <w:t>赎回总金额</w:t>
      </w:r>
      <w:r>
        <w:rPr>
          <w:rFonts w:ascii="Symbol" w:hAnsi="Symbol"/>
          <w:sz w:val="21"/>
          <w:szCs w:val="21"/>
        </w:rPr>
        <w:t></w:t>
      </w:r>
      <w:r>
        <w:rPr>
          <w:rFonts w:hint="eastAsia"/>
          <w:sz w:val="21"/>
          <w:szCs w:val="21"/>
        </w:rPr>
        <w:t>赎回费用</w:t>
      </w:r>
    </w:p>
    <w:p w14:paraId="2BE5140E"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lastRenderedPageBreak/>
        <w:t>赎回金额单位为元，计算结果均按四舍五入方法，保留到小数点后两位，由此产生的收益或损失由基金财产承担。</w:t>
      </w:r>
    </w:p>
    <w:p w14:paraId="0E3F39D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例如：某投资人赎回本基金</w:t>
      </w:r>
      <w:r>
        <w:rPr>
          <w:rFonts w:ascii="Times New Roman" w:hAnsi="Times New Roman" w:cs="Times New Roman"/>
          <w:sz w:val="21"/>
          <w:szCs w:val="21"/>
        </w:rPr>
        <w:t>1</w:t>
      </w:r>
      <w:r>
        <w:rPr>
          <w:rFonts w:hint="eastAsia"/>
          <w:sz w:val="21"/>
          <w:szCs w:val="21"/>
        </w:rPr>
        <w:t>万份基金份额，持有时间为六个月，对应的赎回费率为</w:t>
      </w:r>
      <w:r>
        <w:rPr>
          <w:rFonts w:ascii="Times New Roman" w:hAnsi="Times New Roman" w:cs="Times New Roman"/>
          <w:sz w:val="21"/>
          <w:szCs w:val="21"/>
        </w:rPr>
        <w:t>0.1%</w:t>
      </w:r>
      <w:r>
        <w:rPr>
          <w:rFonts w:hint="eastAsia"/>
          <w:sz w:val="21"/>
          <w:szCs w:val="21"/>
        </w:rPr>
        <w:t>，假设赎回当日基金份额净值是</w:t>
      </w:r>
      <w:r>
        <w:rPr>
          <w:rFonts w:ascii="Times New Roman" w:hAnsi="Times New Roman" w:cs="Times New Roman"/>
          <w:sz w:val="21"/>
          <w:szCs w:val="21"/>
        </w:rPr>
        <w:t>1.0680</w:t>
      </w:r>
      <w:r>
        <w:rPr>
          <w:rFonts w:hint="eastAsia"/>
          <w:sz w:val="21"/>
          <w:szCs w:val="21"/>
        </w:rPr>
        <w:t>元，则其可得到的赎回金额为：</w:t>
      </w:r>
    </w:p>
    <w:p w14:paraId="2A9B0EB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赎回金额</w:t>
      </w:r>
      <w:r>
        <w:rPr>
          <w:rFonts w:ascii="Times New Roman" w:hAnsi="Times New Roman" w:cs="Times New Roman"/>
          <w:sz w:val="21"/>
          <w:szCs w:val="21"/>
        </w:rPr>
        <w:t>=10,000×1.0680=10,680</w:t>
      </w:r>
      <w:r>
        <w:rPr>
          <w:rFonts w:hint="eastAsia"/>
          <w:sz w:val="21"/>
          <w:szCs w:val="21"/>
        </w:rPr>
        <w:t>元</w:t>
      </w:r>
    </w:p>
    <w:p w14:paraId="1990C7B2"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赎回费用</w:t>
      </w:r>
      <w:r>
        <w:rPr>
          <w:rFonts w:ascii="Times New Roman" w:hAnsi="Times New Roman" w:cs="Times New Roman"/>
          <w:sz w:val="21"/>
          <w:szCs w:val="21"/>
        </w:rPr>
        <w:t>=10,680×0.1%=10.68</w:t>
      </w:r>
      <w:r>
        <w:rPr>
          <w:rFonts w:hint="eastAsia"/>
          <w:sz w:val="21"/>
          <w:szCs w:val="21"/>
        </w:rPr>
        <w:t>元</w:t>
      </w:r>
    </w:p>
    <w:p w14:paraId="6249AE23"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净赎回金额</w:t>
      </w:r>
      <w:r>
        <w:rPr>
          <w:rFonts w:ascii="Times New Roman" w:hAnsi="Times New Roman" w:cs="Times New Roman"/>
          <w:sz w:val="21"/>
          <w:szCs w:val="21"/>
        </w:rPr>
        <w:t>=10,680-10.68=10,669.32</w:t>
      </w:r>
      <w:r>
        <w:rPr>
          <w:rFonts w:hint="eastAsia"/>
          <w:sz w:val="21"/>
          <w:szCs w:val="21"/>
        </w:rPr>
        <w:t>元</w:t>
      </w:r>
    </w:p>
    <w:p w14:paraId="3FAA5094"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即：投资人赎回本基金</w:t>
      </w:r>
      <w:r>
        <w:rPr>
          <w:rFonts w:ascii="Times New Roman" w:hAnsi="Times New Roman" w:cs="Times New Roman"/>
          <w:sz w:val="21"/>
          <w:szCs w:val="21"/>
        </w:rPr>
        <w:t xml:space="preserve">1 </w:t>
      </w:r>
      <w:r>
        <w:rPr>
          <w:rFonts w:hint="eastAsia"/>
          <w:sz w:val="21"/>
          <w:szCs w:val="21"/>
        </w:rPr>
        <w:t>万份基金份额，持有期限为六个月，假设赎回当日本基金份额净值是</w:t>
      </w:r>
      <w:r>
        <w:rPr>
          <w:rFonts w:ascii="Times New Roman" w:hAnsi="Times New Roman" w:cs="Times New Roman"/>
          <w:sz w:val="21"/>
          <w:szCs w:val="21"/>
        </w:rPr>
        <w:t>1.0680</w:t>
      </w:r>
      <w:r>
        <w:rPr>
          <w:rFonts w:hint="eastAsia"/>
          <w:sz w:val="21"/>
          <w:szCs w:val="21"/>
        </w:rPr>
        <w:t>元，则其可得到的净赎回金额为</w:t>
      </w:r>
      <w:r>
        <w:rPr>
          <w:rFonts w:ascii="Times New Roman" w:hAnsi="Times New Roman" w:cs="Times New Roman"/>
          <w:sz w:val="21"/>
          <w:szCs w:val="21"/>
        </w:rPr>
        <w:t>10,669.32</w:t>
      </w:r>
      <w:r>
        <w:rPr>
          <w:rFonts w:hint="eastAsia"/>
          <w:sz w:val="21"/>
          <w:szCs w:val="21"/>
        </w:rPr>
        <w:t>元。</w:t>
      </w:r>
    </w:p>
    <w:p w14:paraId="03E20BC5"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6</w:t>
      </w:r>
      <w:r>
        <w:rPr>
          <w:rFonts w:hint="eastAsia"/>
          <w:sz w:val="21"/>
          <w:szCs w:val="21"/>
        </w:rPr>
        <w:t>、基金管理人可以在基金合同约定的范围内调整费率或收费方式，并依照《信息披露办法》的有关规定在指定媒介上公告。</w:t>
      </w:r>
    </w:p>
    <w:p w14:paraId="11EA3B6B"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7</w:t>
      </w:r>
      <w:r>
        <w:rPr>
          <w:rFonts w:hint="eastAsia"/>
          <w:sz w:val="21"/>
          <w:szCs w:val="21"/>
        </w:rPr>
        <w:t>、当发生大额申购或赎回情形时，基金管理人可以采用摆动定价机制以确保基金估值的公平性。具体处理原则与操作规范遵循相关法律法规以及监管部门、自律规则的规定。</w:t>
      </w:r>
    </w:p>
    <w:p w14:paraId="61F629D9"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8</w:t>
      </w:r>
      <w:r>
        <w:rPr>
          <w:rFonts w:hint="eastAsia"/>
          <w:sz w:val="21"/>
          <w:szCs w:val="21"/>
        </w:rPr>
        <w:t>、基金管理人可以在不违反法律法规规定及基金合同约定的情形下根据市场情况制定基金促销计划，针对以特定交易方式（如网上交易、电话交易等）等进行基金交易的投资人定期或不定期地开展基金促销活动。在基金促销活动期间，按相关监管部门要求履行必要手续后，基金管理人可以适当调低基金销售费用。</w:t>
      </w:r>
    </w:p>
    <w:p w14:paraId="3BB0499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七、拒绝或暂停申购的情形</w:t>
      </w:r>
    </w:p>
    <w:p w14:paraId="750404F0"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发生下列情况时，基金管理人可拒绝或暂停接受投资人的申购申请：</w:t>
      </w:r>
    </w:p>
    <w:p w14:paraId="363E5849"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1</w:t>
      </w:r>
      <w:r>
        <w:rPr>
          <w:rFonts w:hint="eastAsia"/>
          <w:sz w:val="21"/>
          <w:szCs w:val="21"/>
        </w:rPr>
        <w:t>、因不可抗力导致基金无法正常运作。</w:t>
      </w:r>
    </w:p>
    <w:p w14:paraId="10CDADFB"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2</w:t>
      </w:r>
      <w:r>
        <w:rPr>
          <w:rFonts w:hint="eastAsia"/>
          <w:sz w:val="21"/>
          <w:szCs w:val="21"/>
        </w:rPr>
        <w:t>、发生基金合同规定的暂停基金资产估值情况时，基金管理人可暂停接收投资人的申购申请。</w:t>
      </w:r>
    </w:p>
    <w:p w14:paraId="3D983845"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3</w:t>
      </w:r>
      <w:r>
        <w:rPr>
          <w:rFonts w:hint="eastAsia"/>
          <w:sz w:val="21"/>
          <w:szCs w:val="21"/>
        </w:rPr>
        <w:t>、证券交易所交易时间非正常停市，导致基金管理人无法计算当日基金资产净值。</w:t>
      </w:r>
    </w:p>
    <w:p w14:paraId="13B390DA"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4</w:t>
      </w:r>
      <w:r>
        <w:rPr>
          <w:rFonts w:hint="eastAsia"/>
          <w:sz w:val="21"/>
          <w:szCs w:val="21"/>
        </w:rPr>
        <w:t>、接受某笔或某些申购申请可能会影响或损害现有基金份额持有人利益时。</w:t>
      </w:r>
    </w:p>
    <w:p w14:paraId="6AC8B03E"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5</w:t>
      </w:r>
      <w:r>
        <w:rPr>
          <w:rFonts w:hint="eastAsia"/>
          <w:sz w:val="21"/>
          <w:szCs w:val="21"/>
        </w:rPr>
        <w:t>、基金资产规模过大，使基金管理人无法找到合适的投资品种，或其他可能对基金业绩产生负面影响，从而损害现有基金份额持有人利益的情形。</w:t>
      </w:r>
    </w:p>
    <w:p w14:paraId="301E2B71"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6</w:t>
      </w:r>
      <w:r>
        <w:rPr>
          <w:rFonts w:hint="eastAsia"/>
          <w:sz w:val="21"/>
          <w:szCs w:val="21"/>
        </w:rPr>
        <w:t>、基金管理人接受某笔或者某些申购申请有可能导致单一投资者持有基金份额的比例达到或者超过</w:t>
      </w:r>
      <w:r>
        <w:rPr>
          <w:rFonts w:ascii="Times New Roman" w:hAnsi="Times New Roman" w:cs="Times New Roman"/>
          <w:sz w:val="21"/>
          <w:szCs w:val="21"/>
        </w:rPr>
        <w:t>50%</w:t>
      </w:r>
      <w:r>
        <w:rPr>
          <w:rFonts w:hint="eastAsia"/>
          <w:sz w:val="21"/>
          <w:szCs w:val="21"/>
        </w:rPr>
        <w:t>，或者变相规避</w:t>
      </w:r>
      <w:r>
        <w:rPr>
          <w:rFonts w:ascii="Times New Roman" w:hAnsi="Times New Roman" w:cs="Times New Roman"/>
          <w:sz w:val="21"/>
          <w:szCs w:val="21"/>
        </w:rPr>
        <w:t>50%</w:t>
      </w:r>
      <w:r>
        <w:rPr>
          <w:rFonts w:hint="eastAsia"/>
          <w:sz w:val="21"/>
          <w:szCs w:val="21"/>
        </w:rPr>
        <w:t>集中度的情形时。</w:t>
      </w:r>
    </w:p>
    <w:p w14:paraId="10755DB4"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7</w:t>
      </w:r>
      <w:r>
        <w:rPr>
          <w:rFonts w:hint="eastAsia"/>
          <w:sz w:val="21"/>
          <w:szCs w:val="21"/>
        </w:rPr>
        <w:t>、当前一估值日基金资产净值</w:t>
      </w:r>
      <w:r>
        <w:rPr>
          <w:rFonts w:ascii="Times New Roman" w:hAnsi="Times New Roman" w:cs="Times New Roman"/>
          <w:sz w:val="21"/>
          <w:szCs w:val="21"/>
        </w:rPr>
        <w:t>50%</w:t>
      </w:r>
      <w:r>
        <w:rPr>
          <w:rFonts w:hint="eastAsia"/>
          <w:sz w:val="21"/>
          <w:szCs w:val="21"/>
        </w:rPr>
        <w:t>以上的资产出现无可参考的活跃市场价格且采用估值技术仍导致公允价值存在重大不确定性时，经与基金托管人协商确认后，基金管理人应当暂停接受基金申购申请。</w:t>
      </w:r>
    </w:p>
    <w:p w14:paraId="01987918"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8</w:t>
      </w:r>
      <w:r>
        <w:rPr>
          <w:rFonts w:hint="eastAsia"/>
          <w:sz w:val="21"/>
          <w:szCs w:val="21"/>
        </w:rPr>
        <w:t>、法律法规规定或中国证监会认定的其他情形。</w:t>
      </w:r>
    </w:p>
    <w:p w14:paraId="516A31C2"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发生上述第</w:t>
      </w:r>
      <w:r>
        <w:rPr>
          <w:rFonts w:ascii="Times New Roman" w:hAnsi="Times New Roman" w:cs="Times New Roman"/>
          <w:sz w:val="21"/>
          <w:szCs w:val="21"/>
        </w:rPr>
        <w:t>1</w:t>
      </w:r>
      <w:r>
        <w:rPr>
          <w:rFonts w:hint="eastAsia"/>
          <w:sz w:val="21"/>
          <w:szCs w:val="21"/>
        </w:rPr>
        <w:t>、</w:t>
      </w:r>
      <w:r>
        <w:rPr>
          <w:rFonts w:ascii="Times New Roman" w:hAnsi="Times New Roman" w:cs="Times New Roman"/>
          <w:sz w:val="21"/>
          <w:szCs w:val="21"/>
        </w:rPr>
        <w:t>2</w:t>
      </w:r>
      <w:r>
        <w:rPr>
          <w:rFonts w:hint="eastAsia"/>
          <w:sz w:val="21"/>
          <w:szCs w:val="21"/>
        </w:rPr>
        <w:t>、</w:t>
      </w:r>
      <w:r>
        <w:rPr>
          <w:rFonts w:ascii="Times New Roman" w:hAnsi="Times New Roman" w:cs="Times New Roman"/>
          <w:sz w:val="21"/>
          <w:szCs w:val="21"/>
        </w:rPr>
        <w:t>3</w:t>
      </w:r>
      <w:r>
        <w:rPr>
          <w:rFonts w:hint="eastAsia"/>
          <w:sz w:val="21"/>
          <w:szCs w:val="21"/>
        </w:rPr>
        <w:t>、</w:t>
      </w:r>
      <w:r>
        <w:rPr>
          <w:rFonts w:ascii="Times New Roman" w:hAnsi="Times New Roman" w:cs="Times New Roman"/>
          <w:sz w:val="21"/>
          <w:szCs w:val="21"/>
        </w:rPr>
        <w:t>5</w:t>
      </w:r>
      <w:r>
        <w:rPr>
          <w:rFonts w:hint="eastAsia"/>
          <w:sz w:val="21"/>
          <w:szCs w:val="21"/>
        </w:rPr>
        <w:t>、</w:t>
      </w:r>
      <w:r>
        <w:rPr>
          <w:rFonts w:ascii="Times New Roman" w:hAnsi="Times New Roman" w:cs="Times New Roman"/>
          <w:sz w:val="21"/>
          <w:szCs w:val="21"/>
        </w:rPr>
        <w:t>7</w:t>
      </w:r>
      <w:r>
        <w:rPr>
          <w:rFonts w:hint="eastAsia"/>
          <w:sz w:val="21"/>
          <w:szCs w:val="21"/>
        </w:rPr>
        <w:t>、</w:t>
      </w:r>
      <w:r>
        <w:rPr>
          <w:rFonts w:ascii="Times New Roman" w:hAnsi="Times New Roman" w:cs="Times New Roman"/>
          <w:sz w:val="21"/>
          <w:szCs w:val="21"/>
        </w:rPr>
        <w:t>8</w:t>
      </w:r>
      <w:r>
        <w:rPr>
          <w:rFonts w:hint="eastAsia"/>
          <w:sz w:val="21"/>
          <w:szCs w:val="21"/>
        </w:rPr>
        <w:t>项暂停申购情形时且基金管理人决定暂停申购的，基金管理人应当根据有关规定在指定媒介上刊登暂停申购公告。如果投资人的申购申请被全部</w:t>
      </w:r>
      <w:r>
        <w:rPr>
          <w:rFonts w:hint="eastAsia"/>
          <w:sz w:val="21"/>
          <w:szCs w:val="21"/>
        </w:rPr>
        <w:lastRenderedPageBreak/>
        <w:t>或部分拒绝的，被拒绝的申购款项将退还给投资人。在暂停申购的情况消除时，基金管理人应及时恢复申购业务的办理。</w:t>
      </w:r>
    </w:p>
    <w:p w14:paraId="7203C77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八、暂停赎回或延缓支付赎回款项的情形</w:t>
      </w:r>
    </w:p>
    <w:p w14:paraId="16087D1F"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发生下列情形时，基金管理人可暂停接受投资人的赎回申请或延缓支付赎回款项：</w:t>
      </w:r>
    </w:p>
    <w:p w14:paraId="5EB4D405"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1</w:t>
      </w:r>
      <w:r>
        <w:rPr>
          <w:rFonts w:hint="eastAsia"/>
          <w:sz w:val="21"/>
          <w:szCs w:val="21"/>
        </w:rPr>
        <w:t>、因不可抗力导致基金管理人不能支付赎回款项。</w:t>
      </w:r>
    </w:p>
    <w:p w14:paraId="5A36A1C6"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2</w:t>
      </w:r>
      <w:r>
        <w:rPr>
          <w:rFonts w:hint="eastAsia"/>
          <w:sz w:val="21"/>
          <w:szCs w:val="21"/>
        </w:rPr>
        <w:t>、发生基金合同规定的暂停基金资产估值情况时，基金管理人可暂停接收投资人的赎回申请或延缓支付赎回款项。</w:t>
      </w:r>
    </w:p>
    <w:p w14:paraId="7CE92096"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3</w:t>
      </w:r>
      <w:r>
        <w:rPr>
          <w:rFonts w:hint="eastAsia"/>
          <w:sz w:val="21"/>
          <w:szCs w:val="21"/>
        </w:rPr>
        <w:t>、证券交易所交易时间非正常停市，导致基金管理人无法计算当日基金资产净值。</w:t>
      </w:r>
    </w:p>
    <w:p w14:paraId="16941DC5"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4</w:t>
      </w:r>
      <w:r>
        <w:rPr>
          <w:rFonts w:hint="eastAsia"/>
          <w:sz w:val="21"/>
          <w:szCs w:val="21"/>
        </w:rPr>
        <w:t>、连续两个或两个以上开放日发生巨额赎回。</w:t>
      </w:r>
    </w:p>
    <w:p w14:paraId="4B46CB08"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5</w:t>
      </w:r>
      <w:r>
        <w:rPr>
          <w:rFonts w:hint="eastAsia"/>
          <w:sz w:val="21"/>
          <w:szCs w:val="21"/>
        </w:rPr>
        <w:t>、继续接受赎回申请将损害现有基金份额持有人利益的情形时，可暂停接受投资人的赎回申请。</w:t>
      </w:r>
    </w:p>
    <w:p w14:paraId="75E7E225"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6</w:t>
      </w:r>
      <w:r>
        <w:rPr>
          <w:rFonts w:hint="eastAsia"/>
          <w:sz w:val="21"/>
          <w:szCs w:val="21"/>
        </w:rPr>
        <w:t>、当前一估值日基金资产净值</w:t>
      </w:r>
      <w:r>
        <w:rPr>
          <w:rFonts w:ascii="Times New Roman" w:hAnsi="Times New Roman" w:cs="Times New Roman"/>
          <w:sz w:val="21"/>
          <w:szCs w:val="21"/>
        </w:rPr>
        <w:t>50%</w:t>
      </w:r>
      <w:r>
        <w:rPr>
          <w:rFonts w:hint="eastAsia"/>
          <w:sz w:val="21"/>
          <w:szCs w:val="21"/>
        </w:rPr>
        <w:t>以上的资产出现无可参考的活跃市场价格且采用估值技术仍导致公允价值存在重大不确定性时，经与基金托管人协商确认后，基金管理人应当延缓支付赎回款项或暂停接受基金赎回申请。</w:t>
      </w:r>
    </w:p>
    <w:p w14:paraId="5BDBA964"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7</w:t>
      </w:r>
      <w:r>
        <w:rPr>
          <w:rFonts w:hint="eastAsia"/>
          <w:sz w:val="21"/>
          <w:szCs w:val="21"/>
        </w:rPr>
        <w:t>、法律法规规定或中国证监会认定的其他情形。</w:t>
      </w:r>
    </w:p>
    <w:p w14:paraId="14FE363A"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发生上述情形时且基金管理人决定暂停赎回或延缓支付赎回款项的，基金管理人应在当日报中国证监会备案，已确认的赎回申请，基金管理人应足额支付；如暂时不能足额支付，应将可支付部分按单个账户申请量占申请总量的比例分配给赎回申请人，未支付部分可延期支付。若出现上述第</w:t>
      </w:r>
      <w:r>
        <w:rPr>
          <w:rFonts w:ascii="Times New Roman" w:hAnsi="Times New Roman" w:cs="Times New Roman"/>
          <w:sz w:val="21"/>
          <w:szCs w:val="21"/>
        </w:rPr>
        <w:t>4</w:t>
      </w:r>
      <w:r>
        <w:rPr>
          <w:rFonts w:hint="eastAsia"/>
          <w:sz w:val="21"/>
          <w:szCs w:val="21"/>
        </w:rPr>
        <w:t>项所述情形，按基金合同的相关条款处理。基金份额持有人在申请赎回时可事先选择将当日可能未获受理部分予以撤销。在暂停赎回的情况消除时，基金管理人应及时恢复赎回业务的办理并公告。</w:t>
      </w:r>
    </w:p>
    <w:p w14:paraId="7772FAD3"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九、巨额赎回的情形及处理方式</w:t>
      </w:r>
    </w:p>
    <w:p w14:paraId="110D73DB"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1</w:t>
      </w:r>
      <w:r>
        <w:rPr>
          <w:rFonts w:hint="eastAsia"/>
          <w:sz w:val="21"/>
          <w:szCs w:val="21"/>
        </w:rPr>
        <w:t>、巨额赎回的认定</w:t>
      </w:r>
    </w:p>
    <w:p w14:paraId="4C224E22"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r>
        <w:rPr>
          <w:rFonts w:ascii="Times New Roman" w:hAnsi="Times New Roman" w:cs="Times New Roman"/>
          <w:sz w:val="21"/>
          <w:szCs w:val="21"/>
        </w:rPr>
        <w:t>10%</w:t>
      </w:r>
      <w:r>
        <w:rPr>
          <w:rFonts w:hint="eastAsia"/>
          <w:sz w:val="21"/>
          <w:szCs w:val="21"/>
        </w:rPr>
        <w:t>，即认为是发生了巨额赎回。</w:t>
      </w:r>
    </w:p>
    <w:p w14:paraId="5B1C4352"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2</w:t>
      </w:r>
      <w:r>
        <w:rPr>
          <w:rFonts w:hint="eastAsia"/>
          <w:sz w:val="21"/>
          <w:szCs w:val="21"/>
        </w:rPr>
        <w:t>、巨额赎回的处理方式</w:t>
      </w:r>
    </w:p>
    <w:p w14:paraId="664F79E0"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当基金出现巨额赎回时，基金管理人可以根据基金当时的资产组合状况决定全额赎回或部分延期赎回。</w:t>
      </w:r>
    </w:p>
    <w:p w14:paraId="12038575"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）全额赎回：当基金管理人认为有能力支付投资人的全部赎回申请时，按正常赎回程序执行。</w:t>
      </w:r>
    </w:p>
    <w:p w14:paraId="2C238F61"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Pr>
          <w:rFonts w:ascii="Times New Roman" w:hAnsi="Times New Roman" w:cs="Times New Roman"/>
          <w:sz w:val="21"/>
          <w:szCs w:val="21"/>
        </w:rPr>
        <w:t>10%</w:t>
      </w:r>
      <w:r>
        <w:rPr>
          <w:rFonts w:hint="eastAsia"/>
          <w:sz w:val="21"/>
          <w:szCs w:val="21"/>
        </w:rPr>
        <w:t>的前提下，可对其余赎回申请延期</w:t>
      </w:r>
      <w:r>
        <w:rPr>
          <w:rFonts w:hint="eastAsia"/>
          <w:sz w:val="21"/>
          <w:szCs w:val="21"/>
        </w:rPr>
        <w:lastRenderedPageBreak/>
        <w:t>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6B4046B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）暂停赎回：连续</w:t>
      </w:r>
      <w:r>
        <w:rPr>
          <w:rFonts w:ascii="Times New Roman" w:hAnsi="Times New Roman" w:cs="Times New Roman"/>
          <w:sz w:val="21"/>
          <w:szCs w:val="21"/>
        </w:rPr>
        <w:t>2</w:t>
      </w:r>
      <w:r>
        <w:rPr>
          <w:rFonts w:hint="eastAsia"/>
          <w:sz w:val="21"/>
          <w:szCs w:val="21"/>
        </w:rPr>
        <w:t>日以上（含本数）发生巨额赎回，如基金管理人认为有必要，可暂停接受基金的赎回申请；已经接受的赎回申请可以延缓支付赎回款项，但不得超过</w:t>
      </w:r>
      <w:r>
        <w:rPr>
          <w:rFonts w:ascii="Times New Roman" w:hAnsi="Times New Roman" w:cs="Times New Roman"/>
          <w:sz w:val="21"/>
          <w:szCs w:val="21"/>
        </w:rPr>
        <w:t>20</w:t>
      </w:r>
      <w:r>
        <w:rPr>
          <w:rFonts w:hint="eastAsia"/>
          <w:sz w:val="21"/>
          <w:szCs w:val="21"/>
        </w:rPr>
        <w:t>个工作日，并应当在指定媒介上进行公告。</w:t>
      </w:r>
    </w:p>
    <w:p w14:paraId="1BE5C974"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）若基金发生巨额赎回，在当日存在单个基金份额持有人超过上一开放日基金总份额</w:t>
      </w:r>
      <w:r>
        <w:rPr>
          <w:rFonts w:ascii="Times New Roman" w:hAnsi="Times New Roman" w:cs="Times New Roman"/>
          <w:sz w:val="21"/>
          <w:szCs w:val="21"/>
        </w:rPr>
        <w:t>10%</w:t>
      </w:r>
      <w:r>
        <w:rPr>
          <w:rFonts w:hint="eastAsia"/>
          <w:sz w:val="21"/>
          <w:szCs w:val="21"/>
        </w:rPr>
        <w:t>以上的赎回申请（“大额赎回申请人”）的情形下，基金管理人可以延期办理赎回申请。对其他赎回申请人（“小额赎回申请人”）和大额赎回申请人</w:t>
      </w:r>
      <w:r>
        <w:rPr>
          <w:rFonts w:ascii="Times New Roman" w:hAnsi="Times New Roman" w:cs="Times New Roman"/>
          <w:sz w:val="21"/>
          <w:szCs w:val="21"/>
        </w:rPr>
        <w:t>10%</w:t>
      </w:r>
      <w:r>
        <w:rPr>
          <w:rFonts w:hint="eastAsia"/>
          <w:sz w:val="21"/>
          <w:szCs w:val="21"/>
        </w:rPr>
        <w:t>以内的赎回申请在当日根据前述“（</w:t>
      </w:r>
      <w:r>
        <w:rPr>
          <w:rFonts w:ascii="Times New Roman" w:hAnsi="Times New Roman" w:cs="Times New Roman"/>
          <w:sz w:val="21"/>
          <w:szCs w:val="21"/>
        </w:rPr>
        <w:t>1</w:t>
      </w:r>
      <w:r>
        <w:rPr>
          <w:rFonts w:hint="eastAsia"/>
          <w:sz w:val="21"/>
          <w:szCs w:val="21"/>
        </w:rPr>
        <w:t>）全额赎回”或“（</w:t>
      </w:r>
      <w:r>
        <w:rPr>
          <w:rFonts w:ascii="Times New Roman" w:hAnsi="Times New Roman" w:cs="Times New Roman"/>
          <w:sz w:val="21"/>
          <w:szCs w:val="21"/>
        </w:rPr>
        <w:t>2</w:t>
      </w:r>
      <w:r>
        <w:rPr>
          <w:rFonts w:hint="eastAsia"/>
          <w:sz w:val="21"/>
          <w:szCs w:val="21"/>
        </w:rPr>
        <w:t>）部分延期赎回”的约定方式办理，在仍可接受赎回申请的范围内对大额赎回申请人超过</w:t>
      </w:r>
      <w:r>
        <w:rPr>
          <w:rFonts w:ascii="Times New Roman" w:hAnsi="Times New Roman" w:cs="Times New Roman"/>
          <w:sz w:val="21"/>
          <w:szCs w:val="21"/>
        </w:rPr>
        <w:t>10%</w:t>
      </w:r>
      <w:r>
        <w:rPr>
          <w:rFonts w:hint="eastAsia"/>
          <w:sz w:val="21"/>
          <w:szCs w:val="21"/>
        </w:rPr>
        <w:t>的赎回申请按比例确认。对当日未予确认的赎回申请进行延期办理。对于未能赎回部分，基金份额持有人在提交赎回申请时可以选择延期赎回或取消赎回。选择取消赎回的，当日未获受理的部分赎回申请将被撤销；选择延期赎回的，当日未获受理的赎回申请将与下一开放日赎回申请一并处理，无优先权并以下一开放日的基金份额净值为基础计算赎回金额，以此类推。如基金份额持有人在提交赎回申请时未作明确选择，基金份额持有人未能赎回部分作自动延期赎回处理。</w:t>
      </w:r>
    </w:p>
    <w:p w14:paraId="596E1B11"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3</w:t>
      </w:r>
      <w:r>
        <w:rPr>
          <w:rFonts w:hint="eastAsia"/>
          <w:sz w:val="21"/>
          <w:szCs w:val="21"/>
        </w:rPr>
        <w:t>、巨额赎回的公告</w:t>
      </w:r>
    </w:p>
    <w:p w14:paraId="7011304B" w14:textId="16D257F6"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当发生上述延期赎回并延期办理时，基金管理人应当通过邮寄、传真或者招募说明书规定的其他方式在</w:t>
      </w:r>
      <w:r>
        <w:rPr>
          <w:rFonts w:ascii="Times New Roman" w:hAnsi="Times New Roman" w:cs="Times New Roman"/>
          <w:sz w:val="21"/>
          <w:szCs w:val="21"/>
        </w:rPr>
        <w:t>3</w:t>
      </w:r>
      <w:r>
        <w:rPr>
          <w:rFonts w:hint="eastAsia"/>
          <w:sz w:val="21"/>
          <w:szCs w:val="21"/>
        </w:rPr>
        <w:t>个交易日内通知基金份额持有人，说明有关处理方法，</w:t>
      </w:r>
      <w:r w:rsidR="00BE6383" w:rsidRPr="00BE6383">
        <w:rPr>
          <w:rFonts w:hint="eastAsia"/>
          <w:bCs/>
          <w:sz w:val="21"/>
          <w:szCs w:val="21"/>
        </w:rPr>
        <w:t>并</w:t>
      </w:r>
      <w:r w:rsidR="00BE6383" w:rsidRPr="00BE6383">
        <w:rPr>
          <w:bCs/>
          <w:sz w:val="21"/>
          <w:szCs w:val="21"/>
        </w:rPr>
        <w:t>在</w:t>
      </w:r>
      <w:r w:rsidR="00BE6383" w:rsidRPr="00BE6383">
        <w:rPr>
          <w:rFonts w:hint="eastAsia"/>
          <w:bCs/>
          <w:sz w:val="21"/>
          <w:szCs w:val="21"/>
        </w:rPr>
        <w:t>2日</w:t>
      </w:r>
      <w:r w:rsidR="00BE6383" w:rsidRPr="00BE6383">
        <w:rPr>
          <w:bCs/>
          <w:sz w:val="21"/>
          <w:szCs w:val="21"/>
        </w:rPr>
        <w:t>内</w:t>
      </w:r>
      <w:r>
        <w:rPr>
          <w:rFonts w:hint="eastAsia"/>
          <w:sz w:val="21"/>
          <w:szCs w:val="21"/>
        </w:rPr>
        <w:t>在指定媒介上刊登公告。</w:t>
      </w:r>
    </w:p>
    <w:p w14:paraId="5E769445"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十、暂停申购或赎回的公告和重新开放申购或赎回的公告</w:t>
      </w:r>
    </w:p>
    <w:p w14:paraId="062311FB" w14:textId="1E853B48"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1</w:t>
      </w:r>
      <w:r>
        <w:rPr>
          <w:rFonts w:hint="eastAsia"/>
          <w:sz w:val="21"/>
          <w:szCs w:val="21"/>
        </w:rPr>
        <w:t>、发生上述暂停申购或赎回情况的，</w:t>
      </w:r>
      <w:r w:rsidR="00BE6383" w:rsidRPr="00BE6383">
        <w:rPr>
          <w:bCs/>
          <w:sz w:val="21"/>
          <w:szCs w:val="21"/>
        </w:rPr>
        <w:t>基金管理人应在规定期限内在指定</w:t>
      </w:r>
      <w:r w:rsidR="00BE6383" w:rsidRPr="00BE6383">
        <w:rPr>
          <w:rFonts w:hint="eastAsia"/>
          <w:bCs/>
          <w:sz w:val="21"/>
          <w:szCs w:val="21"/>
        </w:rPr>
        <w:t>媒介</w:t>
      </w:r>
      <w:r w:rsidR="00BE6383" w:rsidRPr="00BE6383">
        <w:rPr>
          <w:bCs/>
          <w:sz w:val="21"/>
          <w:szCs w:val="21"/>
        </w:rPr>
        <w:t>上刊登暂停公告。</w:t>
      </w:r>
    </w:p>
    <w:p w14:paraId="0A7587C7"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2</w:t>
      </w:r>
      <w:r>
        <w:rPr>
          <w:rFonts w:hint="eastAsia"/>
          <w:sz w:val="21"/>
          <w:szCs w:val="21"/>
        </w:rPr>
        <w:t>、如发生暂停的时间为</w:t>
      </w:r>
      <w:r>
        <w:rPr>
          <w:rFonts w:ascii="Times New Roman" w:hAnsi="Times New Roman" w:cs="Times New Roman"/>
          <w:sz w:val="21"/>
          <w:szCs w:val="21"/>
        </w:rPr>
        <w:t>1</w:t>
      </w:r>
      <w:r>
        <w:rPr>
          <w:rFonts w:hint="eastAsia"/>
          <w:sz w:val="21"/>
          <w:szCs w:val="21"/>
        </w:rPr>
        <w:t>日，基金管理人应于重新开放日，在指定媒介上刊登基金重新开放申购或赎回公告，并公布最近</w:t>
      </w:r>
      <w:r>
        <w:rPr>
          <w:rFonts w:ascii="Times New Roman" w:hAnsi="Times New Roman" w:cs="Times New Roman"/>
          <w:sz w:val="21"/>
          <w:szCs w:val="21"/>
        </w:rPr>
        <w:t>1</w:t>
      </w:r>
      <w:r>
        <w:rPr>
          <w:rFonts w:hint="eastAsia"/>
          <w:sz w:val="21"/>
          <w:szCs w:val="21"/>
        </w:rPr>
        <w:t>个开放日的基金份额净值。</w:t>
      </w:r>
    </w:p>
    <w:p w14:paraId="59E69C9B"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3</w:t>
      </w:r>
      <w:r>
        <w:rPr>
          <w:rFonts w:hint="eastAsia"/>
          <w:sz w:val="21"/>
          <w:szCs w:val="21"/>
        </w:rPr>
        <w:t>、如发生暂停的时间超过</w:t>
      </w:r>
      <w:r>
        <w:rPr>
          <w:rFonts w:ascii="Times New Roman" w:hAnsi="Times New Roman" w:cs="Times New Roman"/>
          <w:sz w:val="21"/>
          <w:szCs w:val="21"/>
        </w:rPr>
        <w:t>1</w:t>
      </w:r>
      <w:r>
        <w:rPr>
          <w:rFonts w:hint="eastAsia"/>
          <w:sz w:val="21"/>
          <w:szCs w:val="21"/>
        </w:rPr>
        <w:t>日但少于</w:t>
      </w:r>
      <w:r>
        <w:rPr>
          <w:rFonts w:ascii="Times New Roman" w:hAnsi="Times New Roman" w:cs="Times New Roman"/>
          <w:sz w:val="21"/>
          <w:szCs w:val="21"/>
        </w:rPr>
        <w:t>2</w:t>
      </w:r>
      <w:r>
        <w:rPr>
          <w:rFonts w:hint="eastAsia"/>
          <w:sz w:val="21"/>
          <w:szCs w:val="21"/>
        </w:rPr>
        <w:t>周（含</w:t>
      </w:r>
      <w:r>
        <w:rPr>
          <w:rFonts w:ascii="Times New Roman" w:hAnsi="Times New Roman" w:cs="Times New Roman"/>
          <w:sz w:val="21"/>
          <w:szCs w:val="21"/>
        </w:rPr>
        <w:t>2</w:t>
      </w:r>
      <w:r>
        <w:rPr>
          <w:rFonts w:hint="eastAsia"/>
          <w:sz w:val="21"/>
          <w:szCs w:val="21"/>
        </w:rPr>
        <w:t>周），暂停结束，基金重新开放申购或赎回时，基金管理人依照有关法律法规的规定在指定媒介上刊登基金重新开放申购或赎回公告，并公布最近</w:t>
      </w:r>
      <w:r>
        <w:rPr>
          <w:rFonts w:ascii="Times New Roman" w:hAnsi="Times New Roman" w:cs="Times New Roman"/>
          <w:sz w:val="21"/>
          <w:szCs w:val="21"/>
        </w:rPr>
        <w:t>1</w:t>
      </w:r>
      <w:r>
        <w:rPr>
          <w:rFonts w:hint="eastAsia"/>
          <w:sz w:val="21"/>
          <w:szCs w:val="21"/>
        </w:rPr>
        <w:t>个开放日的基金份额净值。</w:t>
      </w:r>
    </w:p>
    <w:p w14:paraId="7F12D2CD" w14:textId="77777777" w:rsidR="00D0083C" w:rsidRDefault="00854AE5">
      <w:pPr>
        <w:pStyle w:val="a3"/>
        <w:spacing w:before="0" w:beforeAutospacing="0" w:after="0" w:afterAutospacing="0" w:line="360" w:lineRule="auto"/>
        <w:ind w:firstLine="420"/>
        <w:jc w:val="both"/>
        <w:divId w:val="1994599321"/>
        <w:rPr>
          <w:sz w:val="21"/>
          <w:szCs w:val="21"/>
        </w:rPr>
      </w:pPr>
      <w:r>
        <w:rPr>
          <w:rFonts w:ascii="Times New Roman" w:hAnsi="Times New Roman" w:cs="Times New Roman"/>
          <w:sz w:val="21"/>
          <w:szCs w:val="21"/>
        </w:rPr>
        <w:t>4</w:t>
      </w:r>
      <w:r>
        <w:rPr>
          <w:rFonts w:hint="eastAsia"/>
          <w:sz w:val="21"/>
          <w:szCs w:val="21"/>
        </w:rPr>
        <w:t>、如发生暂停的时间超过</w:t>
      </w:r>
      <w:r>
        <w:rPr>
          <w:rFonts w:ascii="Times New Roman" w:hAnsi="Times New Roman" w:cs="Times New Roman"/>
          <w:sz w:val="21"/>
          <w:szCs w:val="21"/>
        </w:rPr>
        <w:t>2</w:t>
      </w:r>
      <w:r>
        <w:rPr>
          <w:rFonts w:hint="eastAsia"/>
          <w:sz w:val="21"/>
          <w:szCs w:val="21"/>
        </w:rPr>
        <w:t>周，暂停期间，基金管理人应每</w:t>
      </w:r>
      <w:r>
        <w:rPr>
          <w:rFonts w:ascii="Times New Roman" w:hAnsi="Times New Roman" w:cs="Times New Roman"/>
          <w:sz w:val="21"/>
          <w:szCs w:val="21"/>
        </w:rPr>
        <w:t>2</w:t>
      </w:r>
      <w:r>
        <w:rPr>
          <w:rFonts w:hint="eastAsia"/>
          <w:sz w:val="21"/>
          <w:szCs w:val="21"/>
        </w:rPr>
        <w:t>周至少刊登暂停公告</w:t>
      </w:r>
      <w:r>
        <w:rPr>
          <w:rFonts w:ascii="Times New Roman" w:hAnsi="Times New Roman" w:cs="Times New Roman"/>
          <w:sz w:val="21"/>
          <w:szCs w:val="21"/>
        </w:rPr>
        <w:t>1</w:t>
      </w:r>
      <w:r>
        <w:rPr>
          <w:rFonts w:hint="eastAsia"/>
          <w:sz w:val="21"/>
          <w:szCs w:val="21"/>
        </w:rPr>
        <w:t>次。当连续暂停时间超过</w:t>
      </w:r>
      <w:r>
        <w:rPr>
          <w:rFonts w:ascii="Times New Roman" w:hAnsi="Times New Roman" w:cs="Times New Roman"/>
          <w:sz w:val="21"/>
          <w:szCs w:val="21"/>
        </w:rPr>
        <w:t>2</w:t>
      </w:r>
      <w:r>
        <w:rPr>
          <w:rFonts w:hint="eastAsia"/>
          <w:sz w:val="21"/>
          <w:szCs w:val="21"/>
        </w:rPr>
        <w:t>个月的，基金管理人可以调整刊登公告的频率。暂停结束，基</w:t>
      </w:r>
      <w:r>
        <w:rPr>
          <w:rFonts w:hint="eastAsia"/>
          <w:sz w:val="21"/>
          <w:szCs w:val="21"/>
        </w:rPr>
        <w:lastRenderedPageBreak/>
        <w:t>金重新开放申购或赎回时，基金管理人依照有关法律法规的规定在指定媒介上连续刊登基金重新开放申购或赎回公告，并公布最近</w:t>
      </w:r>
      <w:r>
        <w:rPr>
          <w:rFonts w:ascii="Times New Roman" w:hAnsi="Times New Roman" w:cs="Times New Roman"/>
          <w:sz w:val="21"/>
          <w:szCs w:val="21"/>
        </w:rPr>
        <w:t>1</w:t>
      </w:r>
      <w:r>
        <w:rPr>
          <w:rFonts w:hint="eastAsia"/>
          <w:sz w:val="21"/>
          <w:szCs w:val="21"/>
        </w:rPr>
        <w:t>个开放日的基金份额净值。</w:t>
      </w:r>
    </w:p>
    <w:p w14:paraId="102E034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十一、基金转换</w:t>
      </w:r>
    </w:p>
    <w:p w14:paraId="5040778F"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14:paraId="54378EB3"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十二、基金的非交易过户</w:t>
      </w:r>
    </w:p>
    <w:p w14:paraId="726A5C7D"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756B241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2A5469C9"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十三、基金的转托管</w:t>
      </w:r>
    </w:p>
    <w:p w14:paraId="036B1F5C"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基金份额持有人可办理已持有基金份额在不同销售机构之间的转托管，基金销售机构可以按照规定的标准收取转托管费。</w:t>
      </w:r>
    </w:p>
    <w:p w14:paraId="3F9ED002"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十四、定期定额投资计划</w:t>
      </w:r>
    </w:p>
    <w:p w14:paraId="4A9EB06C"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14:paraId="44E2F4F4"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十五、基金份额的冻结和解冻</w:t>
      </w:r>
    </w:p>
    <w:p w14:paraId="51DC06B0"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基金登记机构只受理国家有权机关依法要求的基金份额的冻结与解冻，以及登记机构认可、符合法律法规的其他情况下的冻结与解冻。</w:t>
      </w:r>
    </w:p>
    <w:p w14:paraId="00F963CF"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 xml:space="preserve">十六、基金份额的转让 </w:t>
      </w:r>
    </w:p>
    <w:p w14:paraId="7A76B5D1"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372A06EB"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t>十七、其他业务</w:t>
      </w:r>
    </w:p>
    <w:p w14:paraId="62582B47" w14:textId="77777777" w:rsidR="00D0083C" w:rsidRDefault="00854AE5">
      <w:pPr>
        <w:pStyle w:val="a3"/>
        <w:spacing w:before="0" w:beforeAutospacing="0" w:after="0" w:afterAutospacing="0" w:line="360" w:lineRule="auto"/>
        <w:ind w:firstLine="420"/>
        <w:jc w:val="both"/>
        <w:divId w:val="1994599321"/>
        <w:rPr>
          <w:sz w:val="21"/>
          <w:szCs w:val="21"/>
        </w:rPr>
      </w:pPr>
      <w:r>
        <w:rPr>
          <w:rFonts w:hint="eastAsia"/>
          <w:sz w:val="21"/>
          <w:szCs w:val="21"/>
        </w:rPr>
        <w:lastRenderedPageBreak/>
        <w:t>在不违反法律法规及中国证监会规定的前提下，基金管理人可在对基金份额持有人利益无实质性不利影响的情形下办理基金份额的质押业务或其他基金业务，基金管理人可制定相应的业务规则，并依照《信息披露办法》的有关规定进行公告。</w:t>
      </w:r>
    </w:p>
    <w:p w14:paraId="6B812EB0" w14:textId="77777777" w:rsidR="00D0083C" w:rsidRDefault="00854AE5">
      <w:pPr>
        <w:pStyle w:val="1"/>
        <w:spacing w:before="240" w:line="360" w:lineRule="auto"/>
        <w:jc w:val="center"/>
        <w:divId w:val="1225483252"/>
        <w:rPr>
          <w:sz w:val="24"/>
          <w:szCs w:val="24"/>
        </w:rPr>
      </w:pPr>
      <w:bookmarkStart w:id="33" w:name="_Toc387824875"/>
      <w:r>
        <w:rPr>
          <w:rFonts w:hint="eastAsia"/>
          <w:sz w:val="24"/>
          <w:szCs w:val="24"/>
        </w:rPr>
        <w:t>第八部分</w:t>
      </w:r>
      <w:r>
        <w:rPr>
          <w:rFonts w:hint="eastAsia"/>
          <w:sz w:val="24"/>
          <w:szCs w:val="24"/>
        </w:rPr>
        <w:t xml:space="preserve"> </w:t>
      </w:r>
      <w:r>
        <w:rPr>
          <w:rFonts w:hint="eastAsia"/>
          <w:sz w:val="24"/>
          <w:szCs w:val="24"/>
        </w:rPr>
        <w:t>基金的投资</w:t>
      </w:r>
      <w:bookmarkEnd w:id="33"/>
    </w:p>
    <w:p w14:paraId="55E9055B" w14:textId="77777777" w:rsidR="00D0083C" w:rsidRDefault="00854AE5">
      <w:pPr>
        <w:pStyle w:val="a3"/>
        <w:spacing w:before="0" w:beforeAutospacing="0" w:after="0" w:afterAutospacing="0" w:line="360" w:lineRule="auto"/>
        <w:ind w:firstLine="420"/>
        <w:jc w:val="both"/>
        <w:divId w:val="1225483252"/>
        <w:rPr>
          <w:sz w:val="21"/>
          <w:szCs w:val="21"/>
        </w:rPr>
      </w:pPr>
      <w:bookmarkStart w:id="34" w:name="_Toc79392634"/>
      <w:r>
        <w:rPr>
          <w:rFonts w:hint="eastAsia"/>
          <w:sz w:val="21"/>
          <w:szCs w:val="21"/>
        </w:rPr>
        <w:t>一、投资目标</w:t>
      </w:r>
    </w:p>
    <w:p w14:paraId="677F51CB"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在严格控制风险的基础上，通过利差分析和对利率曲线变动趋势的判断，提高资金流动性和收益率水平，力争取得超越基金业绩比较基准的收益。</w:t>
      </w:r>
    </w:p>
    <w:p w14:paraId="1A71BB81"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二、投资范围</w:t>
      </w:r>
    </w:p>
    <w:p w14:paraId="183306C7"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的投资范围主要为具有良好流动性的固定收益类品种，包括国债、金融债、企业债、公司债、央行票据、地方政府债、中期票据、短期融资券、可分离交易可转债的纯债部分、资产支持证券、中小企业私募债、次级债、同业存单、债券回购、银行存款等法律法规或中国证监会允许基金投资的其他固定收益类金融工具（但须符合中国证监会的相关规定）。本基金不投资于股票、权证等权益类资产，也不投资于可转换债券（可分离交易可转债的纯债部分除外）、可交换债券。</w:t>
      </w:r>
    </w:p>
    <w:p w14:paraId="7897BBA2"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如法律法规或监管机构以后允许基金投资其他品种，基金管理人在履行适当程序后，可以将其纳入投资范围。</w:t>
      </w:r>
    </w:p>
    <w:p w14:paraId="700630A8"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基金的投资组合比例为：本基金对债券的投资比例不低于基金资产的</w:t>
      </w:r>
      <w:r>
        <w:rPr>
          <w:rFonts w:ascii="Times New Roman" w:hAnsi="Times New Roman" w:cs="Times New Roman"/>
          <w:sz w:val="21"/>
          <w:szCs w:val="21"/>
        </w:rPr>
        <w:t>80%</w:t>
      </w:r>
      <w:r>
        <w:rPr>
          <w:rFonts w:hint="eastAsia"/>
          <w:sz w:val="21"/>
          <w:szCs w:val="21"/>
        </w:rPr>
        <w:t>，现金或到期日在一年以内的政府债券的投资比例不低于基金资产净值的</w:t>
      </w:r>
      <w:r>
        <w:rPr>
          <w:rFonts w:ascii="Times New Roman" w:hAnsi="Times New Roman" w:cs="Times New Roman"/>
          <w:sz w:val="21"/>
          <w:szCs w:val="21"/>
        </w:rPr>
        <w:t>5%</w:t>
      </w:r>
      <w:r>
        <w:rPr>
          <w:rFonts w:hint="eastAsia"/>
          <w:sz w:val="21"/>
          <w:szCs w:val="21"/>
        </w:rPr>
        <w:t>，其中现金不包括结算备付金、存出保证金、应收申购款等。</w:t>
      </w:r>
    </w:p>
    <w:p w14:paraId="38859225"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如法律法规或中国证监会变更投资品种的投资比例限制，基金管理人在履行适当程序后，可以调整上述投资品种的投资比例。</w:t>
      </w:r>
    </w:p>
    <w:p w14:paraId="77446BAE"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三、投资策略</w:t>
      </w:r>
    </w:p>
    <w:p w14:paraId="16E3F50A"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债券投资将主要采取久期策略，同时辅之以信用利差策略、收益率曲线策略、收益率利差策略、息差策略、债券选择策略等积极投资策略，在严格控制风险的基础上，通过利差分析和对利率曲线变动趋势的判断，提高资金流动性和收益率水平，力争取得超越基金业绩比较基准的收益。</w:t>
      </w:r>
    </w:p>
    <w:p w14:paraId="423C39CE"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1</w:t>
      </w:r>
      <w:r>
        <w:rPr>
          <w:rFonts w:hint="eastAsia"/>
          <w:sz w:val="21"/>
          <w:szCs w:val="21"/>
        </w:rPr>
        <w:t>、久期策略</w:t>
      </w:r>
    </w:p>
    <w:p w14:paraId="1B825E04"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将主要采取久期策略，通过自上而下的组合久期管理策略，以实现对组合利率风险的有效控制。为控制风险，本基金采用以“目标久期”为中心的资产配置方式。目标久期的设定划分为两个层次：战略性配置和战术性配置。“目标久期”的战略性配置由投资决策委员会确定，主要根据对宏观经济和资本市场的预测分析决定组合的目标久期。“目标久期”的战术性配置由基金经理根据市场短期因素的影响在战略性配置预先设定的</w:t>
      </w:r>
      <w:r>
        <w:rPr>
          <w:rFonts w:hint="eastAsia"/>
          <w:sz w:val="21"/>
          <w:szCs w:val="21"/>
        </w:rPr>
        <w:lastRenderedPageBreak/>
        <w:t>范围内进行调整。如果预期利率下降，本基金将增加组合的久期，直至接近目标久期上限，以较多地获得债券价格上升带来的收益；反之，如果预期利率上升，本基金将缩短组合的久期，直至目标久期下限，以减小债券价格下降带来的风险。</w:t>
      </w:r>
    </w:p>
    <w:p w14:paraId="735D928C"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2</w:t>
      </w:r>
      <w:r>
        <w:rPr>
          <w:rFonts w:hint="eastAsia"/>
          <w:sz w:val="21"/>
          <w:szCs w:val="21"/>
        </w:rPr>
        <w:t>、收益率曲线策略</w:t>
      </w:r>
    </w:p>
    <w:p w14:paraId="67CBEF8E"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收益率曲线的形状变化是判断市场整体走向的依据之一， 本基金将据此调整组合长、中、短期债券的搭配。本基金将通过对收益率曲线变化的预测</w:t>
      </w:r>
      <w:r>
        <w:rPr>
          <w:rFonts w:ascii="Times New Roman" w:hAnsi="Times New Roman" w:cs="Times New Roman"/>
          <w:sz w:val="21"/>
          <w:szCs w:val="21"/>
        </w:rPr>
        <w:t xml:space="preserve">, </w:t>
      </w:r>
      <w:r>
        <w:rPr>
          <w:rFonts w:hint="eastAsia"/>
          <w:sz w:val="21"/>
          <w:szCs w:val="21"/>
        </w:rPr>
        <w:t>适时采用子弹式、杠铃或梯形策略构造组合，并进行动态调整。</w:t>
      </w:r>
    </w:p>
    <w:p w14:paraId="15B20D9B"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3</w:t>
      </w:r>
      <w:r>
        <w:rPr>
          <w:rFonts w:hint="eastAsia"/>
          <w:sz w:val="21"/>
          <w:szCs w:val="21"/>
        </w:rPr>
        <w:t>、骑乘策略</w:t>
      </w:r>
    </w:p>
    <w:p w14:paraId="6AC09FD0"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将采用骑乘策略增强组合的持有期收益。这一策略即通过对收益率曲线的分析，在可选的目标久期区间买入期限位于收益率曲线较陡峭处右侧的债券。在收益率曲线不变动的情况下，随着其剩余期限的衰减，债券收益率将沿着陡峭的收益率曲线有较大幅的下滑，从而获得较高的资本收益；即使收益率曲线上升或进一步变陡，这一策略也能够提供更多的安全边际。</w:t>
      </w:r>
    </w:p>
    <w:p w14:paraId="7ABFEAB7"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4</w:t>
      </w:r>
      <w:r>
        <w:rPr>
          <w:rFonts w:hint="eastAsia"/>
          <w:sz w:val="21"/>
          <w:szCs w:val="21"/>
        </w:rPr>
        <w:t>、息差策略</w:t>
      </w:r>
    </w:p>
    <w:p w14:paraId="2F9C6DDC"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本基金将利用回购利率低于债券收益率的情形，通过正回购将所获得的资金投资于债券，利用杠杆放大债券投资的收益。</w:t>
      </w:r>
    </w:p>
    <w:p w14:paraId="1F2F62AC"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5</w:t>
      </w:r>
      <w:r>
        <w:rPr>
          <w:rFonts w:hint="eastAsia"/>
          <w:sz w:val="21"/>
          <w:szCs w:val="21"/>
        </w:rPr>
        <w:t>、债券选择策略</w:t>
      </w:r>
    </w:p>
    <w:p w14:paraId="77E91A7A"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根据单个债券到期收益率相对于市场收益率曲线的偏离程度，结合信用等级、流动性、选择权条款、税赋特点等因素，确定其投资价值，选择定价合理或价值被低估的债券进行投资。</w:t>
      </w:r>
    </w:p>
    <w:p w14:paraId="44A9AACA"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6</w:t>
      </w:r>
      <w:r>
        <w:rPr>
          <w:rFonts w:hint="eastAsia"/>
          <w:sz w:val="21"/>
          <w:szCs w:val="21"/>
        </w:rPr>
        <w:t>、中小企业私募债投资策略</w:t>
      </w:r>
    </w:p>
    <w:p w14:paraId="3C09D396"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将深入研究发行人资信及公司运营情况，与中小企业私募债券承销券商紧密合作，合理合规合格地进行中小企业私募债券投资。本基金在投资过程中密切监控债券信用等级或发行人信用等级变化情况，力求规避可能存在的债券违约，并获取超额收益。</w:t>
      </w:r>
    </w:p>
    <w:p w14:paraId="6006F0EA"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7</w:t>
      </w:r>
      <w:r>
        <w:rPr>
          <w:rFonts w:hint="eastAsia"/>
          <w:sz w:val="21"/>
          <w:szCs w:val="21"/>
        </w:rPr>
        <w:t>、资产支持证券的投资策略</w:t>
      </w:r>
    </w:p>
    <w:p w14:paraId="05552F88"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将综合运用战略资产配置和战术资产配置进行资产支持证券的投资组合管理，并根据信用风险、利率风险和流动性风险变化积极调整投资策略，严格遵守法律法规和基金合同的约定，在保证本金安全和基金资产流动性的基础上获得稳定收益。</w:t>
      </w:r>
    </w:p>
    <w:p w14:paraId="300D24D0"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四、投资决策依据及程序</w:t>
      </w:r>
      <w:r>
        <w:rPr>
          <w:rFonts w:ascii="Times New Roman" w:hAnsi="Times New Roman" w:cs="Times New Roman"/>
          <w:sz w:val="21"/>
          <w:szCs w:val="21"/>
        </w:rPr>
        <w:t>   </w:t>
      </w:r>
      <w:r>
        <w:rPr>
          <w:rFonts w:hint="eastAsia"/>
          <w:sz w:val="21"/>
          <w:szCs w:val="21"/>
        </w:rPr>
        <w:t xml:space="preserve"> </w:t>
      </w:r>
    </w:p>
    <w:p w14:paraId="034A0014"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1</w:t>
      </w:r>
      <w:r>
        <w:rPr>
          <w:rFonts w:hint="eastAsia"/>
          <w:sz w:val="21"/>
          <w:szCs w:val="21"/>
        </w:rPr>
        <w:t>、投资决策依据</w:t>
      </w:r>
    </w:p>
    <w:p w14:paraId="48F1C1CD"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 xml:space="preserve">）有关法律、法规和基金合同的有关规定。 </w:t>
      </w:r>
    </w:p>
    <w:p w14:paraId="7DA4BAB3"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 xml:space="preserve">）经济运行态势和证券市场走势。 </w:t>
      </w:r>
    </w:p>
    <w:p w14:paraId="339B6515"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）投资对象的风险收益配比。</w:t>
      </w:r>
    </w:p>
    <w:p w14:paraId="6B819A70"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2</w:t>
      </w:r>
      <w:r>
        <w:rPr>
          <w:rFonts w:hint="eastAsia"/>
          <w:sz w:val="21"/>
          <w:szCs w:val="21"/>
        </w:rPr>
        <w:t>、投资决策程序</w:t>
      </w:r>
    </w:p>
    <w:p w14:paraId="660EA349"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lastRenderedPageBreak/>
        <w:t>（</w:t>
      </w:r>
      <w:r>
        <w:rPr>
          <w:rFonts w:ascii="Times New Roman" w:hAnsi="Times New Roman" w:cs="Times New Roman"/>
          <w:sz w:val="21"/>
          <w:szCs w:val="21"/>
        </w:rPr>
        <w:t>1</w:t>
      </w:r>
      <w:r>
        <w:rPr>
          <w:rFonts w:hint="eastAsia"/>
          <w:sz w:val="21"/>
          <w:szCs w:val="21"/>
        </w:rPr>
        <w:t xml:space="preserve">）投资决策委员会：确定本基金总体资产分配和投资策略。投资决策委员会定期召开会议，如需做出及时重大决策或基金经理小组提议，可临时召开投资决策委员会会议。 </w:t>
      </w:r>
    </w:p>
    <w:p w14:paraId="5A9B173C"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 xml:space="preserve">）基金经理（或管理小组）：设计和调整投资组合。设计和调整投资组合需要考虑的基本因素包括：每日基金申购和赎回净现金流量；基金合同的投资限制和比例限制；研究员的投资建议；基金经理的独立判断；绩效与风险评估小组的建议等。 </w:t>
      </w:r>
    </w:p>
    <w:p w14:paraId="0AD75256"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 xml:space="preserve">）集中交易室：基金经理向集中交易室下达投资指令，集中交易室经理收到投资指令后分发予交易员，交易员收到基金投资指令后准确执行。 </w:t>
      </w:r>
    </w:p>
    <w:p w14:paraId="017E5230"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 xml:space="preserve">）绩效与风险评估小组：对基金投资组合进行评估，向基金经理（或管理小组）提出调整建议。 </w:t>
      </w:r>
    </w:p>
    <w:p w14:paraId="66239D9A"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 xml:space="preserve">）监察稽核部：对投资流程等进行合法合规审核、监督和检查。 </w:t>
      </w:r>
    </w:p>
    <w:p w14:paraId="7F62168D"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）本基金管理人在确保基金份额持有人利益的前提下有权根据市场环境变化和实际需要调整上述投资决策程序，并予以公告。</w:t>
      </w:r>
    </w:p>
    <w:p w14:paraId="71082352"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五、业绩比较基准</w:t>
      </w:r>
    </w:p>
    <w:p w14:paraId="603FE39E"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中债总指数收益率</w:t>
      </w:r>
    </w:p>
    <w:p w14:paraId="0E0C14B8"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中债总指数由中央国债登记结算公司编制，并在中国债券网（</w:t>
      </w:r>
      <w:r>
        <w:rPr>
          <w:rFonts w:ascii="Times New Roman" w:hAnsi="Times New Roman" w:cs="Times New Roman"/>
          <w:sz w:val="21"/>
          <w:szCs w:val="21"/>
        </w:rPr>
        <w:t>www.chinabond.com.cn</w:t>
      </w:r>
      <w:r>
        <w:rPr>
          <w:rFonts w:hint="eastAsia"/>
          <w:sz w:val="21"/>
          <w:szCs w:val="21"/>
        </w:rPr>
        <w:t>）公开发布，具有较强的权威性和市场影响力；该指数样本券涵盖央票、国债和政策性金融债，能较好地反映债券市场的整体收益。本基金是债券型基金，主要投资于固定收益类金融工具，为此，本基金选取中债总指数作为本基金的业绩比较基准。</w:t>
      </w:r>
    </w:p>
    <w:p w14:paraId="0083950A"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如果今后法律法规发生变化，或者有更权威的、更能为市场普遍接受的业绩比较基准推出，或者是市场上出现更加适合用于本基金的业绩比较基准的指数时，本基金管理人与基金托管人协商一致后可以在报中国证监会备案以后变更业绩比较基准并及时公告，但不需要召开基金份额持有人大会。</w:t>
      </w:r>
    </w:p>
    <w:p w14:paraId="52F94AF7"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六、风险收益特征</w:t>
      </w:r>
    </w:p>
    <w:p w14:paraId="40BDD79F"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本基金属于债券型基金，其预期的收益与风险低于股票型基金、混合型基金，高于货币市场基金，为证券投资基金中具有较低风险收益特征的品种。</w:t>
      </w:r>
    </w:p>
    <w:p w14:paraId="4E05D7A9"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七、投资限制</w:t>
      </w:r>
    </w:p>
    <w:p w14:paraId="512F539F"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1</w:t>
      </w:r>
      <w:r>
        <w:rPr>
          <w:rFonts w:hint="eastAsia"/>
          <w:sz w:val="21"/>
          <w:szCs w:val="21"/>
        </w:rPr>
        <w:t>、组合限制</w:t>
      </w:r>
    </w:p>
    <w:p w14:paraId="1FA7E3D0"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基金的投资组合应遵循以下限制：</w:t>
      </w:r>
    </w:p>
    <w:p w14:paraId="06DB6F5E"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）本基金对债券的投资比例不低于基金资产的</w:t>
      </w:r>
      <w:r>
        <w:rPr>
          <w:rFonts w:ascii="Times New Roman" w:hAnsi="Times New Roman" w:cs="Times New Roman"/>
          <w:sz w:val="21"/>
          <w:szCs w:val="21"/>
        </w:rPr>
        <w:t>80%</w:t>
      </w:r>
      <w:r>
        <w:rPr>
          <w:rFonts w:hint="eastAsia"/>
          <w:sz w:val="21"/>
          <w:szCs w:val="21"/>
        </w:rPr>
        <w:t>；</w:t>
      </w:r>
    </w:p>
    <w:p w14:paraId="2B4C2398"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）保持不低于基金资产净值</w:t>
      </w:r>
      <w:r>
        <w:rPr>
          <w:rFonts w:ascii="Times New Roman" w:hAnsi="Times New Roman" w:cs="Times New Roman"/>
          <w:sz w:val="21"/>
          <w:szCs w:val="21"/>
        </w:rPr>
        <w:t>5%</w:t>
      </w:r>
      <w:r>
        <w:rPr>
          <w:rFonts w:hint="eastAsia"/>
          <w:sz w:val="21"/>
          <w:szCs w:val="21"/>
        </w:rPr>
        <w:t>的现金或者到期日在一年以内的政府债券，其中现金不包括结算备付金、存出保证金、应收申购款等；</w:t>
      </w:r>
    </w:p>
    <w:p w14:paraId="22FE4BC6"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）本基金持有一家公司发行的证券，其市值不超过基金资产净值的</w:t>
      </w:r>
      <w:r>
        <w:rPr>
          <w:rFonts w:ascii="Times New Roman" w:hAnsi="Times New Roman" w:cs="Times New Roman"/>
          <w:sz w:val="21"/>
          <w:szCs w:val="21"/>
        </w:rPr>
        <w:t>10%</w:t>
      </w:r>
      <w:r>
        <w:rPr>
          <w:rFonts w:hint="eastAsia"/>
          <w:sz w:val="21"/>
          <w:szCs w:val="21"/>
        </w:rPr>
        <w:t>；</w:t>
      </w:r>
    </w:p>
    <w:p w14:paraId="10AD9E55"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）本基金管理人管理的全部基金持有一家公司发行的证券，不超过该证券的</w:t>
      </w:r>
      <w:r>
        <w:rPr>
          <w:rFonts w:ascii="Times New Roman" w:hAnsi="Times New Roman" w:cs="Times New Roman"/>
          <w:sz w:val="21"/>
          <w:szCs w:val="21"/>
        </w:rPr>
        <w:t>10%</w:t>
      </w:r>
      <w:r>
        <w:rPr>
          <w:rFonts w:hint="eastAsia"/>
          <w:sz w:val="21"/>
          <w:szCs w:val="21"/>
        </w:rPr>
        <w:t>；</w:t>
      </w:r>
    </w:p>
    <w:p w14:paraId="6F9FED94"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lastRenderedPageBreak/>
        <w:t>（</w:t>
      </w:r>
      <w:r>
        <w:rPr>
          <w:rFonts w:ascii="Times New Roman" w:hAnsi="Times New Roman" w:cs="Times New Roman"/>
          <w:sz w:val="21"/>
          <w:szCs w:val="21"/>
        </w:rPr>
        <w:t>5</w:t>
      </w:r>
      <w:r>
        <w:rPr>
          <w:rFonts w:hint="eastAsia"/>
          <w:sz w:val="21"/>
          <w:szCs w:val="21"/>
        </w:rPr>
        <w:t>）本基金投资于同一原始权益人的各类资产支持证券的比例，不得超过基金资产净值的</w:t>
      </w:r>
      <w:r>
        <w:rPr>
          <w:rFonts w:ascii="Times New Roman" w:hAnsi="Times New Roman" w:cs="Times New Roman"/>
          <w:sz w:val="21"/>
          <w:szCs w:val="21"/>
        </w:rPr>
        <w:t>10%</w:t>
      </w:r>
      <w:r>
        <w:rPr>
          <w:rFonts w:hint="eastAsia"/>
          <w:sz w:val="21"/>
          <w:szCs w:val="21"/>
        </w:rPr>
        <w:t>；</w:t>
      </w:r>
    </w:p>
    <w:p w14:paraId="656A4AA3"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）本基金持有的全部资产支持证券，其市值不得超过基金资产净值的</w:t>
      </w:r>
      <w:r>
        <w:rPr>
          <w:rFonts w:ascii="Times New Roman" w:hAnsi="Times New Roman" w:cs="Times New Roman"/>
          <w:sz w:val="21"/>
          <w:szCs w:val="21"/>
        </w:rPr>
        <w:t>20%</w:t>
      </w:r>
      <w:r>
        <w:rPr>
          <w:rFonts w:hint="eastAsia"/>
          <w:sz w:val="21"/>
          <w:szCs w:val="21"/>
        </w:rPr>
        <w:t>，中国证监会规定的特殊品种除外；</w:t>
      </w:r>
    </w:p>
    <w:p w14:paraId="39BE436E"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）本基金持有的同一（指同一信用级别）资产支持证券的比例，不得超过该资产支持证券规模的</w:t>
      </w:r>
      <w:r>
        <w:rPr>
          <w:rFonts w:ascii="Times New Roman" w:hAnsi="Times New Roman" w:cs="Times New Roman"/>
          <w:sz w:val="21"/>
          <w:szCs w:val="21"/>
        </w:rPr>
        <w:t>10%</w:t>
      </w:r>
      <w:r>
        <w:rPr>
          <w:rFonts w:hint="eastAsia"/>
          <w:sz w:val="21"/>
          <w:szCs w:val="21"/>
        </w:rPr>
        <w:t>；</w:t>
      </w:r>
    </w:p>
    <w:p w14:paraId="532DA23C"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）本基金管理人管理的全部基金投资于同一原始权益人的各类资产支持证券，不得超过其各类资产支持证券合计规模的</w:t>
      </w:r>
      <w:r>
        <w:rPr>
          <w:rFonts w:ascii="Times New Roman" w:hAnsi="Times New Roman" w:cs="Times New Roman"/>
          <w:sz w:val="21"/>
          <w:szCs w:val="21"/>
        </w:rPr>
        <w:t>10%</w:t>
      </w:r>
      <w:r>
        <w:rPr>
          <w:rFonts w:hint="eastAsia"/>
          <w:sz w:val="21"/>
          <w:szCs w:val="21"/>
        </w:rPr>
        <w:t>；</w:t>
      </w:r>
    </w:p>
    <w:p w14:paraId="18B5B862"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）本基金应投资于信用级别评级为</w:t>
      </w:r>
      <w:r>
        <w:rPr>
          <w:rFonts w:ascii="Times New Roman" w:hAnsi="Times New Roman" w:cs="Times New Roman"/>
          <w:sz w:val="21"/>
          <w:szCs w:val="21"/>
        </w:rPr>
        <w:t>BBB</w:t>
      </w:r>
      <w:r>
        <w:rPr>
          <w:rFonts w:hint="eastAsia"/>
          <w:sz w:val="21"/>
          <w:szCs w:val="21"/>
        </w:rPr>
        <w:t>以上（含</w:t>
      </w:r>
      <w:r>
        <w:rPr>
          <w:rFonts w:ascii="Times New Roman" w:hAnsi="Times New Roman" w:cs="Times New Roman"/>
          <w:sz w:val="21"/>
          <w:szCs w:val="21"/>
        </w:rPr>
        <w:t>BBB</w:t>
      </w:r>
      <w:r>
        <w:rPr>
          <w:rFonts w:hint="eastAsia"/>
          <w:sz w:val="21"/>
          <w:szCs w:val="21"/>
        </w:rPr>
        <w:t>）的资产支持证券。基金持有资产支持证券期间，如果其信用等级下降、不再符合投资标准，应在评级报告发布之日起</w:t>
      </w:r>
      <w:r>
        <w:rPr>
          <w:rFonts w:ascii="Times New Roman" w:hAnsi="Times New Roman" w:cs="Times New Roman"/>
          <w:sz w:val="21"/>
          <w:szCs w:val="21"/>
        </w:rPr>
        <w:t>3</w:t>
      </w:r>
      <w:r>
        <w:rPr>
          <w:rFonts w:hint="eastAsia"/>
          <w:sz w:val="21"/>
          <w:szCs w:val="21"/>
        </w:rPr>
        <w:t>个月内予以全部卖出；</w:t>
      </w:r>
    </w:p>
    <w:p w14:paraId="0E6F4040"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）本基金进入全国银行间同业市场进行债券回购的资金余额不得超过基金资产净值的</w:t>
      </w:r>
      <w:r>
        <w:rPr>
          <w:rFonts w:ascii="Times New Roman" w:hAnsi="Times New Roman" w:cs="Times New Roman"/>
          <w:sz w:val="21"/>
          <w:szCs w:val="21"/>
        </w:rPr>
        <w:t>40%</w:t>
      </w:r>
      <w:r>
        <w:rPr>
          <w:rFonts w:hint="eastAsia"/>
          <w:sz w:val="21"/>
          <w:szCs w:val="21"/>
        </w:rPr>
        <w:t>；在全国银行间同业市场的债券回购最长期限为</w:t>
      </w:r>
      <w:r>
        <w:rPr>
          <w:rFonts w:ascii="Times New Roman" w:hAnsi="Times New Roman" w:cs="Times New Roman"/>
          <w:sz w:val="21"/>
          <w:szCs w:val="21"/>
        </w:rPr>
        <w:t>1</w:t>
      </w:r>
      <w:r>
        <w:rPr>
          <w:rFonts w:hint="eastAsia"/>
          <w:sz w:val="21"/>
          <w:szCs w:val="21"/>
        </w:rPr>
        <w:t>年，债券回购到期后不得展期；</w:t>
      </w:r>
    </w:p>
    <w:p w14:paraId="5D009703"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）本基金持有单只中小企业私募债券，其市值不得超过基金资产净值的</w:t>
      </w:r>
      <w:r>
        <w:rPr>
          <w:rFonts w:ascii="Times New Roman" w:hAnsi="Times New Roman" w:cs="Times New Roman"/>
          <w:sz w:val="21"/>
          <w:szCs w:val="21"/>
        </w:rPr>
        <w:t>10%</w:t>
      </w:r>
      <w:r>
        <w:rPr>
          <w:rFonts w:hint="eastAsia"/>
          <w:sz w:val="21"/>
          <w:szCs w:val="21"/>
        </w:rPr>
        <w:t>；</w:t>
      </w:r>
    </w:p>
    <w:p w14:paraId="7AAE3E08"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）本基金总资产不得超过基金净资产的</w:t>
      </w:r>
      <w:r>
        <w:rPr>
          <w:rFonts w:ascii="Times New Roman" w:hAnsi="Times New Roman" w:cs="Times New Roman"/>
          <w:sz w:val="21"/>
          <w:szCs w:val="21"/>
        </w:rPr>
        <w:t>140%</w:t>
      </w:r>
      <w:r>
        <w:rPr>
          <w:rFonts w:hint="eastAsia"/>
          <w:sz w:val="21"/>
          <w:szCs w:val="21"/>
        </w:rPr>
        <w:t>；</w:t>
      </w:r>
    </w:p>
    <w:p w14:paraId="098EA0FC"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）本基金主动投资于流动性受限资产的市值合计不得超过该基金资产净值的</w:t>
      </w:r>
      <w:r>
        <w:rPr>
          <w:rFonts w:ascii="Times New Roman" w:hAnsi="Times New Roman" w:cs="Times New Roman"/>
          <w:sz w:val="21"/>
          <w:szCs w:val="21"/>
        </w:rPr>
        <w:t>15%</w:t>
      </w:r>
      <w:r>
        <w:rPr>
          <w:rFonts w:hint="eastAsia"/>
          <w:sz w:val="21"/>
          <w:szCs w:val="21"/>
        </w:rPr>
        <w:t>。因证券市场波动、基金规模变动等基金管理人之外的因素致使基金不符合前述所规定比例限制的，基金管理人不得主动新增流动性受限资产的投资；</w:t>
      </w:r>
    </w:p>
    <w:p w14:paraId="3FC2A290"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14</w:t>
      </w:r>
      <w:r>
        <w:rPr>
          <w:rFonts w:hint="eastAsia"/>
          <w:sz w:val="21"/>
          <w:szCs w:val="21"/>
        </w:rPr>
        <w:t>）本基金与私募类证券资管产品及中国证监会认定的其他主体为交易对手开展逆回购交易的，可接受质押品的资质要求应当与基金合同约定的投资范围保持一致；</w:t>
      </w:r>
    </w:p>
    <w:p w14:paraId="28E33EF0"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15</w:t>
      </w:r>
      <w:r>
        <w:rPr>
          <w:rFonts w:hint="eastAsia"/>
          <w:sz w:val="21"/>
          <w:szCs w:val="21"/>
        </w:rPr>
        <w:t>）法律法规及中国证监会规定的和《基金合同》约定的其他投资限制。</w:t>
      </w:r>
    </w:p>
    <w:p w14:paraId="30F241C0"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除上述第（</w:t>
      </w:r>
      <w:r>
        <w:rPr>
          <w:rFonts w:ascii="Times New Roman" w:hAnsi="Times New Roman" w:cs="Times New Roman"/>
          <w:sz w:val="21"/>
          <w:szCs w:val="21"/>
        </w:rPr>
        <w:t>2</w:t>
      </w:r>
      <w:r>
        <w:rPr>
          <w:rFonts w:hint="eastAsia"/>
          <w:sz w:val="21"/>
          <w:szCs w:val="21"/>
        </w:rPr>
        <w:t>）、（</w:t>
      </w:r>
      <w:r>
        <w:rPr>
          <w:rFonts w:ascii="Times New Roman" w:hAnsi="Times New Roman" w:cs="Times New Roman"/>
          <w:sz w:val="21"/>
          <w:szCs w:val="21"/>
        </w:rPr>
        <w:t>9</w:t>
      </w:r>
      <w:r>
        <w:rPr>
          <w:rFonts w:hint="eastAsia"/>
          <w:sz w:val="21"/>
          <w:szCs w:val="21"/>
        </w:rPr>
        <w:t>）、（</w:t>
      </w:r>
      <w:r>
        <w:rPr>
          <w:rFonts w:ascii="Times New Roman" w:hAnsi="Times New Roman" w:cs="Times New Roman"/>
          <w:sz w:val="21"/>
          <w:szCs w:val="21"/>
        </w:rPr>
        <w:t>13</w:t>
      </w:r>
      <w:r>
        <w:rPr>
          <w:rFonts w:hint="eastAsia"/>
          <w:sz w:val="21"/>
          <w:szCs w:val="21"/>
        </w:rPr>
        <w:t>）、（</w:t>
      </w:r>
      <w:r>
        <w:rPr>
          <w:rFonts w:ascii="Times New Roman" w:hAnsi="Times New Roman" w:cs="Times New Roman"/>
          <w:sz w:val="21"/>
          <w:szCs w:val="21"/>
        </w:rPr>
        <w:t>14</w:t>
      </w:r>
      <w:r>
        <w:rPr>
          <w:rFonts w:hint="eastAsia"/>
          <w:sz w:val="21"/>
          <w:szCs w:val="21"/>
        </w:rPr>
        <w:t>）条外，因证券市场波动、上市公司合并、基金规模变动等基金管理人之外的因素致使基金投资比例不符合上述规定投资比例的，基金管理人应当在</w:t>
      </w:r>
      <w:r>
        <w:rPr>
          <w:rFonts w:ascii="Times New Roman" w:hAnsi="Times New Roman" w:cs="Times New Roman"/>
          <w:sz w:val="21"/>
          <w:szCs w:val="21"/>
        </w:rPr>
        <w:t>10</w:t>
      </w:r>
      <w:r>
        <w:rPr>
          <w:rFonts w:hint="eastAsia"/>
          <w:sz w:val="21"/>
          <w:szCs w:val="21"/>
        </w:rPr>
        <w:t>个交易日内进行调整，但中国证监会规定的特殊情形除外。</w:t>
      </w:r>
    </w:p>
    <w:p w14:paraId="58D11DF1"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基金管理人应当自基金合同生效之日起</w:t>
      </w:r>
      <w:r>
        <w:rPr>
          <w:rFonts w:ascii="Times New Roman" w:hAnsi="Times New Roman" w:cs="Times New Roman"/>
          <w:sz w:val="21"/>
          <w:szCs w:val="21"/>
        </w:rPr>
        <w:t>6</w:t>
      </w:r>
      <w:r>
        <w:rPr>
          <w:rFonts w:hint="eastAsia"/>
          <w:sz w:val="21"/>
          <w:szCs w:val="21"/>
        </w:rPr>
        <w:t>个月内使基金的投资组合比例符合基金合同的有关约定。期间，本基金的投资范围、投资策略应当符合基金合同的约定。基金托管人对基金的投资的监督与检查自本基金合同生效之日起开始。</w:t>
      </w:r>
    </w:p>
    <w:p w14:paraId="6976936B"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法律法规或监管部门取消上述限制，如适用于本基金，基金管理人在履行适当程序后，则本基金投资不再受相关限制。</w:t>
      </w:r>
    </w:p>
    <w:p w14:paraId="05026D28" w14:textId="77777777" w:rsidR="00D0083C" w:rsidRDefault="00854AE5">
      <w:pPr>
        <w:pStyle w:val="a3"/>
        <w:spacing w:before="0" w:beforeAutospacing="0" w:after="0" w:afterAutospacing="0" w:line="360" w:lineRule="auto"/>
        <w:ind w:firstLine="420"/>
        <w:jc w:val="both"/>
        <w:divId w:val="1225483252"/>
        <w:rPr>
          <w:sz w:val="21"/>
          <w:szCs w:val="21"/>
        </w:rPr>
      </w:pPr>
      <w:r>
        <w:rPr>
          <w:rFonts w:ascii="Times New Roman" w:hAnsi="Times New Roman" w:cs="Times New Roman"/>
          <w:sz w:val="21"/>
          <w:szCs w:val="21"/>
        </w:rPr>
        <w:t>2</w:t>
      </w:r>
      <w:r>
        <w:rPr>
          <w:rFonts w:hint="eastAsia"/>
          <w:sz w:val="21"/>
          <w:szCs w:val="21"/>
        </w:rPr>
        <w:t>、禁止行为</w:t>
      </w:r>
    </w:p>
    <w:p w14:paraId="49223F9E"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为维护基金份额持有人的合法权益，基金财产不得用于下列投资或者活动：</w:t>
      </w:r>
    </w:p>
    <w:p w14:paraId="41EF710E"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）承销证券；</w:t>
      </w:r>
    </w:p>
    <w:p w14:paraId="19D10C11"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）违反规定向他人贷款或者提供担保；</w:t>
      </w:r>
    </w:p>
    <w:p w14:paraId="03C8A3D3"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）从事承担无限责任的投资；</w:t>
      </w:r>
    </w:p>
    <w:p w14:paraId="4341793E"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lastRenderedPageBreak/>
        <w:t>（</w:t>
      </w:r>
      <w:r>
        <w:rPr>
          <w:rFonts w:ascii="Times New Roman" w:hAnsi="Times New Roman" w:cs="Times New Roman"/>
          <w:sz w:val="21"/>
          <w:szCs w:val="21"/>
        </w:rPr>
        <w:t>4</w:t>
      </w:r>
      <w:r>
        <w:rPr>
          <w:rFonts w:hint="eastAsia"/>
          <w:sz w:val="21"/>
          <w:szCs w:val="21"/>
        </w:rPr>
        <w:t>）买卖其他基金份额，但是中国证监会另有规定的除外；</w:t>
      </w:r>
    </w:p>
    <w:p w14:paraId="41D52414"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）向其基金管理人、基金托管人出资；</w:t>
      </w:r>
    </w:p>
    <w:p w14:paraId="28D5E3F7"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）从事内幕交易、操纵证券交易价格及其他不正当的证券交易活动；</w:t>
      </w:r>
    </w:p>
    <w:p w14:paraId="30974642"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）法律、行政法规和中国证监会规定禁止的其他活动。</w:t>
      </w:r>
    </w:p>
    <w:p w14:paraId="366F2F6A"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627ABC63"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法律法规或监管部门取消上述禁止性规定，如适用于本基金，基金管理人在履行适当程序后，则本基金投资不再受相关限制。</w:t>
      </w:r>
    </w:p>
    <w:p w14:paraId="199A1BBA"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八、基金的投资组合报告</w:t>
      </w:r>
    </w:p>
    <w:p w14:paraId="4826686A" w14:textId="77777777" w:rsidR="00D0083C" w:rsidRDefault="00854AE5">
      <w:pPr>
        <w:pStyle w:val="a3"/>
        <w:spacing w:before="0" w:beforeAutospacing="0" w:after="0" w:afterAutospacing="0" w:line="360" w:lineRule="auto"/>
        <w:ind w:firstLine="420"/>
        <w:divId w:val="1225483252"/>
        <w:rPr>
          <w:sz w:val="21"/>
          <w:szCs w:val="21"/>
        </w:rPr>
      </w:pPr>
      <w:bookmarkStart w:id="35" w:name="m101"/>
      <w:r>
        <w:rPr>
          <w:rFonts w:hint="eastAsia"/>
          <w:sz w:val="21"/>
          <w:szCs w:val="21"/>
        </w:rPr>
        <w:t>基金管理人的董事会及董事保证本报告所载资料不存在虚假记载、误导性陈述或重大遗漏，并对其内容的真实性、准确性和完整性承担个别及连带责任。</w:t>
      </w:r>
      <w:bookmarkEnd w:id="35"/>
    </w:p>
    <w:p w14:paraId="04808D0B" w14:textId="77777777" w:rsidR="00D0083C" w:rsidRDefault="00854AE5">
      <w:pPr>
        <w:pStyle w:val="a3"/>
        <w:spacing w:before="0" w:beforeAutospacing="0" w:after="0" w:afterAutospacing="0" w:line="360" w:lineRule="auto"/>
        <w:ind w:firstLine="420"/>
        <w:divId w:val="1225483252"/>
        <w:rPr>
          <w:sz w:val="21"/>
          <w:szCs w:val="21"/>
        </w:rPr>
      </w:pPr>
      <w:r>
        <w:rPr>
          <w:rFonts w:hint="eastAsia"/>
          <w:sz w:val="21"/>
          <w:szCs w:val="21"/>
        </w:rPr>
        <w:t>基金托管人上海浦东发展银行股份有限公司根据本基金合同规定，于2019年01月18日复核了本报告中的财务指标、净值表现和投资组合报告等内容，保证复核内容不存在虚假记载、误导性陈述或者重大遗漏。</w:t>
      </w:r>
    </w:p>
    <w:p w14:paraId="52AF8D00" w14:textId="77777777" w:rsidR="00D0083C" w:rsidRDefault="00854AE5">
      <w:pPr>
        <w:pStyle w:val="a3"/>
        <w:spacing w:before="0" w:beforeAutospacing="0" w:after="0" w:afterAutospacing="0" w:line="360" w:lineRule="auto"/>
        <w:ind w:firstLine="420"/>
        <w:divId w:val="1225483252"/>
        <w:rPr>
          <w:sz w:val="21"/>
          <w:szCs w:val="21"/>
        </w:rPr>
      </w:pPr>
      <w:r>
        <w:rPr>
          <w:rFonts w:hint="eastAsia"/>
          <w:sz w:val="21"/>
          <w:szCs w:val="21"/>
        </w:rPr>
        <w:t>本报告中财务资料未经审计。</w:t>
      </w:r>
    </w:p>
    <w:p w14:paraId="33C12712" w14:textId="77777777" w:rsidR="00D0083C" w:rsidRDefault="00854AE5">
      <w:pPr>
        <w:pStyle w:val="a3"/>
        <w:spacing w:before="0" w:beforeAutospacing="0" w:after="0" w:afterAutospacing="0" w:line="360" w:lineRule="auto"/>
        <w:ind w:firstLine="420"/>
        <w:divId w:val="1225483252"/>
        <w:rPr>
          <w:sz w:val="21"/>
          <w:szCs w:val="21"/>
        </w:rPr>
      </w:pPr>
      <w:r>
        <w:rPr>
          <w:rFonts w:hint="eastAsia"/>
          <w:sz w:val="21"/>
          <w:szCs w:val="21"/>
        </w:rPr>
        <w:t>本报告期自2018年10月01日起至12月31日。</w:t>
      </w:r>
      <w:bookmarkStart w:id="36" w:name="m201"/>
      <w:bookmarkStart w:id="37" w:name="m201_01"/>
      <w:bookmarkEnd w:id="36"/>
      <w:r>
        <w:rPr>
          <w:rFonts w:hint="eastAsia"/>
          <w:sz w:val="21"/>
          <w:szCs w:val="21"/>
        </w:rPr>
        <w:t xml:space="preserve"> </w:t>
      </w:r>
      <w:bookmarkEnd w:id="37"/>
    </w:p>
    <w:p w14:paraId="1404B0DD" w14:textId="77777777" w:rsidR="00D0083C" w:rsidRDefault="00854AE5">
      <w:pPr>
        <w:pStyle w:val="a3"/>
        <w:spacing w:before="0" w:beforeAutospacing="0" w:after="0" w:afterAutospacing="0" w:line="360" w:lineRule="auto"/>
        <w:divId w:val="1225483252"/>
        <w:rPr>
          <w:sz w:val="21"/>
          <w:szCs w:val="21"/>
        </w:rPr>
      </w:pPr>
      <w:bookmarkStart w:id="38" w:name="_Toc481074845"/>
      <w:bookmarkStart w:id="39" w:name="_Toc438646467"/>
      <w:bookmarkStart w:id="40" w:name="m501"/>
      <w:bookmarkEnd w:id="38"/>
      <w:bookmarkEnd w:id="39"/>
      <w:r>
        <w:rPr>
          <w:rFonts w:hint="eastAsia"/>
          <w:b/>
          <w:bCs/>
          <w:sz w:val="21"/>
          <w:szCs w:val="21"/>
        </w:rPr>
        <w:t xml:space="preserve">1、报告期末基金资产组合情况 </w:t>
      </w:r>
      <w:bookmarkEnd w:id="40"/>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53"/>
        <w:gridCol w:w="2545"/>
        <w:gridCol w:w="2983"/>
        <w:gridCol w:w="2109"/>
      </w:tblGrid>
      <w:tr w:rsidR="00D0083C" w14:paraId="069238F3" w14:textId="77777777">
        <w:trPr>
          <w:divId w:val="1225483252"/>
        </w:trPr>
        <w:tc>
          <w:tcPr>
            <w:tcW w:w="635" w:type="dxa"/>
            <w:tcBorders>
              <w:bottom w:val="single" w:sz="6" w:space="0" w:color="auto"/>
              <w:right w:val="single" w:sz="6" w:space="0" w:color="auto"/>
            </w:tcBorders>
            <w:shd w:val="clear" w:color="auto" w:fill="D9D9D9"/>
            <w:tcMar>
              <w:top w:w="0" w:type="dxa"/>
              <w:left w:w="101" w:type="dxa"/>
              <w:bottom w:w="0" w:type="dxa"/>
              <w:right w:w="101" w:type="dxa"/>
            </w:tcMar>
            <w:vAlign w:val="center"/>
            <w:hideMark/>
          </w:tcPr>
          <w:p w14:paraId="1301C12A" w14:textId="77777777" w:rsidR="00D0083C" w:rsidRDefault="00854AE5">
            <w:pPr>
              <w:pStyle w:val="a3"/>
              <w:spacing w:before="0" w:beforeAutospacing="0" w:after="0" w:afterAutospacing="0"/>
              <w:jc w:val="center"/>
              <w:rPr>
                <w:sz w:val="21"/>
                <w:szCs w:val="21"/>
              </w:rPr>
            </w:pPr>
            <w:bookmarkStart w:id="41" w:name="m501_tab"/>
            <w:r>
              <w:rPr>
                <w:rFonts w:hint="eastAsia"/>
                <w:sz w:val="21"/>
                <w:szCs w:val="21"/>
              </w:rPr>
              <w:t xml:space="preserve">序号 </w:t>
            </w:r>
            <w:bookmarkEnd w:id="41"/>
          </w:p>
        </w:tc>
        <w:tc>
          <w:tcPr>
            <w:tcW w:w="2477" w:type="dxa"/>
            <w:tcBorders>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14:paraId="455C288C" w14:textId="77777777" w:rsidR="00D0083C" w:rsidRDefault="00854AE5">
            <w:pPr>
              <w:pStyle w:val="a3"/>
              <w:spacing w:before="0" w:beforeAutospacing="0" w:after="0" w:afterAutospacing="0"/>
              <w:jc w:val="center"/>
              <w:rPr>
                <w:sz w:val="21"/>
                <w:szCs w:val="21"/>
              </w:rPr>
            </w:pPr>
            <w:r>
              <w:rPr>
                <w:rFonts w:hint="eastAsia"/>
                <w:sz w:val="21"/>
                <w:szCs w:val="21"/>
              </w:rPr>
              <w:t xml:space="preserve">项目 </w:t>
            </w:r>
          </w:p>
        </w:tc>
        <w:tc>
          <w:tcPr>
            <w:tcW w:w="2903" w:type="dxa"/>
            <w:tcBorders>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14:paraId="7B8C56DA" w14:textId="77777777" w:rsidR="00D0083C" w:rsidRDefault="00854AE5">
            <w:pPr>
              <w:pStyle w:val="a3"/>
              <w:spacing w:before="0" w:beforeAutospacing="0" w:after="0" w:afterAutospacing="0"/>
              <w:jc w:val="center"/>
              <w:rPr>
                <w:sz w:val="21"/>
                <w:szCs w:val="21"/>
              </w:rPr>
            </w:pPr>
            <w:r>
              <w:rPr>
                <w:rFonts w:hint="eastAsia"/>
                <w:sz w:val="21"/>
                <w:szCs w:val="21"/>
              </w:rPr>
              <w:t xml:space="preserve">金额（人民币元 ） </w:t>
            </w:r>
          </w:p>
        </w:tc>
        <w:tc>
          <w:tcPr>
            <w:tcW w:w="2052" w:type="dxa"/>
            <w:tcBorders>
              <w:left w:val="single" w:sz="6" w:space="0" w:color="auto"/>
              <w:bottom w:val="single" w:sz="6" w:space="0" w:color="auto"/>
            </w:tcBorders>
            <w:shd w:val="clear" w:color="auto" w:fill="D9D9D9"/>
            <w:tcMar>
              <w:top w:w="0" w:type="dxa"/>
              <w:left w:w="101" w:type="dxa"/>
              <w:bottom w:w="0" w:type="dxa"/>
              <w:right w:w="101" w:type="dxa"/>
            </w:tcMar>
            <w:vAlign w:val="center"/>
            <w:hideMark/>
          </w:tcPr>
          <w:p w14:paraId="51ECDAC9" w14:textId="77777777" w:rsidR="00D0083C" w:rsidRDefault="00854AE5">
            <w:pPr>
              <w:pStyle w:val="a3"/>
              <w:spacing w:before="0" w:beforeAutospacing="0" w:after="0" w:afterAutospacing="0"/>
              <w:jc w:val="center"/>
              <w:rPr>
                <w:sz w:val="21"/>
                <w:szCs w:val="21"/>
              </w:rPr>
            </w:pPr>
            <w:r>
              <w:rPr>
                <w:rFonts w:hint="eastAsia"/>
                <w:sz w:val="21"/>
                <w:szCs w:val="21"/>
              </w:rPr>
              <w:t xml:space="preserve">占基金总资产的比例（%） </w:t>
            </w:r>
          </w:p>
        </w:tc>
      </w:tr>
      <w:tr w:rsidR="00D0083C" w14:paraId="72C85516"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329F7348" w14:textId="77777777" w:rsidR="00D0083C" w:rsidRDefault="00854AE5">
            <w:pPr>
              <w:pStyle w:val="a3"/>
              <w:spacing w:before="0" w:beforeAutospacing="0" w:after="0" w:afterAutospacing="0"/>
              <w:jc w:val="center"/>
              <w:rPr>
                <w:sz w:val="21"/>
                <w:szCs w:val="21"/>
              </w:rPr>
            </w:pPr>
            <w:r>
              <w:rPr>
                <w:rFonts w:hint="eastAsia"/>
                <w:sz w:val="21"/>
                <w:szCs w:val="21"/>
              </w:rPr>
              <w:t xml:space="preserve">1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2A16630E" w14:textId="77777777" w:rsidR="00D0083C" w:rsidRDefault="00854AE5">
            <w:pPr>
              <w:pStyle w:val="a3"/>
              <w:spacing w:before="0" w:beforeAutospacing="0" w:after="0" w:afterAutospacing="0"/>
              <w:rPr>
                <w:sz w:val="21"/>
                <w:szCs w:val="21"/>
              </w:rPr>
            </w:pPr>
            <w:r>
              <w:rPr>
                <w:rFonts w:hint="eastAsia"/>
                <w:sz w:val="21"/>
                <w:szCs w:val="21"/>
              </w:rPr>
              <w:t xml:space="preserve">权益投资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37E2D805" w14:textId="77777777" w:rsidR="00D0083C" w:rsidRDefault="00854AE5">
            <w:pPr>
              <w:pStyle w:val="a3"/>
              <w:spacing w:before="0" w:beforeAutospacing="0" w:after="0" w:afterAutospacing="0"/>
              <w:jc w:val="right"/>
              <w:rPr>
                <w:sz w:val="21"/>
                <w:szCs w:val="21"/>
              </w:rPr>
            </w:pPr>
            <w:r>
              <w:rPr>
                <w:rFonts w:hint="eastAsia"/>
                <w:sz w:val="21"/>
                <w:szCs w:val="21"/>
              </w:rPr>
              <w:t>-</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1485F9AE"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50E7606D"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0A7514C5" w14:textId="77777777" w:rsidR="00D0083C" w:rsidRDefault="00854AE5">
            <w:pPr>
              <w:pStyle w:val="a3"/>
              <w:spacing w:before="0" w:beforeAutospacing="0" w:after="0" w:afterAutospacing="0"/>
              <w:jc w:val="center"/>
              <w:rPr>
                <w:sz w:val="21"/>
                <w:szCs w:val="21"/>
              </w:rPr>
            </w:pPr>
            <w:r>
              <w:rPr>
                <w:rFonts w:hint="eastAsia"/>
                <w:sz w:val="21"/>
                <w:szCs w:val="21"/>
              </w:rPr>
              <w:t>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48AA9312" w14:textId="77777777" w:rsidR="00D0083C" w:rsidRDefault="00854AE5">
            <w:pPr>
              <w:pStyle w:val="a3"/>
              <w:spacing w:before="0" w:beforeAutospacing="0" w:after="0" w:afterAutospacing="0"/>
              <w:rPr>
                <w:sz w:val="21"/>
                <w:szCs w:val="21"/>
              </w:rPr>
            </w:pPr>
            <w:r>
              <w:rPr>
                <w:rFonts w:hint="eastAsia"/>
                <w:sz w:val="21"/>
                <w:szCs w:val="21"/>
              </w:rPr>
              <w:t xml:space="preserve">其中：股票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52D8FAA5" w14:textId="77777777" w:rsidR="00D0083C" w:rsidRDefault="00854AE5">
            <w:pPr>
              <w:pStyle w:val="a3"/>
              <w:spacing w:before="0" w:beforeAutospacing="0" w:after="0" w:afterAutospacing="0"/>
              <w:jc w:val="right"/>
              <w:rPr>
                <w:sz w:val="21"/>
                <w:szCs w:val="21"/>
              </w:rPr>
            </w:pPr>
            <w:r>
              <w:rPr>
                <w:rFonts w:hint="eastAsia"/>
                <w:sz w:val="21"/>
                <w:szCs w:val="21"/>
              </w:rPr>
              <w:t>-</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6914755D"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434798E7"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576B2829" w14:textId="77777777" w:rsidR="00D0083C" w:rsidRDefault="00854AE5">
            <w:pPr>
              <w:pStyle w:val="a3"/>
              <w:spacing w:before="0" w:beforeAutospacing="0" w:after="0" w:afterAutospacing="0"/>
              <w:jc w:val="center"/>
              <w:rPr>
                <w:sz w:val="21"/>
                <w:szCs w:val="21"/>
              </w:rPr>
            </w:pPr>
            <w:r>
              <w:rPr>
                <w:rFonts w:hint="eastAsia"/>
                <w:sz w:val="21"/>
                <w:szCs w:val="21"/>
              </w:rPr>
              <w:t xml:space="preserve">2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44F0A2AF" w14:textId="77777777" w:rsidR="00D0083C" w:rsidRDefault="00854AE5">
            <w:pPr>
              <w:pStyle w:val="a3"/>
              <w:spacing w:before="0" w:beforeAutospacing="0" w:after="0" w:afterAutospacing="0"/>
              <w:rPr>
                <w:sz w:val="21"/>
                <w:szCs w:val="21"/>
              </w:rPr>
            </w:pPr>
            <w:r>
              <w:rPr>
                <w:rFonts w:hint="eastAsia"/>
                <w:sz w:val="21"/>
                <w:szCs w:val="21"/>
              </w:rPr>
              <w:t xml:space="preserve">基金投资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5E9DDBBB" w14:textId="77777777" w:rsidR="00D0083C" w:rsidRDefault="00854AE5">
            <w:pPr>
              <w:pStyle w:val="a3"/>
              <w:spacing w:before="0" w:beforeAutospacing="0" w:after="0" w:afterAutospacing="0"/>
              <w:jc w:val="right"/>
              <w:rPr>
                <w:sz w:val="21"/>
                <w:szCs w:val="21"/>
              </w:rPr>
            </w:pPr>
            <w:r>
              <w:rPr>
                <w:rFonts w:hint="eastAsia"/>
                <w:sz w:val="21"/>
                <w:szCs w:val="21"/>
              </w:rPr>
              <w:t>-</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69036BB3"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55B4F353"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2CC1BED2" w14:textId="77777777" w:rsidR="00D0083C" w:rsidRDefault="00854AE5">
            <w:pPr>
              <w:pStyle w:val="a3"/>
              <w:spacing w:before="0" w:beforeAutospacing="0" w:after="0" w:afterAutospacing="0"/>
              <w:jc w:val="center"/>
              <w:rPr>
                <w:sz w:val="21"/>
                <w:szCs w:val="21"/>
              </w:rPr>
            </w:pPr>
            <w:r>
              <w:rPr>
                <w:rFonts w:hint="eastAsia"/>
                <w:sz w:val="21"/>
                <w:szCs w:val="21"/>
              </w:rPr>
              <w:t xml:space="preserve">3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1FC23D28" w14:textId="77777777" w:rsidR="00D0083C" w:rsidRDefault="00854AE5">
            <w:pPr>
              <w:pStyle w:val="a3"/>
              <w:spacing w:before="0" w:beforeAutospacing="0" w:after="0" w:afterAutospacing="0"/>
              <w:rPr>
                <w:sz w:val="21"/>
                <w:szCs w:val="21"/>
              </w:rPr>
            </w:pPr>
            <w:r>
              <w:rPr>
                <w:rFonts w:hint="eastAsia"/>
                <w:sz w:val="21"/>
                <w:szCs w:val="21"/>
              </w:rPr>
              <w:t xml:space="preserve">固定收益投资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79B0EA37" w14:textId="77777777" w:rsidR="00D0083C" w:rsidRDefault="00854AE5">
            <w:pPr>
              <w:pStyle w:val="a3"/>
              <w:spacing w:before="0" w:beforeAutospacing="0" w:after="0" w:afterAutospacing="0"/>
              <w:jc w:val="right"/>
              <w:rPr>
                <w:sz w:val="21"/>
                <w:szCs w:val="21"/>
              </w:rPr>
            </w:pPr>
            <w:r>
              <w:rPr>
                <w:rFonts w:hint="eastAsia"/>
                <w:sz w:val="21"/>
                <w:szCs w:val="21"/>
              </w:rPr>
              <w:t>1,705,957,420.00</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13163326" w14:textId="77777777" w:rsidR="00D0083C" w:rsidRDefault="00854AE5">
            <w:pPr>
              <w:pStyle w:val="a3"/>
              <w:spacing w:before="0" w:beforeAutospacing="0" w:after="0" w:afterAutospacing="0"/>
              <w:jc w:val="right"/>
              <w:rPr>
                <w:sz w:val="21"/>
                <w:szCs w:val="21"/>
              </w:rPr>
            </w:pPr>
            <w:r>
              <w:rPr>
                <w:rFonts w:hint="eastAsia"/>
                <w:sz w:val="21"/>
                <w:szCs w:val="21"/>
              </w:rPr>
              <w:t>93.45</w:t>
            </w:r>
          </w:p>
        </w:tc>
      </w:tr>
      <w:tr w:rsidR="00D0083C" w14:paraId="09DC24DF"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19E78BAD" w14:textId="77777777" w:rsidR="00D0083C" w:rsidRDefault="00854AE5">
            <w:pPr>
              <w:pStyle w:val="a3"/>
              <w:spacing w:before="0" w:beforeAutospacing="0" w:after="0" w:afterAutospacing="0"/>
              <w:jc w:val="center"/>
              <w:rPr>
                <w:sz w:val="21"/>
                <w:szCs w:val="21"/>
              </w:rPr>
            </w:pPr>
            <w:r>
              <w:rPr>
                <w:rFonts w:hint="eastAsia"/>
                <w:sz w:val="21"/>
                <w:szCs w:val="21"/>
              </w:rPr>
              <w:t>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62E61B20" w14:textId="77777777" w:rsidR="00D0083C" w:rsidRDefault="00854AE5">
            <w:pPr>
              <w:pStyle w:val="a3"/>
              <w:spacing w:before="0" w:beforeAutospacing="0" w:after="0" w:afterAutospacing="0"/>
              <w:rPr>
                <w:sz w:val="21"/>
                <w:szCs w:val="21"/>
              </w:rPr>
            </w:pPr>
            <w:r>
              <w:rPr>
                <w:rFonts w:hint="eastAsia"/>
                <w:sz w:val="21"/>
                <w:szCs w:val="21"/>
              </w:rPr>
              <w:t xml:space="preserve">其中：债券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30AB8C11" w14:textId="77777777" w:rsidR="00D0083C" w:rsidRDefault="00854AE5">
            <w:pPr>
              <w:pStyle w:val="a3"/>
              <w:spacing w:before="0" w:beforeAutospacing="0" w:after="0" w:afterAutospacing="0"/>
              <w:jc w:val="right"/>
              <w:rPr>
                <w:sz w:val="21"/>
                <w:szCs w:val="21"/>
              </w:rPr>
            </w:pPr>
            <w:r>
              <w:rPr>
                <w:rFonts w:hint="eastAsia"/>
                <w:sz w:val="21"/>
                <w:szCs w:val="21"/>
              </w:rPr>
              <w:t>1,689,957,420.00</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4029422A" w14:textId="77777777" w:rsidR="00D0083C" w:rsidRDefault="00854AE5">
            <w:pPr>
              <w:pStyle w:val="a3"/>
              <w:spacing w:before="0" w:beforeAutospacing="0" w:after="0" w:afterAutospacing="0"/>
              <w:jc w:val="right"/>
              <w:rPr>
                <w:sz w:val="21"/>
                <w:szCs w:val="21"/>
              </w:rPr>
            </w:pPr>
            <w:r>
              <w:rPr>
                <w:rFonts w:hint="eastAsia"/>
                <w:sz w:val="21"/>
                <w:szCs w:val="21"/>
              </w:rPr>
              <w:t>92.57</w:t>
            </w:r>
          </w:p>
        </w:tc>
      </w:tr>
      <w:tr w:rsidR="00D0083C" w14:paraId="67BE1AD0"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5D7F29CB" w14:textId="77777777" w:rsidR="00D0083C" w:rsidRDefault="00854AE5">
            <w:pPr>
              <w:pStyle w:val="a3"/>
              <w:spacing w:before="0" w:beforeAutospacing="0" w:after="0" w:afterAutospacing="0"/>
              <w:jc w:val="center"/>
              <w:rPr>
                <w:sz w:val="21"/>
                <w:szCs w:val="21"/>
              </w:rPr>
            </w:pPr>
            <w:r>
              <w:rPr>
                <w:rFonts w:hint="eastAsia"/>
                <w:sz w:val="21"/>
                <w:szCs w:val="21"/>
              </w:rPr>
              <w:t>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72734615" w14:textId="77777777" w:rsidR="00D0083C" w:rsidRDefault="00854AE5">
            <w:pPr>
              <w:pStyle w:val="a3"/>
              <w:spacing w:before="0" w:beforeAutospacing="0" w:after="0" w:afterAutospacing="0"/>
              <w:ind w:firstLine="630"/>
              <w:rPr>
                <w:sz w:val="21"/>
                <w:szCs w:val="21"/>
              </w:rPr>
            </w:pPr>
            <w:r>
              <w:rPr>
                <w:rFonts w:hint="eastAsia"/>
                <w:sz w:val="21"/>
                <w:szCs w:val="21"/>
              </w:rPr>
              <w:t xml:space="preserve">资产支持证券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4B547EB3" w14:textId="77777777" w:rsidR="00D0083C" w:rsidRDefault="00854AE5">
            <w:pPr>
              <w:pStyle w:val="a3"/>
              <w:spacing w:before="0" w:beforeAutospacing="0" w:after="0" w:afterAutospacing="0"/>
              <w:jc w:val="right"/>
              <w:rPr>
                <w:sz w:val="21"/>
                <w:szCs w:val="21"/>
              </w:rPr>
            </w:pPr>
            <w:r>
              <w:rPr>
                <w:rFonts w:hint="eastAsia"/>
                <w:sz w:val="21"/>
                <w:szCs w:val="21"/>
              </w:rPr>
              <w:t>16,000,000.00</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038D8899" w14:textId="77777777" w:rsidR="00D0083C" w:rsidRDefault="00854AE5">
            <w:pPr>
              <w:pStyle w:val="a3"/>
              <w:spacing w:before="0" w:beforeAutospacing="0" w:after="0" w:afterAutospacing="0"/>
              <w:jc w:val="right"/>
              <w:rPr>
                <w:sz w:val="21"/>
                <w:szCs w:val="21"/>
              </w:rPr>
            </w:pPr>
            <w:r>
              <w:rPr>
                <w:rFonts w:hint="eastAsia"/>
                <w:sz w:val="21"/>
                <w:szCs w:val="21"/>
              </w:rPr>
              <w:t>0.88</w:t>
            </w:r>
          </w:p>
        </w:tc>
      </w:tr>
      <w:tr w:rsidR="00D0083C" w14:paraId="7841C503"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0317977A" w14:textId="77777777" w:rsidR="00D0083C" w:rsidRDefault="00854AE5">
            <w:pPr>
              <w:pStyle w:val="a3"/>
              <w:spacing w:before="0" w:beforeAutospacing="0" w:after="0" w:afterAutospacing="0"/>
              <w:jc w:val="center"/>
              <w:rPr>
                <w:sz w:val="21"/>
                <w:szCs w:val="21"/>
              </w:rPr>
            </w:pPr>
            <w:r>
              <w:rPr>
                <w:rFonts w:hint="eastAsia"/>
                <w:sz w:val="21"/>
                <w:szCs w:val="21"/>
              </w:rPr>
              <w:t xml:space="preserve">4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3B1AC4BD" w14:textId="77777777" w:rsidR="00D0083C" w:rsidRDefault="00854AE5">
            <w:pPr>
              <w:pStyle w:val="a3"/>
              <w:spacing w:before="0" w:beforeAutospacing="0" w:after="0" w:afterAutospacing="0"/>
              <w:rPr>
                <w:sz w:val="21"/>
                <w:szCs w:val="21"/>
              </w:rPr>
            </w:pPr>
            <w:r>
              <w:rPr>
                <w:rFonts w:hint="eastAsia"/>
                <w:sz w:val="21"/>
                <w:szCs w:val="21"/>
              </w:rPr>
              <w:t xml:space="preserve">贵金属投资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0CFA60F4" w14:textId="77777777" w:rsidR="00D0083C" w:rsidRDefault="00854AE5">
            <w:pPr>
              <w:pStyle w:val="a3"/>
              <w:spacing w:before="0" w:beforeAutospacing="0" w:after="0" w:afterAutospacing="0"/>
              <w:jc w:val="right"/>
              <w:rPr>
                <w:sz w:val="21"/>
                <w:szCs w:val="21"/>
              </w:rPr>
            </w:pPr>
            <w:r>
              <w:rPr>
                <w:rFonts w:hint="eastAsia"/>
                <w:sz w:val="21"/>
                <w:szCs w:val="21"/>
              </w:rPr>
              <w:t>-</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7C663665"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5B1013CD"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0E2FFBE7" w14:textId="77777777" w:rsidR="00D0083C" w:rsidRDefault="00854AE5">
            <w:pPr>
              <w:pStyle w:val="a3"/>
              <w:spacing w:before="0" w:beforeAutospacing="0" w:after="0" w:afterAutospacing="0"/>
              <w:jc w:val="center"/>
              <w:rPr>
                <w:sz w:val="21"/>
                <w:szCs w:val="21"/>
              </w:rPr>
            </w:pPr>
            <w:r>
              <w:rPr>
                <w:rFonts w:hint="eastAsia"/>
                <w:sz w:val="21"/>
                <w:szCs w:val="21"/>
              </w:rPr>
              <w:t xml:space="preserve">5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61DF917A" w14:textId="77777777" w:rsidR="00D0083C" w:rsidRDefault="00854AE5">
            <w:pPr>
              <w:pStyle w:val="a3"/>
              <w:spacing w:before="0" w:beforeAutospacing="0" w:after="0" w:afterAutospacing="0"/>
              <w:rPr>
                <w:sz w:val="21"/>
                <w:szCs w:val="21"/>
              </w:rPr>
            </w:pPr>
            <w:r>
              <w:rPr>
                <w:rFonts w:hint="eastAsia"/>
                <w:sz w:val="21"/>
                <w:szCs w:val="21"/>
              </w:rPr>
              <w:t xml:space="preserve">金融衍生品投资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58DCD6E0" w14:textId="77777777" w:rsidR="00D0083C" w:rsidRDefault="00854AE5">
            <w:pPr>
              <w:pStyle w:val="a3"/>
              <w:spacing w:before="0" w:beforeAutospacing="0" w:after="0" w:afterAutospacing="0"/>
              <w:jc w:val="right"/>
              <w:rPr>
                <w:sz w:val="21"/>
                <w:szCs w:val="21"/>
              </w:rPr>
            </w:pPr>
            <w:r>
              <w:rPr>
                <w:rFonts w:hint="eastAsia"/>
                <w:sz w:val="21"/>
                <w:szCs w:val="21"/>
              </w:rPr>
              <w:t>-</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2B2C3C3F"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20C9743D"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12D4944A" w14:textId="77777777" w:rsidR="00D0083C" w:rsidRDefault="00854AE5">
            <w:pPr>
              <w:pStyle w:val="a3"/>
              <w:spacing w:before="0" w:beforeAutospacing="0" w:after="0" w:afterAutospacing="0"/>
              <w:jc w:val="center"/>
              <w:rPr>
                <w:sz w:val="21"/>
                <w:szCs w:val="21"/>
              </w:rPr>
            </w:pPr>
            <w:r>
              <w:rPr>
                <w:rFonts w:hint="eastAsia"/>
                <w:sz w:val="21"/>
                <w:szCs w:val="21"/>
              </w:rPr>
              <w:t xml:space="preserve">6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0049952E" w14:textId="77777777" w:rsidR="00D0083C" w:rsidRDefault="00854AE5">
            <w:pPr>
              <w:pStyle w:val="a3"/>
              <w:spacing w:before="0" w:beforeAutospacing="0" w:after="0" w:afterAutospacing="0"/>
              <w:rPr>
                <w:sz w:val="21"/>
                <w:szCs w:val="21"/>
              </w:rPr>
            </w:pPr>
            <w:r>
              <w:rPr>
                <w:rFonts w:hint="eastAsia"/>
                <w:sz w:val="21"/>
                <w:szCs w:val="21"/>
              </w:rPr>
              <w:t xml:space="preserve">买入返售金融资产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21ECC554" w14:textId="77777777" w:rsidR="00D0083C" w:rsidRDefault="00854AE5">
            <w:pPr>
              <w:pStyle w:val="a3"/>
              <w:spacing w:before="0" w:beforeAutospacing="0" w:after="0" w:afterAutospacing="0"/>
              <w:jc w:val="right"/>
              <w:rPr>
                <w:sz w:val="21"/>
                <w:szCs w:val="21"/>
              </w:rPr>
            </w:pPr>
            <w:r>
              <w:rPr>
                <w:rFonts w:hint="eastAsia"/>
                <w:sz w:val="21"/>
                <w:szCs w:val="21"/>
              </w:rPr>
              <w:t>49,000,193.50</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135AE32A" w14:textId="77777777" w:rsidR="00D0083C" w:rsidRDefault="00854AE5">
            <w:pPr>
              <w:pStyle w:val="a3"/>
              <w:spacing w:before="0" w:beforeAutospacing="0" w:after="0" w:afterAutospacing="0"/>
              <w:jc w:val="right"/>
              <w:rPr>
                <w:sz w:val="21"/>
                <w:szCs w:val="21"/>
              </w:rPr>
            </w:pPr>
            <w:r>
              <w:rPr>
                <w:rFonts w:hint="eastAsia"/>
                <w:sz w:val="21"/>
                <w:szCs w:val="21"/>
              </w:rPr>
              <w:t>2.68</w:t>
            </w:r>
          </w:p>
        </w:tc>
      </w:tr>
      <w:tr w:rsidR="00D0083C" w14:paraId="326533D1"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6B7D018E" w14:textId="77777777" w:rsidR="00D0083C" w:rsidRDefault="00854AE5">
            <w:pPr>
              <w:pStyle w:val="a3"/>
              <w:spacing w:before="0" w:beforeAutospacing="0" w:after="0" w:afterAutospacing="0"/>
              <w:jc w:val="center"/>
              <w:rPr>
                <w:sz w:val="21"/>
                <w:szCs w:val="21"/>
              </w:rPr>
            </w:pPr>
            <w:r>
              <w:rPr>
                <w:rFonts w:hint="eastAsia"/>
                <w:sz w:val="21"/>
                <w:szCs w:val="21"/>
              </w:rPr>
              <w:t>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35B183AC" w14:textId="77777777" w:rsidR="00D0083C" w:rsidRDefault="00854AE5">
            <w:pPr>
              <w:pStyle w:val="a3"/>
              <w:spacing w:before="0" w:beforeAutospacing="0" w:after="0" w:afterAutospacing="0"/>
              <w:rPr>
                <w:sz w:val="21"/>
                <w:szCs w:val="21"/>
              </w:rPr>
            </w:pPr>
            <w:r>
              <w:rPr>
                <w:rFonts w:hint="eastAsia"/>
                <w:sz w:val="21"/>
                <w:szCs w:val="21"/>
              </w:rPr>
              <w:t xml:space="preserve">其中：买断式回购的买入返售金融资产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7615244A" w14:textId="77777777" w:rsidR="00D0083C" w:rsidRDefault="00854AE5">
            <w:pPr>
              <w:pStyle w:val="a3"/>
              <w:spacing w:before="0" w:beforeAutospacing="0" w:after="0" w:afterAutospacing="0"/>
              <w:jc w:val="right"/>
              <w:rPr>
                <w:sz w:val="21"/>
                <w:szCs w:val="21"/>
              </w:rPr>
            </w:pPr>
            <w:r>
              <w:rPr>
                <w:rFonts w:hint="eastAsia"/>
                <w:sz w:val="21"/>
                <w:szCs w:val="21"/>
              </w:rPr>
              <w:t>-</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241E1DAD"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7EF92BA2"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6F8194B7" w14:textId="77777777" w:rsidR="00D0083C" w:rsidRDefault="00854AE5">
            <w:pPr>
              <w:pStyle w:val="a3"/>
              <w:spacing w:before="0" w:beforeAutospacing="0" w:after="0" w:afterAutospacing="0"/>
              <w:jc w:val="center"/>
              <w:rPr>
                <w:sz w:val="21"/>
                <w:szCs w:val="21"/>
              </w:rPr>
            </w:pPr>
            <w:r>
              <w:rPr>
                <w:rFonts w:hint="eastAsia"/>
                <w:sz w:val="21"/>
                <w:szCs w:val="21"/>
              </w:rPr>
              <w:t xml:space="preserve">7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59332EBC" w14:textId="77777777" w:rsidR="00D0083C" w:rsidRDefault="00854AE5">
            <w:pPr>
              <w:pStyle w:val="a3"/>
              <w:spacing w:before="0" w:beforeAutospacing="0" w:after="0" w:afterAutospacing="0"/>
              <w:rPr>
                <w:sz w:val="21"/>
                <w:szCs w:val="21"/>
              </w:rPr>
            </w:pPr>
            <w:r>
              <w:rPr>
                <w:rFonts w:hint="eastAsia"/>
                <w:sz w:val="21"/>
                <w:szCs w:val="21"/>
              </w:rPr>
              <w:t xml:space="preserve">银行存款和结算备付金合计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1B94BEB0" w14:textId="77777777" w:rsidR="00D0083C" w:rsidRDefault="00854AE5">
            <w:pPr>
              <w:pStyle w:val="a3"/>
              <w:spacing w:before="0" w:beforeAutospacing="0" w:after="0" w:afterAutospacing="0"/>
              <w:jc w:val="right"/>
              <w:rPr>
                <w:sz w:val="21"/>
                <w:szCs w:val="21"/>
              </w:rPr>
            </w:pPr>
            <w:r>
              <w:rPr>
                <w:rFonts w:hint="eastAsia"/>
                <w:sz w:val="21"/>
                <w:szCs w:val="21"/>
              </w:rPr>
              <w:t>35,194,870.33</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346417FE" w14:textId="77777777" w:rsidR="00D0083C" w:rsidRDefault="00854AE5">
            <w:pPr>
              <w:pStyle w:val="a3"/>
              <w:spacing w:before="0" w:beforeAutospacing="0" w:after="0" w:afterAutospacing="0"/>
              <w:jc w:val="right"/>
              <w:rPr>
                <w:sz w:val="21"/>
                <w:szCs w:val="21"/>
              </w:rPr>
            </w:pPr>
            <w:r>
              <w:rPr>
                <w:rFonts w:hint="eastAsia"/>
                <w:sz w:val="21"/>
                <w:szCs w:val="21"/>
              </w:rPr>
              <w:t>1.93</w:t>
            </w:r>
          </w:p>
        </w:tc>
      </w:tr>
      <w:tr w:rsidR="00D0083C" w14:paraId="2E600112" w14:textId="77777777">
        <w:trPr>
          <w:divId w:val="1225483252"/>
        </w:trPr>
        <w:tc>
          <w:tcPr>
            <w:tcW w:w="635"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380BE72E" w14:textId="77777777" w:rsidR="00D0083C" w:rsidRDefault="00854AE5">
            <w:pPr>
              <w:pStyle w:val="a3"/>
              <w:spacing w:before="0" w:beforeAutospacing="0" w:after="0" w:afterAutospacing="0"/>
              <w:jc w:val="center"/>
              <w:rPr>
                <w:sz w:val="21"/>
                <w:szCs w:val="21"/>
              </w:rPr>
            </w:pPr>
            <w:r>
              <w:rPr>
                <w:rFonts w:hint="eastAsia"/>
                <w:sz w:val="21"/>
                <w:szCs w:val="21"/>
              </w:rPr>
              <w:t xml:space="preserve">8 </w:t>
            </w:r>
          </w:p>
        </w:tc>
        <w:tc>
          <w:tcPr>
            <w:tcW w:w="2477"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3BB096F8" w14:textId="77777777" w:rsidR="00D0083C" w:rsidRDefault="00854AE5">
            <w:pPr>
              <w:pStyle w:val="a3"/>
              <w:spacing w:before="0" w:beforeAutospacing="0" w:after="0" w:afterAutospacing="0"/>
              <w:rPr>
                <w:sz w:val="21"/>
                <w:szCs w:val="21"/>
              </w:rPr>
            </w:pPr>
            <w:r>
              <w:rPr>
                <w:rFonts w:hint="eastAsia"/>
                <w:sz w:val="21"/>
                <w:szCs w:val="21"/>
              </w:rPr>
              <w:t xml:space="preserve">其他资产 </w:t>
            </w:r>
          </w:p>
        </w:tc>
        <w:tc>
          <w:tcPr>
            <w:tcW w:w="2903"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009C77F9" w14:textId="77777777" w:rsidR="00D0083C" w:rsidRDefault="00854AE5">
            <w:pPr>
              <w:pStyle w:val="a3"/>
              <w:spacing w:before="0" w:beforeAutospacing="0" w:after="0" w:afterAutospacing="0"/>
              <w:jc w:val="right"/>
              <w:rPr>
                <w:sz w:val="21"/>
                <w:szCs w:val="21"/>
              </w:rPr>
            </w:pPr>
            <w:r>
              <w:rPr>
                <w:rFonts w:hint="eastAsia"/>
                <w:sz w:val="21"/>
                <w:szCs w:val="21"/>
              </w:rPr>
              <w:t>35,370,458.30</w:t>
            </w:r>
          </w:p>
        </w:tc>
        <w:tc>
          <w:tcPr>
            <w:tcW w:w="2052"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0DB330B3" w14:textId="77777777" w:rsidR="00D0083C" w:rsidRDefault="00854AE5">
            <w:pPr>
              <w:pStyle w:val="a3"/>
              <w:spacing w:before="0" w:beforeAutospacing="0" w:after="0" w:afterAutospacing="0"/>
              <w:jc w:val="right"/>
              <w:rPr>
                <w:sz w:val="21"/>
                <w:szCs w:val="21"/>
              </w:rPr>
            </w:pPr>
            <w:r>
              <w:rPr>
                <w:rFonts w:hint="eastAsia"/>
                <w:sz w:val="21"/>
                <w:szCs w:val="21"/>
              </w:rPr>
              <w:t>1.94</w:t>
            </w:r>
          </w:p>
        </w:tc>
      </w:tr>
      <w:tr w:rsidR="00D0083C" w14:paraId="6BAD5350" w14:textId="77777777">
        <w:trPr>
          <w:divId w:val="1225483252"/>
        </w:trPr>
        <w:tc>
          <w:tcPr>
            <w:tcW w:w="635" w:type="dxa"/>
            <w:tcBorders>
              <w:top w:val="single" w:sz="6" w:space="0" w:color="auto"/>
              <w:right w:val="single" w:sz="6" w:space="0" w:color="auto"/>
            </w:tcBorders>
            <w:tcMar>
              <w:top w:w="0" w:type="dxa"/>
              <w:left w:w="101" w:type="dxa"/>
              <w:bottom w:w="0" w:type="dxa"/>
              <w:right w:w="101" w:type="dxa"/>
            </w:tcMar>
            <w:vAlign w:val="center"/>
            <w:hideMark/>
          </w:tcPr>
          <w:p w14:paraId="3415DDCD" w14:textId="77777777" w:rsidR="00D0083C" w:rsidRDefault="00854AE5">
            <w:pPr>
              <w:pStyle w:val="a3"/>
              <w:spacing w:before="0" w:beforeAutospacing="0" w:after="0" w:afterAutospacing="0"/>
              <w:jc w:val="center"/>
              <w:rPr>
                <w:sz w:val="21"/>
                <w:szCs w:val="21"/>
              </w:rPr>
            </w:pPr>
            <w:r>
              <w:rPr>
                <w:rFonts w:hint="eastAsia"/>
                <w:sz w:val="21"/>
                <w:szCs w:val="21"/>
              </w:rPr>
              <w:t xml:space="preserve">9 </w:t>
            </w:r>
          </w:p>
        </w:tc>
        <w:tc>
          <w:tcPr>
            <w:tcW w:w="2477" w:type="dxa"/>
            <w:tcBorders>
              <w:top w:val="single" w:sz="6" w:space="0" w:color="auto"/>
              <w:left w:val="single" w:sz="6" w:space="0" w:color="auto"/>
              <w:right w:val="single" w:sz="6" w:space="0" w:color="auto"/>
            </w:tcBorders>
            <w:tcMar>
              <w:top w:w="0" w:type="dxa"/>
              <w:left w:w="101" w:type="dxa"/>
              <w:bottom w:w="0" w:type="dxa"/>
              <w:right w:w="101" w:type="dxa"/>
            </w:tcMar>
            <w:vAlign w:val="center"/>
            <w:hideMark/>
          </w:tcPr>
          <w:p w14:paraId="45EAE3E4" w14:textId="77777777" w:rsidR="00D0083C" w:rsidRDefault="00854AE5">
            <w:pPr>
              <w:pStyle w:val="a3"/>
              <w:spacing w:before="0" w:beforeAutospacing="0" w:after="0" w:afterAutospacing="0"/>
              <w:jc w:val="both"/>
              <w:rPr>
                <w:sz w:val="21"/>
                <w:szCs w:val="21"/>
              </w:rPr>
            </w:pPr>
            <w:r>
              <w:rPr>
                <w:rFonts w:hint="eastAsia"/>
                <w:sz w:val="21"/>
                <w:szCs w:val="21"/>
              </w:rPr>
              <w:t xml:space="preserve">合计 </w:t>
            </w:r>
          </w:p>
        </w:tc>
        <w:tc>
          <w:tcPr>
            <w:tcW w:w="2903" w:type="dxa"/>
            <w:tcBorders>
              <w:top w:val="single" w:sz="6" w:space="0" w:color="auto"/>
              <w:left w:val="single" w:sz="6" w:space="0" w:color="auto"/>
              <w:right w:val="single" w:sz="6" w:space="0" w:color="auto"/>
            </w:tcBorders>
            <w:tcMar>
              <w:top w:w="0" w:type="dxa"/>
              <w:left w:w="101" w:type="dxa"/>
              <w:bottom w:w="0" w:type="dxa"/>
              <w:right w:w="101" w:type="dxa"/>
            </w:tcMar>
            <w:vAlign w:val="center"/>
            <w:hideMark/>
          </w:tcPr>
          <w:p w14:paraId="5F357EED" w14:textId="77777777" w:rsidR="00D0083C" w:rsidRDefault="00854AE5">
            <w:pPr>
              <w:pStyle w:val="a3"/>
              <w:spacing w:before="0" w:beforeAutospacing="0" w:after="0" w:afterAutospacing="0"/>
              <w:jc w:val="right"/>
              <w:rPr>
                <w:sz w:val="21"/>
                <w:szCs w:val="21"/>
              </w:rPr>
            </w:pPr>
            <w:r>
              <w:rPr>
                <w:rFonts w:hint="eastAsia"/>
                <w:sz w:val="21"/>
                <w:szCs w:val="21"/>
              </w:rPr>
              <w:t>1,825,522,942.13</w:t>
            </w:r>
          </w:p>
        </w:tc>
        <w:tc>
          <w:tcPr>
            <w:tcW w:w="2052" w:type="dxa"/>
            <w:tcBorders>
              <w:top w:val="single" w:sz="6" w:space="0" w:color="auto"/>
              <w:left w:val="single" w:sz="6" w:space="0" w:color="auto"/>
            </w:tcBorders>
            <w:tcMar>
              <w:top w:w="0" w:type="dxa"/>
              <w:left w:w="101" w:type="dxa"/>
              <w:bottom w:w="0" w:type="dxa"/>
              <w:right w:w="101" w:type="dxa"/>
            </w:tcMar>
            <w:vAlign w:val="center"/>
            <w:hideMark/>
          </w:tcPr>
          <w:p w14:paraId="22532B35" w14:textId="77777777" w:rsidR="00D0083C" w:rsidRDefault="00854AE5">
            <w:pPr>
              <w:pStyle w:val="a3"/>
              <w:spacing w:before="0" w:beforeAutospacing="0" w:after="0" w:afterAutospacing="0"/>
              <w:jc w:val="right"/>
              <w:rPr>
                <w:sz w:val="21"/>
                <w:szCs w:val="21"/>
              </w:rPr>
            </w:pPr>
            <w:r>
              <w:rPr>
                <w:rFonts w:hint="eastAsia"/>
                <w:sz w:val="21"/>
                <w:szCs w:val="21"/>
              </w:rPr>
              <w:t>100.00</w:t>
            </w:r>
          </w:p>
        </w:tc>
      </w:tr>
    </w:tbl>
    <w:p w14:paraId="736213B4" w14:textId="77777777" w:rsidR="00D0083C" w:rsidRDefault="00854AE5">
      <w:pPr>
        <w:pStyle w:val="a3"/>
        <w:spacing w:before="0" w:beforeAutospacing="0" w:after="0" w:afterAutospacing="0" w:line="360" w:lineRule="auto"/>
        <w:divId w:val="1225483252"/>
        <w:rPr>
          <w:sz w:val="21"/>
          <w:szCs w:val="21"/>
        </w:rPr>
      </w:pPr>
      <w:bookmarkStart w:id="42" w:name="_Toc481074846"/>
      <w:bookmarkStart w:id="43" w:name="_Toc438646468"/>
      <w:bookmarkStart w:id="44" w:name="m502"/>
      <w:bookmarkStart w:id="45" w:name="_Toc438646470"/>
      <w:bookmarkStart w:id="46" w:name="m504"/>
      <w:bookmarkEnd w:id="42"/>
      <w:bookmarkEnd w:id="43"/>
      <w:bookmarkEnd w:id="44"/>
      <w:bookmarkEnd w:id="45"/>
      <w:r>
        <w:rPr>
          <w:rFonts w:hint="eastAsia"/>
          <w:b/>
          <w:bCs/>
          <w:sz w:val="21"/>
          <w:szCs w:val="21"/>
        </w:rPr>
        <w:lastRenderedPageBreak/>
        <w:t xml:space="preserve">2、报告期末按行业分类的股票投资组合 </w:t>
      </w:r>
      <w:bookmarkEnd w:id="46"/>
    </w:p>
    <w:p w14:paraId="149AD31C" w14:textId="77777777" w:rsidR="00D0083C" w:rsidRDefault="00854AE5">
      <w:pPr>
        <w:pStyle w:val="a3"/>
        <w:spacing w:before="0" w:beforeAutospacing="0" w:after="0" w:afterAutospacing="0" w:line="360" w:lineRule="auto"/>
        <w:divId w:val="1225483252"/>
        <w:rPr>
          <w:sz w:val="21"/>
          <w:szCs w:val="21"/>
        </w:rPr>
      </w:pPr>
      <w:bookmarkStart w:id="47" w:name="_Toc481074847"/>
      <w:r>
        <w:rPr>
          <w:rFonts w:hint="eastAsia"/>
          <w:b/>
          <w:bCs/>
          <w:sz w:val="21"/>
          <w:szCs w:val="21"/>
        </w:rPr>
        <w:t>（1）报告期末按行业分类的境内股票投资组合</w:t>
      </w:r>
      <w:bookmarkEnd w:id="47"/>
      <w:r>
        <w:rPr>
          <w:rFonts w:hint="eastAsia"/>
          <w:b/>
          <w:bCs/>
          <w:sz w:val="21"/>
          <w:szCs w:val="21"/>
        </w:rPr>
        <w:t xml:space="preserve"> </w:t>
      </w:r>
    </w:p>
    <w:p w14:paraId="12A1903F" w14:textId="77777777" w:rsidR="00D0083C" w:rsidRDefault="00854AE5">
      <w:pPr>
        <w:pStyle w:val="a3"/>
        <w:spacing w:before="0" w:beforeAutospacing="0" w:after="0" w:afterAutospacing="0" w:line="360" w:lineRule="auto"/>
        <w:divId w:val="1225483252"/>
        <w:rPr>
          <w:sz w:val="21"/>
          <w:szCs w:val="21"/>
        </w:rPr>
      </w:pPr>
      <w:bookmarkStart w:id="48" w:name="m502_tab"/>
      <w:r>
        <w:rPr>
          <w:rFonts w:hint="eastAsia"/>
          <w:sz w:val="21"/>
          <w:szCs w:val="21"/>
        </w:rPr>
        <w:t>注：无。</w:t>
      </w:r>
      <w:bookmarkEnd w:id="48"/>
    </w:p>
    <w:p w14:paraId="5B2787C4" w14:textId="77777777" w:rsidR="00D0083C" w:rsidRDefault="00854AE5">
      <w:pPr>
        <w:pStyle w:val="a3"/>
        <w:spacing w:before="0" w:beforeAutospacing="0" w:after="0" w:afterAutospacing="0" w:line="360" w:lineRule="auto"/>
        <w:divId w:val="1225483252"/>
        <w:rPr>
          <w:sz w:val="21"/>
          <w:szCs w:val="21"/>
        </w:rPr>
      </w:pPr>
      <w:bookmarkStart w:id="49" w:name="_Toc481074848"/>
      <w:r>
        <w:rPr>
          <w:rFonts w:hint="eastAsia"/>
          <w:b/>
          <w:bCs/>
          <w:sz w:val="21"/>
          <w:szCs w:val="21"/>
        </w:rPr>
        <w:t>（2）报告期末按行业分类的港股通投资股票投资组合</w:t>
      </w:r>
      <w:bookmarkEnd w:id="49"/>
      <w:r>
        <w:rPr>
          <w:rFonts w:hint="eastAsia"/>
          <w:b/>
          <w:bCs/>
          <w:sz w:val="21"/>
          <w:szCs w:val="21"/>
        </w:rPr>
        <w:t xml:space="preserve"> </w:t>
      </w:r>
    </w:p>
    <w:p w14:paraId="169063F7" w14:textId="77777777" w:rsidR="00D0083C" w:rsidRDefault="00854AE5">
      <w:pPr>
        <w:pStyle w:val="a3"/>
        <w:spacing w:before="0" w:beforeAutospacing="0" w:after="0" w:afterAutospacing="0" w:line="360" w:lineRule="auto"/>
        <w:divId w:val="1225483252"/>
        <w:rPr>
          <w:sz w:val="21"/>
          <w:szCs w:val="21"/>
        </w:rPr>
      </w:pPr>
      <w:r>
        <w:rPr>
          <w:rFonts w:hint="eastAsia"/>
          <w:sz w:val="21"/>
          <w:szCs w:val="21"/>
        </w:rPr>
        <w:t>注：无。</w:t>
      </w:r>
    </w:p>
    <w:p w14:paraId="3C57B493" w14:textId="77777777" w:rsidR="00D0083C" w:rsidRDefault="00854AE5">
      <w:pPr>
        <w:pStyle w:val="a3"/>
        <w:spacing w:before="0" w:beforeAutospacing="0" w:after="0" w:afterAutospacing="0" w:line="360" w:lineRule="auto"/>
        <w:divId w:val="1225483252"/>
        <w:rPr>
          <w:sz w:val="21"/>
          <w:szCs w:val="21"/>
        </w:rPr>
      </w:pPr>
      <w:bookmarkStart w:id="50" w:name="_Toc481074849"/>
      <w:r>
        <w:rPr>
          <w:rFonts w:hint="eastAsia"/>
          <w:b/>
          <w:bCs/>
          <w:sz w:val="21"/>
          <w:szCs w:val="21"/>
        </w:rPr>
        <w:t>3、报告期末按公允价值占基金资产净值比例大小排序的前十名股票投资明细</w:t>
      </w:r>
      <w:bookmarkEnd w:id="50"/>
      <w:r>
        <w:rPr>
          <w:rFonts w:hint="eastAsia"/>
          <w:sz w:val="21"/>
          <w:szCs w:val="21"/>
        </w:rPr>
        <w:t xml:space="preserve"> </w:t>
      </w:r>
    </w:p>
    <w:p w14:paraId="0BB74DF0" w14:textId="77777777" w:rsidR="00D0083C" w:rsidRDefault="00854AE5">
      <w:pPr>
        <w:pStyle w:val="a3"/>
        <w:spacing w:before="0" w:beforeAutospacing="0" w:after="0" w:afterAutospacing="0" w:line="360" w:lineRule="auto"/>
        <w:divId w:val="1225483252"/>
        <w:rPr>
          <w:sz w:val="21"/>
          <w:szCs w:val="21"/>
        </w:rPr>
      </w:pPr>
      <w:bookmarkStart w:id="51" w:name="m504_tab"/>
      <w:r>
        <w:rPr>
          <w:rFonts w:hint="eastAsia"/>
          <w:sz w:val="21"/>
          <w:szCs w:val="21"/>
        </w:rPr>
        <w:t>注：无。</w:t>
      </w:r>
      <w:bookmarkEnd w:id="51"/>
      <w:r>
        <w:rPr>
          <w:rFonts w:hint="eastAsia"/>
          <w:sz w:val="21"/>
          <w:szCs w:val="21"/>
        </w:rPr>
        <w:t xml:space="preserve"> </w:t>
      </w:r>
    </w:p>
    <w:p w14:paraId="12359E32" w14:textId="77777777" w:rsidR="00D0083C" w:rsidRDefault="00854AE5">
      <w:pPr>
        <w:pStyle w:val="a3"/>
        <w:spacing w:before="0" w:beforeAutospacing="0" w:after="0" w:afterAutospacing="0" w:line="360" w:lineRule="auto"/>
        <w:divId w:val="1225483252"/>
        <w:rPr>
          <w:sz w:val="21"/>
          <w:szCs w:val="21"/>
        </w:rPr>
      </w:pPr>
      <w:bookmarkStart w:id="52" w:name="_Toc481074850"/>
      <w:bookmarkStart w:id="53" w:name="_Toc438646471"/>
      <w:bookmarkStart w:id="54" w:name="m505"/>
      <w:bookmarkEnd w:id="52"/>
      <w:bookmarkEnd w:id="53"/>
      <w:r>
        <w:rPr>
          <w:rFonts w:hint="eastAsia"/>
          <w:b/>
          <w:bCs/>
          <w:sz w:val="21"/>
          <w:szCs w:val="21"/>
        </w:rPr>
        <w:t>4、报告期末按债券品种分类的债券投资组合</w:t>
      </w:r>
      <w:r>
        <w:rPr>
          <w:rFonts w:hint="eastAsia"/>
          <w:sz w:val="21"/>
          <w:szCs w:val="21"/>
        </w:rPr>
        <w:t xml:space="preserve"> </w:t>
      </w:r>
      <w:bookmarkEnd w:id="54"/>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52"/>
        <w:gridCol w:w="2477"/>
        <w:gridCol w:w="2963"/>
        <w:gridCol w:w="2098"/>
      </w:tblGrid>
      <w:tr w:rsidR="00D0083C" w14:paraId="5F983D37" w14:textId="77777777">
        <w:trPr>
          <w:divId w:val="1225483252"/>
          <w:trHeight w:val="315"/>
        </w:trPr>
        <w:tc>
          <w:tcPr>
            <w:tcW w:w="791" w:type="dxa"/>
            <w:tcBorders>
              <w:bottom w:val="single" w:sz="6" w:space="0" w:color="auto"/>
              <w:right w:val="single" w:sz="6" w:space="0" w:color="auto"/>
            </w:tcBorders>
            <w:shd w:val="clear" w:color="auto" w:fill="D7D7D7"/>
            <w:tcMar>
              <w:top w:w="0" w:type="dxa"/>
              <w:left w:w="22" w:type="dxa"/>
              <w:bottom w:w="0" w:type="dxa"/>
              <w:right w:w="22" w:type="dxa"/>
            </w:tcMar>
            <w:vAlign w:val="center"/>
            <w:hideMark/>
          </w:tcPr>
          <w:p w14:paraId="2E02ABDF" w14:textId="77777777" w:rsidR="00D0083C" w:rsidRDefault="00854AE5">
            <w:pPr>
              <w:pStyle w:val="a3"/>
              <w:spacing w:before="0" w:beforeAutospacing="0" w:after="0" w:afterAutospacing="0"/>
              <w:jc w:val="center"/>
              <w:rPr>
                <w:sz w:val="21"/>
                <w:szCs w:val="21"/>
              </w:rPr>
            </w:pPr>
            <w:r>
              <w:rPr>
                <w:rFonts w:hint="eastAsia"/>
                <w:sz w:val="21"/>
                <w:szCs w:val="21"/>
              </w:rPr>
              <w:t xml:space="preserve">序号 </w:t>
            </w:r>
          </w:p>
        </w:tc>
        <w:tc>
          <w:tcPr>
            <w:tcW w:w="2633" w:type="dxa"/>
            <w:tcBorders>
              <w:left w:val="single" w:sz="6" w:space="0" w:color="auto"/>
              <w:bottom w:val="single" w:sz="6" w:space="0" w:color="auto"/>
              <w:right w:val="single" w:sz="6" w:space="0" w:color="auto"/>
            </w:tcBorders>
            <w:shd w:val="clear" w:color="auto" w:fill="D7D7D7"/>
            <w:tcMar>
              <w:top w:w="0" w:type="dxa"/>
              <w:left w:w="22" w:type="dxa"/>
              <w:bottom w:w="0" w:type="dxa"/>
              <w:right w:w="22" w:type="dxa"/>
            </w:tcMar>
            <w:vAlign w:val="center"/>
            <w:hideMark/>
          </w:tcPr>
          <w:p w14:paraId="37885D55" w14:textId="77777777" w:rsidR="00D0083C" w:rsidRDefault="00854AE5">
            <w:pPr>
              <w:pStyle w:val="a3"/>
              <w:spacing w:before="0" w:beforeAutospacing="0" w:after="0" w:afterAutospacing="0"/>
              <w:jc w:val="center"/>
              <w:rPr>
                <w:sz w:val="21"/>
                <w:szCs w:val="21"/>
              </w:rPr>
            </w:pPr>
            <w:r>
              <w:rPr>
                <w:rFonts w:hint="eastAsia"/>
                <w:sz w:val="21"/>
                <w:szCs w:val="21"/>
              </w:rPr>
              <w:t xml:space="preserve">债券品种 </w:t>
            </w:r>
          </w:p>
        </w:tc>
        <w:tc>
          <w:tcPr>
            <w:tcW w:w="3059" w:type="dxa"/>
            <w:tcBorders>
              <w:left w:val="single" w:sz="6" w:space="0" w:color="auto"/>
              <w:bottom w:val="single" w:sz="6" w:space="0" w:color="auto"/>
              <w:right w:val="single" w:sz="6" w:space="0" w:color="auto"/>
            </w:tcBorders>
            <w:shd w:val="clear" w:color="auto" w:fill="D7D7D7"/>
            <w:tcMar>
              <w:top w:w="0" w:type="dxa"/>
              <w:left w:w="22" w:type="dxa"/>
              <w:bottom w:w="0" w:type="dxa"/>
              <w:right w:w="22" w:type="dxa"/>
            </w:tcMar>
            <w:vAlign w:val="center"/>
            <w:hideMark/>
          </w:tcPr>
          <w:p w14:paraId="05715F1F" w14:textId="77777777" w:rsidR="00D0083C" w:rsidRDefault="00854AE5">
            <w:pPr>
              <w:pStyle w:val="a3"/>
              <w:spacing w:before="0" w:beforeAutospacing="0" w:after="0" w:afterAutospacing="0"/>
              <w:jc w:val="center"/>
              <w:rPr>
                <w:sz w:val="21"/>
                <w:szCs w:val="21"/>
              </w:rPr>
            </w:pPr>
            <w:r>
              <w:rPr>
                <w:rFonts w:hint="eastAsia"/>
                <w:sz w:val="21"/>
                <w:szCs w:val="21"/>
              </w:rPr>
              <w:t xml:space="preserve">公允价值（元） </w:t>
            </w:r>
          </w:p>
        </w:tc>
        <w:tc>
          <w:tcPr>
            <w:tcW w:w="2208" w:type="dxa"/>
            <w:tcBorders>
              <w:left w:val="single" w:sz="6" w:space="0" w:color="auto"/>
              <w:bottom w:val="single" w:sz="6" w:space="0" w:color="auto"/>
            </w:tcBorders>
            <w:shd w:val="clear" w:color="auto" w:fill="D7D7D7"/>
            <w:tcMar>
              <w:top w:w="0" w:type="dxa"/>
              <w:left w:w="22" w:type="dxa"/>
              <w:bottom w:w="0" w:type="dxa"/>
              <w:right w:w="22" w:type="dxa"/>
            </w:tcMar>
            <w:vAlign w:val="center"/>
            <w:hideMark/>
          </w:tcPr>
          <w:p w14:paraId="695AE88C" w14:textId="77777777" w:rsidR="00D0083C" w:rsidRDefault="00854AE5">
            <w:pPr>
              <w:pStyle w:val="a3"/>
              <w:spacing w:before="0" w:beforeAutospacing="0" w:after="0" w:afterAutospacing="0"/>
              <w:jc w:val="center"/>
              <w:rPr>
                <w:sz w:val="21"/>
                <w:szCs w:val="21"/>
              </w:rPr>
            </w:pPr>
            <w:r>
              <w:rPr>
                <w:rFonts w:hint="eastAsia"/>
                <w:sz w:val="21"/>
                <w:szCs w:val="21"/>
              </w:rPr>
              <w:t xml:space="preserve">占基金资产净值比例（％） </w:t>
            </w:r>
          </w:p>
        </w:tc>
      </w:tr>
      <w:tr w:rsidR="00D0083C" w14:paraId="328FD202" w14:textId="77777777">
        <w:trPr>
          <w:divId w:val="1225483252"/>
          <w:trHeight w:val="315"/>
        </w:trPr>
        <w:tc>
          <w:tcPr>
            <w:tcW w:w="791" w:type="dxa"/>
            <w:tcBorders>
              <w:top w:val="single" w:sz="6" w:space="0" w:color="auto"/>
              <w:bottom w:val="single" w:sz="6" w:space="0" w:color="auto"/>
              <w:right w:val="single" w:sz="6" w:space="0" w:color="auto"/>
            </w:tcBorders>
            <w:tcMar>
              <w:top w:w="0" w:type="dxa"/>
              <w:left w:w="22" w:type="dxa"/>
              <w:bottom w:w="0" w:type="dxa"/>
              <w:right w:w="22" w:type="dxa"/>
            </w:tcMar>
            <w:vAlign w:val="center"/>
            <w:hideMark/>
          </w:tcPr>
          <w:p w14:paraId="6E715892" w14:textId="77777777" w:rsidR="00D0083C" w:rsidRDefault="00854AE5">
            <w:pPr>
              <w:pStyle w:val="a3"/>
              <w:spacing w:before="0" w:beforeAutospacing="0" w:after="0" w:afterAutospacing="0" w:line="340" w:lineRule="atLeast"/>
              <w:jc w:val="center"/>
            </w:pPr>
            <w:r>
              <w:rPr>
                <w:rFonts w:hint="eastAsia"/>
                <w:sz w:val="21"/>
                <w:szCs w:val="21"/>
              </w:rPr>
              <w:t xml:space="preserve">1 </w:t>
            </w:r>
          </w:p>
        </w:tc>
        <w:tc>
          <w:tcPr>
            <w:tcW w:w="2633"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0D5FC0F8" w14:textId="77777777" w:rsidR="00D0083C" w:rsidRDefault="00854AE5">
            <w:pPr>
              <w:pStyle w:val="a3"/>
              <w:spacing w:before="0" w:beforeAutospacing="0" w:after="0" w:afterAutospacing="0" w:line="340" w:lineRule="atLeast"/>
              <w:jc w:val="both"/>
            </w:pPr>
            <w:r>
              <w:rPr>
                <w:rFonts w:hint="eastAsia"/>
                <w:sz w:val="21"/>
                <w:szCs w:val="21"/>
              </w:rPr>
              <w:t xml:space="preserve">国家债券 </w:t>
            </w:r>
          </w:p>
        </w:tc>
        <w:tc>
          <w:tcPr>
            <w:tcW w:w="3059"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2D7A9B2C" w14:textId="77777777" w:rsidR="00D0083C" w:rsidRDefault="00854AE5">
            <w:pPr>
              <w:pStyle w:val="a3"/>
              <w:spacing w:before="0" w:beforeAutospacing="0" w:after="0" w:afterAutospacing="0" w:line="380" w:lineRule="atLeast"/>
              <w:jc w:val="right"/>
            </w:pPr>
            <w:r>
              <w:rPr>
                <w:rFonts w:hint="eastAsia"/>
                <w:sz w:val="21"/>
                <w:szCs w:val="21"/>
              </w:rPr>
              <w:t>-</w:t>
            </w:r>
          </w:p>
        </w:tc>
        <w:tc>
          <w:tcPr>
            <w:tcW w:w="2208" w:type="dxa"/>
            <w:tcBorders>
              <w:top w:val="single" w:sz="6" w:space="0" w:color="auto"/>
              <w:left w:val="single" w:sz="6" w:space="0" w:color="auto"/>
              <w:bottom w:val="single" w:sz="6" w:space="0" w:color="auto"/>
            </w:tcBorders>
            <w:tcMar>
              <w:top w:w="0" w:type="dxa"/>
              <w:left w:w="22" w:type="dxa"/>
              <w:bottom w:w="0" w:type="dxa"/>
              <w:right w:w="22" w:type="dxa"/>
            </w:tcMar>
            <w:vAlign w:val="center"/>
            <w:hideMark/>
          </w:tcPr>
          <w:p w14:paraId="539FBFD9" w14:textId="77777777" w:rsidR="00D0083C" w:rsidRDefault="00854AE5">
            <w:pPr>
              <w:pStyle w:val="a3"/>
              <w:spacing w:before="0" w:beforeAutospacing="0" w:after="0" w:afterAutospacing="0" w:line="380" w:lineRule="atLeast"/>
              <w:jc w:val="right"/>
            </w:pPr>
            <w:r>
              <w:rPr>
                <w:rFonts w:hint="eastAsia"/>
                <w:sz w:val="21"/>
                <w:szCs w:val="21"/>
              </w:rPr>
              <w:t>-</w:t>
            </w:r>
          </w:p>
        </w:tc>
      </w:tr>
      <w:tr w:rsidR="00D0083C" w14:paraId="34AF4A96" w14:textId="77777777">
        <w:trPr>
          <w:divId w:val="1225483252"/>
          <w:trHeight w:val="315"/>
        </w:trPr>
        <w:tc>
          <w:tcPr>
            <w:tcW w:w="791" w:type="dxa"/>
            <w:tcBorders>
              <w:top w:val="single" w:sz="6" w:space="0" w:color="auto"/>
              <w:bottom w:val="single" w:sz="6" w:space="0" w:color="auto"/>
              <w:right w:val="single" w:sz="6" w:space="0" w:color="auto"/>
            </w:tcBorders>
            <w:tcMar>
              <w:top w:w="0" w:type="dxa"/>
              <w:left w:w="22" w:type="dxa"/>
              <w:bottom w:w="0" w:type="dxa"/>
              <w:right w:w="22" w:type="dxa"/>
            </w:tcMar>
            <w:vAlign w:val="center"/>
            <w:hideMark/>
          </w:tcPr>
          <w:p w14:paraId="527858F6" w14:textId="77777777" w:rsidR="00D0083C" w:rsidRDefault="00854AE5">
            <w:pPr>
              <w:pStyle w:val="a3"/>
              <w:spacing w:before="0" w:beforeAutospacing="0" w:after="0" w:afterAutospacing="0" w:line="340" w:lineRule="atLeast"/>
              <w:jc w:val="center"/>
            </w:pPr>
            <w:r>
              <w:rPr>
                <w:rFonts w:hint="eastAsia"/>
                <w:sz w:val="21"/>
                <w:szCs w:val="21"/>
              </w:rPr>
              <w:t xml:space="preserve">2 </w:t>
            </w:r>
          </w:p>
        </w:tc>
        <w:tc>
          <w:tcPr>
            <w:tcW w:w="2633"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6DF9C515" w14:textId="77777777" w:rsidR="00D0083C" w:rsidRDefault="00854AE5">
            <w:pPr>
              <w:pStyle w:val="a3"/>
              <w:spacing w:before="0" w:beforeAutospacing="0" w:after="0" w:afterAutospacing="0" w:line="340" w:lineRule="atLeast"/>
              <w:jc w:val="both"/>
            </w:pPr>
            <w:r>
              <w:rPr>
                <w:rFonts w:hint="eastAsia"/>
                <w:sz w:val="21"/>
                <w:szCs w:val="21"/>
              </w:rPr>
              <w:t xml:space="preserve">央行票据 </w:t>
            </w:r>
          </w:p>
        </w:tc>
        <w:tc>
          <w:tcPr>
            <w:tcW w:w="3059"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220AB02A" w14:textId="77777777" w:rsidR="00D0083C" w:rsidRDefault="00854AE5">
            <w:pPr>
              <w:pStyle w:val="a3"/>
              <w:spacing w:before="0" w:beforeAutospacing="0" w:after="0" w:afterAutospacing="0" w:line="380" w:lineRule="atLeast"/>
              <w:jc w:val="right"/>
            </w:pPr>
            <w:r>
              <w:rPr>
                <w:rFonts w:hint="eastAsia"/>
                <w:sz w:val="21"/>
                <w:szCs w:val="21"/>
              </w:rPr>
              <w:t>-</w:t>
            </w:r>
          </w:p>
        </w:tc>
        <w:tc>
          <w:tcPr>
            <w:tcW w:w="2208" w:type="dxa"/>
            <w:tcBorders>
              <w:top w:val="single" w:sz="6" w:space="0" w:color="auto"/>
              <w:left w:val="single" w:sz="6" w:space="0" w:color="auto"/>
              <w:bottom w:val="single" w:sz="6" w:space="0" w:color="auto"/>
            </w:tcBorders>
            <w:tcMar>
              <w:top w:w="0" w:type="dxa"/>
              <w:left w:w="22" w:type="dxa"/>
              <w:bottom w:w="0" w:type="dxa"/>
              <w:right w:w="22" w:type="dxa"/>
            </w:tcMar>
            <w:vAlign w:val="center"/>
            <w:hideMark/>
          </w:tcPr>
          <w:p w14:paraId="0F1506B7" w14:textId="77777777" w:rsidR="00D0083C" w:rsidRDefault="00854AE5">
            <w:pPr>
              <w:pStyle w:val="a3"/>
              <w:spacing w:before="0" w:beforeAutospacing="0" w:after="0" w:afterAutospacing="0" w:line="380" w:lineRule="atLeast"/>
              <w:jc w:val="right"/>
            </w:pPr>
            <w:r>
              <w:rPr>
                <w:rFonts w:hint="eastAsia"/>
                <w:sz w:val="21"/>
                <w:szCs w:val="21"/>
              </w:rPr>
              <w:t>-</w:t>
            </w:r>
          </w:p>
        </w:tc>
      </w:tr>
      <w:tr w:rsidR="00D0083C" w14:paraId="58734A2E" w14:textId="77777777">
        <w:trPr>
          <w:divId w:val="1225483252"/>
          <w:trHeight w:val="315"/>
        </w:trPr>
        <w:tc>
          <w:tcPr>
            <w:tcW w:w="791" w:type="dxa"/>
            <w:tcBorders>
              <w:top w:val="single" w:sz="6" w:space="0" w:color="auto"/>
              <w:bottom w:val="single" w:sz="6" w:space="0" w:color="auto"/>
              <w:right w:val="single" w:sz="6" w:space="0" w:color="auto"/>
            </w:tcBorders>
            <w:tcMar>
              <w:top w:w="0" w:type="dxa"/>
              <w:left w:w="22" w:type="dxa"/>
              <w:bottom w:w="0" w:type="dxa"/>
              <w:right w:w="22" w:type="dxa"/>
            </w:tcMar>
            <w:vAlign w:val="center"/>
            <w:hideMark/>
          </w:tcPr>
          <w:p w14:paraId="43CD277F" w14:textId="77777777" w:rsidR="00D0083C" w:rsidRDefault="00854AE5">
            <w:pPr>
              <w:pStyle w:val="a3"/>
              <w:spacing w:before="0" w:beforeAutospacing="0" w:after="0" w:afterAutospacing="0" w:line="340" w:lineRule="atLeast"/>
              <w:jc w:val="center"/>
            </w:pPr>
            <w:r>
              <w:rPr>
                <w:rFonts w:hint="eastAsia"/>
                <w:sz w:val="21"/>
                <w:szCs w:val="21"/>
              </w:rPr>
              <w:t xml:space="preserve">3 </w:t>
            </w:r>
          </w:p>
        </w:tc>
        <w:tc>
          <w:tcPr>
            <w:tcW w:w="2633"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30710629" w14:textId="77777777" w:rsidR="00D0083C" w:rsidRDefault="00854AE5">
            <w:pPr>
              <w:pStyle w:val="a3"/>
              <w:spacing w:before="0" w:beforeAutospacing="0" w:after="0" w:afterAutospacing="0" w:line="340" w:lineRule="atLeast"/>
              <w:jc w:val="both"/>
            </w:pPr>
            <w:r>
              <w:rPr>
                <w:rFonts w:hint="eastAsia"/>
                <w:sz w:val="21"/>
                <w:szCs w:val="21"/>
              </w:rPr>
              <w:t xml:space="preserve">金融债券 </w:t>
            </w:r>
          </w:p>
        </w:tc>
        <w:tc>
          <w:tcPr>
            <w:tcW w:w="3059"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7B061042" w14:textId="77777777" w:rsidR="00D0083C" w:rsidRDefault="00854AE5">
            <w:pPr>
              <w:pStyle w:val="a3"/>
              <w:spacing w:before="0" w:beforeAutospacing="0" w:after="0" w:afterAutospacing="0" w:line="380" w:lineRule="atLeast"/>
              <w:jc w:val="right"/>
            </w:pPr>
            <w:r>
              <w:rPr>
                <w:rFonts w:hint="eastAsia"/>
                <w:sz w:val="21"/>
                <w:szCs w:val="21"/>
              </w:rPr>
              <w:t>290,860,720.00</w:t>
            </w:r>
          </w:p>
        </w:tc>
        <w:tc>
          <w:tcPr>
            <w:tcW w:w="2208" w:type="dxa"/>
            <w:tcBorders>
              <w:top w:val="single" w:sz="6" w:space="0" w:color="auto"/>
              <w:left w:val="single" w:sz="6" w:space="0" w:color="auto"/>
              <w:bottom w:val="single" w:sz="6" w:space="0" w:color="auto"/>
            </w:tcBorders>
            <w:tcMar>
              <w:top w:w="0" w:type="dxa"/>
              <w:left w:w="22" w:type="dxa"/>
              <w:bottom w:w="0" w:type="dxa"/>
              <w:right w:w="22" w:type="dxa"/>
            </w:tcMar>
            <w:vAlign w:val="center"/>
            <w:hideMark/>
          </w:tcPr>
          <w:p w14:paraId="32AAAB1D" w14:textId="77777777" w:rsidR="00D0083C" w:rsidRDefault="00854AE5">
            <w:pPr>
              <w:pStyle w:val="a3"/>
              <w:spacing w:before="0" w:beforeAutospacing="0" w:after="0" w:afterAutospacing="0" w:line="380" w:lineRule="atLeast"/>
              <w:jc w:val="right"/>
            </w:pPr>
            <w:r>
              <w:rPr>
                <w:rFonts w:hint="eastAsia"/>
                <w:sz w:val="21"/>
                <w:szCs w:val="21"/>
              </w:rPr>
              <w:t>19.80</w:t>
            </w:r>
          </w:p>
        </w:tc>
      </w:tr>
      <w:tr w:rsidR="00D0083C" w14:paraId="78C7B3EF" w14:textId="77777777">
        <w:trPr>
          <w:divId w:val="1225483252"/>
          <w:trHeight w:val="315"/>
        </w:trPr>
        <w:tc>
          <w:tcPr>
            <w:tcW w:w="791" w:type="dxa"/>
            <w:tcBorders>
              <w:top w:val="single" w:sz="6" w:space="0" w:color="auto"/>
              <w:bottom w:val="single" w:sz="6" w:space="0" w:color="auto"/>
              <w:right w:val="single" w:sz="6" w:space="0" w:color="auto"/>
            </w:tcBorders>
            <w:tcMar>
              <w:top w:w="0" w:type="dxa"/>
              <w:left w:w="22" w:type="dxa"/>
              <w:bottom w:w="0" w:type="dxa"/>
              <w:right w:w="22" w:type="dxa"/>
            </w:tcMar>
            <w:vAlign w:val="center"/>
            <w:hideMark/>
          </w:tcPr>
          <w:p w14:paraId="59F1ADF6" w14:textId="77777777" w:rsidR="00D0083C" w:rsidRDefault="00854AE5">
            <w:pPr>
              <w:pStyle w:val="a3"/>
              <w:spacing w:before="0" w:beforeAutospacing="0" w:after="0" w:afterAutospacing="0" w:line="340" w:lineRule="atLeast"/>
              <w:jc w:val="center"/>
            </w:pPr>
            <w:r>
              <w:rPr>
                <w:rFonts w:hint="eastAsia"/>
                <w:sz w:val="21"/>
                <w:szCs w:val="21"/>
              </w:rPr>
              <w:t> </w:t>
            </w:r>
          </w:p>
        </w:tc>
        <w:tc>
          <w:tcPr>
            <w:tcW w:w="2633"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27AB9BBF" w14:textId="77777777" w:rsidR="00D0083C" w:rsidRDefault="00854AE5">
            <w:pPr>
              <w:pStyle w:val="a3"/>
              <w:spacing w:before="0" w:beforeAutospacing="0" w:after="0" w:afterAutospacing="0" w:line="340" w:lineRule="atLeast"/>
              <w:jc w:val="both"/>
            </w:pPr>
            <w:r>
              <w:rPr>
                <w:rFonts w:hint="eastAsia"/>
                <w:sz w:val="21"/>
                <w:szCs w:val="21"/>
              </w:rPr>
              <w:t xml:space="preserve">其中：政策性金融债 </w:t>
            </w:r>
          </w:p>
        </w:tc>
        <w:tc>
          <w:tcPr>
            <w:tcW w:w="3059"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7D82BF02" w14:textId="77777777" w:rsidR="00D0083C" w:rsidRDefault="00854AE5">
            <w:pPr>
              <w:pStyle w:val="a3"/>
              <w:spacing w:before="0" w:beforeAutospacing="0" w:after="0" w:afterAutospacing="0" w:line="380" w:lineRule="atLeast"/>
              <w:jc w:val="right"/>
            </w:pPr>
            <w:r>
              <w:rPr>
                <w:rFonts w:hint="eastAsia"/>
                <w:sz w:val="21"/>
                <w:szCs w:val="21"/>
              </w:rPr>
              <w:t>250,988,720.00</w:t>
            </w:r>
          </w:p>
        </w:tc>
        <w:tc>
          <w:tcPr>
            <w:tcW w:w="2208" w:type="dxa"/>
            <w:tcBorders>
              <w:top w:val="single" w:sz="6" w:space="0" w:color="auto"/>
              <w:left w:val="single" w:sz="6" w:space="0" w:color="auto"/>
              <w:bottom w:val="single" w:sz="6" w:space="0" w:color="auto"/>
            </w:tcBorders>
            <w:tcMar>
              <w:top w:w="0" w:type="dxa"/>
              <w:left w:w="22" w:type="dxa"/>
              <w:bottom w:w="0" w:type="dxa"/>
              <w:right w:w="22" w:type="dxa"/>
            </w:tcMar>
            <w:vAlign w:val="center"/>
            <w:hideMark/>
          </w:tcPr>
          <w:p w14:paraId="1BE69AA7" w14:textId="77777777" w:rsidR="00D0083C" w:rsidRDefault="00854AE5">
            <w:pPr>
              <w:pStyle w:val="a3"/>
              <w:spacing w:before="0" w:beforeAutospacing="0" w:after="0" w:afterAutospacing="0" w:line="380" w:lineRule="atLeast"/>
              <w:jc w:val="right"/>
            </w:pPr>
            <w:r>
              <w:rPr>
                <w:rFonts w:hint="eastAsia"/>
                <w:sz w:val="21"/>
                <w:szCs w:val="21"/>
              </w:rPr>
              <w:t>17.09</w:t>
            </w:r>
          </w:p>
        </w:tc>
      </w:tr>
      <w:tr w:rsidR="00D0083C" w14:paraId="26EB4DF0" w14:textId="77777777">
        <w:trPr>
          <w:divId w:val="1225483252"/>
          <w:trHeight w:val="315"/>
        </w:trPr>
        <w:tc>
          <w:tcPr>
            <w:tcW w:w="791" w:type="dxa"/>
            <w:tcBorders>
              <w:top w:val="single" w:sz="6" w:space="0" w:color="auto"/>
              <w:bottom w:val="single" w:sz="6" w:space="0" w:color="auto"/>
              <w:right w:val="single" w:sz="6" w:space="0" w:color="auto"/>
            </w:tcBorders>
            <w:tcMar>
              <w:top w:w="0" w:type="dxa"/>
              <w:left w:w="22" w:type="dxa"/>
              <w:bottom w:w="0" w:type="dxa"/>
              <w:right w:w="22" w:type="dxa"/>
            </w:tcMar>
            <w:vAlign w:val="center"/>
            <w:hideMark/>
          </w:tcPr>
          <w:p w14:paraId="204ECBAA" w14:textId="77777777" w:rsidR="00D0083C" w:rsidRDefault="00854AE5">
            <w:pPr>
              <w:pStyle w:val="a3"/>
              <w:spacing w:before="0" w:beforeAutospacing="0" w:after="0" w:afterAutospacing="0" w:line="340" w:lineRule="atLeast"/>
              <w:jc w:val="center"/>
            </w:pPr>
            <w:r>
              <w:rPr>
                <w:rFonts w:hint="eastAsia"/>
                <w:sz w:val="21"/>
                <w:szCs w:val="21"/>
              </w:rPr>
              <w:t xml:space="preserve">4 </w:t>
            </w:r>
          </w:p>
        </w:tc>
        <w:tc>
          <w:tcPr>
            <w:tcW w:w="2633"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09E80BB5" w14:textId="77777777" w:rsidR="00D0083C" w:rsidRDefault="00854AE5">
            <w:pPr>
              <w:pStyle w:val="a3"/>
              <w:spacing w:before="0" w:beforeAutospacing="0" w:after="0" w:afterAutospacing="0" w:line="340" w:lineRule="atLeast"/>
              <w:jc w:val="both"/>
            </w:pPr>
            <w:r>
              <w:rPr>
                <w:rFonts w:hint="eastAsia"/>
                <w:sz w:val="21"/>
                <w:szCs w:val="21"/>
              </w:rPr>
              <w:t xml:space="preserve">企业债券 </w:t>
            </w:r>
          </w:p>
        </w:tc>
        <w:tc>
          <w:tcPr>
            <w:tcW w:w="3059"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2615D527" w14:textId="77777777" w:rsidR="00D0083C" w:rsidRDefault="00854AE5">
            <w:pPr>
              <w:pStyle w:val="a3"/>
              <w:spacing w:before="0" w:beforeAutospacing="0" w:after="0" w:afterAutospacing="0" w:line="380" w:lineRule="atLeast"/>
              <w:jc w:val="right"/>
            </w:pPr>
            <w:r>
              <w:rPr>
                <w:rFonts w:hint="eastAsia"/>
                <w:sz w:val="21"/>
                <w:szCs w:val="21"/>
              </w:rPr>
              <w:t>780,828,500.00</w:t>
            </w:r>
          </w:p>
        </w:tc>
        <w:tc>
          <w:tcPr>
            <w:tcW w:w="2208" w:type="dxa"/>
            <w:tcBorders>
              <w:top w:val="single" w:sz="6" w:space="0" w:color="auto"/>
              <w:left w:val="single" w:sz="6" w:space="0" w:color="auto"/>
              <w:bottom w:val="single" w:sz="6" w:space="0" w:color="auto"/>
            </w:tcBorders>
            <w:tcMar>
              <w:top w:w="0" w:type="dxa"/>
              <w:left w:w="22" w:type="dxa"/>
              <w:bottom w:w="0" w:type="dxa"/>
              <w:right w:w="22" w:type="dxa"/>
            </w:tcMar>
            <w:vAlign w:val="center"/>
            <w:hideMark/>
          </w:tcPr>
          <w:p w14:paraId="2E9F0E10" w14:textId="77777777" w:rsidR="00D0083C" w:rsidRDefault="00854AE5">
            <w:pPr>
              <w:pStyle w:val="a3"/>
              <w:spacing w:before="0" w:beforeAutospacing="0" w:after="0" w:afterAutospacing="0" w:line="380" w:lineRule="atLeast"/>
              <w:jc w:val="right"/>
            </w:pPr>
            <w:r>
              <w:rPr>
                <w:rFonts w:hint="eastAsia"/>
                <w:sz w:val="21"/>
                <w:szCs w:val="21"/>
              </w:rPr>
              <w:t>53.16</w:t>
            </w:r>
          </w:p>
        </w:tc>
      </w:tr>
      <w:tr w:rsidR="00D0083C" w14:paraId="3580D91E" w14:textId="77777777">
        <w:trPr>
          <w:divId w:val="1225483252"/>
          <w:trHeight w:val="315"/>
        </w:trPr>
        <w:tc>
          <w:tcPr>
            <w:tcW w:w="791" w:type="dxa"/>
            <w:tcBorders>
              <w:top w:val="single" w:sz="6" w:space="0" w:color="auto"/>
              <w:bottom w:val="single" w:sz="6" w:space="0" w:color="auto"/>
              <w:right w:val="single" w:sz="6" w:space="0" w:color="auto"/>
            </w:tcBorders>
            <w:tcMar>
              <w:top w:w="0" w:type="dxa"/>
              <w:left w:w="22" w:type="dxa"/>
              <w:bottom w:w="0" w:type="dxa"/>
              <w:right w:w="22" w:type="dxa"/>
            </w:tcMar>
            <w:vAlign w:val="center"/>
            <w:hideMark/>
          </w:tcPr>
          <w:p w14:paraId="2C19A6A9" w14:textId="77777777" w:rsidR="00D0083C" w:rsidRDefault="00854AE5">
            <w:pPr>
              <w:pStyle w:val="a3"/>
              <w:spacing w:before="0" w:beforeAutospacing="0" w:after="0" w:afterAutospacing="0" w:line="340" w:lineRule="atLeast"/>
              <w:jc w:val="center"/>
            </w:pPr>
            <w:r>
              <w:rPr>
                <w:rFonts w:hint="eastAsia"/>
                <w:sz w:val="21"/>
                <w:szCs w:val="21"/>
              </w:rPr>
              <w:t xml:space="preserve">5 </w:t>
            </w:r>
          </w:p>
        </w:tc>
        <w:tc>
          <w:tcPr>
            <w:tcW w:w="2633"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6F1B7D41" w14:textId="77777777" w:rsidR="00D0083C" w:rsidRDefault="00854AE5">
            <w:pPr>
              <w:pStyle w:val="a3"/>
              <w:spacing w:before="0" w:beforeAutospacing="0" w:after="0" w:afterAutospacing="0" w:line="340" w:lineRule="atLeast"/>
              <w:jc w:val="both"/>
            </w:pPr>
            <w:r>
              <w:rPr>
                <w:rFonts w:hint="eastAsia"/>
                <w:sz w:val="21"/>
                <w:szCs w:val="21"/>
              </w:rPr>
              <w:t xml:space="preserve">企业短期融资券 </w:t>
            </w:r>
          </w:p>
        </w:tc>
        <w:tc>
          <w:tcPr>
            <w:tcW w:w="3059"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0CA11AFB" w14:textId="77777777" w:rsidR="00D0083C" w:rsidRDefault="00854AE5">
            <w:pPr>
              <w:pStyle w:val="a3"/>
              <w:spacing w:before="0" w:beforeAutospacing="0" w:after="0" w:afterAutospacing="0" w:line="380" w:lineRule="atLeast"/>
              <w:jc w:val="right"/>
            </w:pPr>
            <w:r>
              <w:rPr>
                <w:rFonts w:hint="eastAsia"/>
                <w:sz w:val="21"/>
                <w:szCs w:val="21"/>
              </w:rPr>
              <w:t>-</w:t>
            </w:r>
          </w:p>
        </w:tc>
        <w:tc>
          <w:tcPr>
            <w:tcW w:w="2208" w:type="dxa"/>
            <w:tcBorders>
              <w:top w:val="single" w:sz="6" w:space="0" w:color="auto"/>
              <w:left w:val="single" w:sz="6" w:space="0" w:color="auto"/>
              <w:bottom w:val="single" w:sz="6" w:space="0" w:color="auto"/>
            </w:tcBorders>
            <w:tcMar>
              <w:top w:w="0" w:type="dxa"/>
              <w:left w:w="22" w:type="dxa"/>
              <w:bottom w:w="0" w:type="dxa"/>
              <w:right w:w="22" w:type="dxa"/>
            </w:tcMar>
            <w:vAlign w:val="center"/>
            <w:hideMark/>
          </w:tcPr>
          <w:p w14:paraId="1B94C61C" w14:textId="77777777" w:rsidR="00D0083C" w:rsidRDefault="00854AE5">
            <w:pPr>
              <w:pStyle w:val="a3"/>
              <w:spacing w:before="0" w:beforeAutospacing="0" w:after="0" w:afterAutospacing="0" w:line="380" w:lineRule="atLeast"/>
              <w:jc w:val="right"/>
            </w:pPr>
            <w:r>
              <w:rPr>
                <w:rFonts w:hint="eastAsia"/>
                <w:sz w:val="21"/>
                <w:szCs w:val="21"/>
              </w:rPr>
              <w:t>-</w:t>
            </w:r>
          </w:p>
        </w:tc>
      </w:tr>
      <w:tr w:rsidR="00D0083C" w14:paraId="270AE1DB" w14:textId="77777777">
        <w:trPr>
          <w:divId w:val="1225483252"/>
          <w:trHeight w:val="315"/>
        </w:trPr>
        <w:tc>
          <w:tcPr>
            <w:tcW w:w="791" w:type="dxa"/>
            <w:tcBorders>
              <w:top w:val="single" w:sz="6" w:space="0" w:color="auto"/>
              <w:bottom w:val="single" w:sz="6" w:space="0" w:color="auto"/>
              <w:right w:val="single" w:sz="6" w:space="0" w:color="auto"/>
            </w:tcBorders>
            <w:tcMar>
              <w:top w:w="0" w:type="dxa"/>
              <w:left w:w="22" w:type="dxa"/>
              <w:bottom w:w="0" w:type="dxa"/>
              <w:right w:w="22" w:type="dxa"/>
            </w:tcMar>
            <w:vAlign w:val="center"/>
            <w:hideMark/>
          </w:tcPr>
          <w:p w14:paraId="2B162F8A" w14:textId="77777777" w:rsidR="00D0083C" w:rsidRDefault="00854AE5">
            <w:pPr>
              <w:pStyle w:val="a3"/>
              <w:spacing w:before="0" w:beforeAutospacing="0" w:after="0" w:afterAutospacing="0" w:line="340" w:lineRule="atLeast"/>
              <w:jc w:val="center"/>
            </w:pPr>
            <w:r>
              <w:rPr>
                <w:rFonts w:hint="eastAsia"/>
                <w:sz w:val="21"/>
                <w:szCs w:val="21"/>
              </w:rPr>
              <w:t xml:space="preserve">6 </w:t>
            </w:r>
          </w:p>
        </w:tc>
        <w:tc>
          <w:tcPr>
            <w:tcW w:w="2633"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0D2A7A3B" w14:textId="77777777" w:rsidR="00D0083C" w:rsidRDefault="00854AE5">
            <w:pPr>
              <w:pStyle w:val="a3"/>
              <w:spacing w:before="0" w:beforeAutospacing="0" w:after="0" w:afterAutospacing="0" w:line="340" w:lineRule="atLeast"/>
              <w:jc w:val="both"/>
            </w:pPr>
            <w:r>
              <w:rPr>
                <w:rFonts w:hint="eastAsia"/>
                <w:sz w:val="21"/>
                <w:szCs w:val="21"/>
              </w:rPr>
              <w:t xml:space="preserve">中期票据 </w:t>
            </w:r>
          </w:p>
        </w:tc>
        <w:tc>
          <w:tcPr>
            <w:tcW w:w="3059"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319FECA5" w14:textId="77777777" w:rsidR="00D0083C" w:rsidRDefault="00854AE5">
            <w:pPr>
              <w:pStyle w:val="a3"/>
              <w:spacing w:before="0" w:beforeAutospacing="0" w:after="0" w:afterAutospacing="0" w:line="380" w:lineRule="atLeast"/>
              <w:jc w:val="right"/>
            </w:pPr>
            <w:r>
              <w:rPr>
                <w:rFonts w:hint="eastAsia"/>
                <w:sz w:val="21"/>
                <w:szCs w:val="21"/>
              </w:rPr>
              <w:t>608,141,200.00</w:t>
            </w:r>
          </w:p>
        </w:tc>
        <w:tc>
          <w:tcPr>
            <w:tcW w:w="2208" w:type="dxa"/>
            <w:tcBorders>
              <w:top w:val="single" w:sz="6" w:space="0" w:color="auto"/>
              <w:left w:val="single" w:sz="6" w:space="0" w:color="auto"/>
              <w:bottom w:val="single" w:sz="6" w:space="0" w:color="auto"/>
            </w:tcBorders>
            <w:tcMar>
              <w:top w:w="0" w:type="dxa"/>
              <w:left w:w="22" w:type="dxa"/>
              <w:bottom w:w="0" w:type="dxa"/>
              <w:right w:w="22" w:type="dxa"/>
            </w:tcMar>
            <w:vAlign w:val="center"/>
            <w:hideMark/>
          </w:tcPr>
          <w:p w14:paraId="5F464D28" w14:textId="77777777" w:rsidR="00D0083C" w:rsidRDefault="00854AE5">
            <w:pPr>
              <w:pStyle w:val="a3"/>
              <w:spacing w:before="0" w:beforeAutospacing="0" w:after="0" w:afterAutospacing="0" w:line="380" w:lineRule="atLeast"/>
              <w:jc w:val="right"/>
            </w:pPr>
            <w:r>
              <w:rPr>
                <w:rFonts w:hint="eastAsia"/>
                <w:sz w:val="21"/>
                <w:szCs w:val="21"/>
              </w:rPr>
              <w:t>41.40</w:t>
            </w:r>
          </w:p>
        </w:tc>
      </w:tr>
      <w:tr w:rsidR="00D0083C" w14:paraId="19950D60" w14:textId="77777777">
        <w:trPr>
          <w:divId w:val="1225483252"/>
          <w:trHeight w:val="315"/>
        </w:trPr>
        <w:tc>
          <w:tcPr>
            <w:tcW w:w="791" w:type="dxa"/>
            <w:tcBorders>
              <w:top w:val="single" w:sz="6" w:space="0" w:color="auto"/>
              <w:bottom w:val="single" w:sz="6" w:space="0" w:color="auto"/>
              <w:right w:val="single" w:sz="6" w:space="0" w:color="auto"/>
            </w:tcBorders>
            <w:tcMar>
              <w:top w:w="0" w:type="dxa"/>
              <w:left w:w="22" w:type="dxa"/>
              <w:bottom w:w="0" w:type="dxa"/>
              <w:right w:w="22" w:type="dxa"/>
            </w:tcMar>
            <w:vAlign w:val="center"/>
            <w:hideMark/>
          </w:tcPr>
          <w:p w14:paraId="67875EBB" w14:textId="77777777" w:rsidR="00D0083C" w:rsidRDefault="00854AE5">
            <w:pPr>
              <w:pStyle w:val="a3"/>
              <w:spacing w:before="0" w:beforeAutospacing="0" w:after="0" w:afterAutospacing="0" w:line="340" w:lineRule="atLeast"/>
              <w:jc w:val="center"/>
            </w:pPr>
            <w:r>
              <w:rPr>
                <w:rFonts w:hint="eastAsia"/>
                <w:sz w:val="21"/>
                <w:szCs w:val="21"/>
              </w:rPr>
              <w:t xml:space="preserve">7 </w:t>
            </w:r>
          </w:p>
        </w:tc>
        <w:tc>
          <w:tcPr>
            <w:tcW w:w="2633"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4F4A1369" w14:textId="77777777" w:rsidR="00D0083C" w:rsidRDefault="00854AE5">
            <w:pPr>
              <w:pStyle w:val="a3"/>
              <w:spacing w:before="0" w:beforeAutospacing="0" w:after="0" w:afterAutospacing="0" w:line="340" w:lineRule="atLeast"/>
              <w:jc w:val="both"/>
            </w:pPr>
            <w:r>
              <w:rPr>
                <w:rFonts w:hint="eastAsia"/>
                <w:sz w:val="21"/>
                <w:szCs w:val="21"/>
              </w:rPr>
              <w:t xml:space="preserve">可转债（可交换债） </w:t>
            </w:r>
          </w:p>
        </w:tc>
        <w:tc>
          <w:tcPr>
            <w:tcW w:w="3059"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67D77710" w14:textId="77777777" w:rsidR="00D0083C" w:rsidRDefault="00854AE5">
            <w:pPr>
              <w:pStyle w:val="a3"/>
              <w:spacing w:before="0" w:beforeAutospacing="0" w:after="0" w:afterAutospacing="0" w:line="380" w:lineRule="atLeast"/>
              <w:jc w:val="right"/>
            </w:pPr>
            <w:r>
              <w:rPr>
                <w:rFonts w:hint="eastAsia"/>
                <w:sz w:val="21"/>
                <w:szCs w:val="21"/>
              </w:rPr>
              <w:t>-</w:t>
            </w:r>
          </w:p>
        </w:tc>
        <w:tc>
          <w:tcPr>
            <w:tcW w:w="2208" w:type="dxa"/>
            <w:tcBorders>
              <w:top w:val="single" w:sz="6" w:space="0" w:color="auto"/>
              <w:left w:val="single" w:sz="6" w:space="0" w:color="auto"/>
              <w:bottom w:val="single" w:sz="6" w:space="0" w:color="auto"/>
            </w:tcBorders>
            <w:tcMar>
              <w:top w:w="0" w:type="dxa"/>
              <w:left w:w="22" w:type="dxa"/>
              <w:bottom w:w="0" w:type="dxa"/>
              <w:right w:w="22" w:type="dxa"/>
            </w:tcMar>
            <w:vAlign w:val="center"/>
            <w:hideMark/>
          </w:tcPr>
          <w:p w14:paraId="4FFF8B6F" w14:textId="77777777" w:rsidR="00D0083C" w:rsidRDefault="00854AE5">
            <w:pPr>
              <w:pStyle w:val="a3"/>
              <w:spacing w:before="0" w:beforeAutospacing="0" w:after="0" w:afterAutospacing="0" w:line="380" w:lineRule="atLeast"/>
              <w:jc w:val="right"/>
            </w:pPr>
            <w:r>
              <w:rPr>
                <w:rFonts w:hint="eastAsia"/>
                <w:sz w:val="21"/>
                <w:szCs w:val="21"/>
              </w:rPr>
              <w:t>-</w:t>
            </w:r>
          </w:p>
        </w:tc>
      </w:tr>
      <w:tr w:rsidR="00D0083C" w14:paraId="0E58D528" w14:textId="77777777">
        <w:trPr>
          <w:divId w:val="1225483252"/>
          <w:trHeight w:val="315"/>
        </w:trPr>
        <w:tc>
          <w:tcPr>
            <w:tcW w:w="791" w:type="dxa"/>
            <w:tcBorders>
              <w:top w:val="single" w:sz="6" w:space="0" w:color="auto"/>
              <w:bottom w:val="single" w:sz="6" w:space="0" w:color="auto"/>
              <w:right w:val="single" w:sz="6" w:space="0" w:color="auto"/>
            </w:tcBorders>
            <w:tcMar>
              <w:top w:w="0" w:type="dxa"/>
              <w:left w:w="22" w:type="dxa"/>
              <w:bottom w:w="0" w:type="dxa"/>
              <w:right w:w="22" w:type="dxa"/>
            </w:tcMar>
            <w:vAlign w:val="center"/>
            <w:hideMark/>
          </w:tcPr>
          <w:p w14:paraId="062ECC82" w14:textId="77777777" w:rsidR="00D0083C" w:rsidRDefault="00854AE5">
            <w:pPr>
              <w:pStyle w:val="a3"/>
              <w:spacing w:before="0" w:beforeAutospacing="0" w:after="0" w:afterAutospacing="0" w:line="340" w:lineRule="atLeast"/>
              <w:jc w:val="center"/>
            </w:pPr>
            <w:r>
              <w:rPr>
                <w:rFonts w:hint="eastAsia"/>
                <w:sz w:val="21"/>
                <w:szCs w:val="21"/>
              </w:rPr>
              <w:t xml:space="preserve">8 </w:t>
            </w:r>
          </w:p>
        </w:tc>
        <w:tc>
          <w:tcPr>
            <w:tcW w:w="2633"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4C684648" w14:textId="77777777" w:rsidR="00D0083C" w:rsidRDefault="00854AE5">
            <w:pPr>
              <w:pStyle w:val="a3"/>
              <w:spacing w:before="0" w:beforeAutospacing="0" w:after="0" w:afterAutospacing="0" w:line="340" w:lineRule="atLeast"/>
              <w:jc w:val="both"/>
            </w:pPr>
            <w:r>
              <w:rPr>
                <w:rFonts w:hint="eastAsia"/>
                <w:sz w:val="21"/>
                <w:szCs w:val="21"/>
              </w:rPr>
              <w:t xml:space="preserve">同业存单 </w:t>
            </w:r>
          </w:p>
        </w:tc>
        <w:tc>
          <w:tcPr>
            <w:tcW w:w="3059"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575D14B1" w14:textId="77777777" w:rsidR="00D0083C" w:rsidRDefault="00854AE5">
            <w:pPr>
              <w:pStyle w:val="a3"/>
              <w:spacing w:before="0" w:beforeAutospacing="0" w:after="0" w:afterAutospacing="0" w:line="380" w:lineRule="atLeast"/>
              <w:jc w:val="right"/>
            </w:pPr>
            <w:r>
              <w:rPr>
                <w:rFonts w:hint="eastAsia"/>
                <w:sz w:val="21"/>
                <w:szCs w:val="21"/>
              </w:rPr>
              <w:t>-</w:t>
            </w:r>
          </w:p>
        </w:tc>
        <w:tc>
          <w:tcPr>
            <w:tcW w:w="2208" w:type="dxa"/>
            <w:tcBorders>
              <w:top w:val="single" w:sz="6" w:space="0" w:color="auto"/>
              <w:left w:val="single" w:sz="6" w:space="0" w:color="auto"/>
              <w:bottom w:val="single" w:sz="6" w:space="0" w:color="auto"/>
            </w:tcBorders>
            <w:tcMar>
              <w:top w:w="0" w:type="dxa"/>
              <w:left w:w="22" w:type="dxa"/>
              <w:bottom w:w="0" w:type="dxa"/>
              <w:right w:w="22" w:type="dxa"/>
            </w:tcMar>
            <w:vAlign w:val="center"/>
            <w:hideMark/>
          </w:tcPr>
          <w:p w14:paraId="28EFB0A8" w14:textId="77777777" w:rsidR="00D0083C" w:rsidRDefault="00854AE5">
            <w:pPr>
              <w:pStyle w:val="a3"/>
              <w:spacing w:before="0" w:beforeAutospacing="0" w:after="0" w:afterAutospacing="0" w:line="380" w:lineRule="atLeast"/>
              <w:jc w:val="right"/>
            </w:pPr>
            <w:r>
              <w:rPr>
                <w:rFonts w:hint="eastAsia"/>
                <w:sz w:val="21"/>
                <w:szCs w:val="21"/>
              </w:rPr>
              <w:t>-</w:t>
            </w:r>
          </w:p>
        </w:tc>
      </w:tr>
      <w:tr w:rsidR="00D0083C" w14:paraId="238F55A4" w14:textId="77777777">
        <w:trPr>
          <w:divId w:val="1225483252"/>
          <w:trHeight w:val="315"/>
        </w:trPr>
        <w:tc>
          <w:tcPr>
            <w:tcW w:w="791" w:type="dxa"/>
            <w:tcBorders>
              <w:top w:val="single" w:sz="6" w:space="0" w:color="auto"/>
              <w:bottom w:val="single" w:sz="6" w:space="0" w:color="auto"/>
              <w:right w:val="single" w:sz="6" w:space="0" w:color="auto"/>
            </w:tcBorders>
            <w:tcMar>
              <w:top w:w="0" w:type="dxa"/>
              <w:left w:w="22" w:type="dxa"/>
              <w:bottom w:w="0" w:type="dxa"/>
              <w:right w:w="22" w:type="dxa"/>
            </w:tcMar>
            <w:vAlign w:val="center"/>
            <w:hideMark/>
          </w:tcPr>
          <w:p w14:paraId="00F614E2" w14:textId="77777777" w:rsidR="00D0083C" w:rsidRDefault="00854AE5">
            <w:pPr>
              <w:pStyle w:val="a3"/>
              <w:spacing w:before="0" w:beforeAutospacing="0" w:after="0" w:afterAutospacing="0" w:line="340" w:lineRule="atLeast"/>
              <w:jc w:val="center"/>
            </w:pPr>
            <w:r>
              <w:rPr>
                <w:rFonts w:hint="eastAsia"/>
                <w:sz w:val="21"/>
                <w:szCs w:val="21"/>
              </w:rPr>
              <w:t xml:space="preserve">9 </w:t>
            </w:r>
          </w:p>
        </w:tc>
        <w:tc>
          <w:tcPr>
            <w:tcW w:w="2633"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7B8BE229" w14:textId="77777777" w:rsidR="00D0083C" w:rsidRDefault="00854AE5">
            <w:pPr>
              <w:pStyle w:val="a3"/>
              <w:spacing w:before="0" w:beforeAutospacing="0" w:after="0" w:afterAutospacing="0" w:line="340" w:lineRule="atLeast"/>
              <w:jc w:val="both"/>
            </w:pPr>
            <w:r>
              <w:rPr>
                <w:rFonts w:hint="eastAsia"/>
                <w:sz w:val="21"/>
                <w:szCs w:val="21"/>
              </w:rPr>
              <w:t xml:space="preserve">其他 </w:t>
            </w:r>
          </w:p>
        </w:tc>
        <w:tc>
          <w:tcPr>
            <w:tcW w:w="3059" w:type="dxa"/>
            <w:tcBorders>
              <w:top w:val="single" w:sz="6" w:space="0" w:color="auto"/>
              <w:left w:val="single" w:sz="6" w:space="0" w:color="auto"/>
              <w:bottom w:val="single" w:sz="6" w:space="0" w:color="auto"/>
              <w:right w:val="single" w:sz="6" w:space="0" w:color="auto"/>
            </w:tcBorders>
            <w:tcMar>
              <w:top w:w="0" w:type="dxa"/>
              <w:left w:w="22" w:type="dxa"/>
              <w:bottom w:w="0" w:type="dxa"/>
              <w:right w:w="22" w:type="dxa"/>
            </w:tcMar>
            <w:vAlign w:val="center"/>
            <w:hideMark/>
          </w:tcPr>
          <w:p w14:paraId="40704AB6" w14:textId="77777777" w:rsidR="00D0083C" w:rsidRDefault="00854AE5">
            <w:pPr>
              <w:pStyle w:val="a3"/>
              <w:spacing w:before="0" w:beforeAutospacing="0" w:after="0" w:afterAutospacing="0" w:line="380" w:lineRule="atLeast"/>
              <w:jc w:val="right"/>
            </w:pPr>
            <w:r>
              <w:rPr>
                <w:rFonts w:hint="eastAsia"/>
                <w:sz w:val="21"/>
                <w:szCs w:val="21"/>
              </w:rPr>
              <w:t>10,127,000.00</w:t>
            </w:r>
          </w:p>
        </w:tc>
        <w:tc>
          <w:tcPr>
            <w:tcW w:w="2208" w:type="dxa"/>
            <w:tcBorders>
              <w:top w:val="single" w:sz="6" w:space="0" w:color="auto"/>
              <w:left w:val="single" w:sz="6" w:space="0" w:color="auto"/>
              <w:bottom w:val="single" w:sz="6" w:space="0" w:color="auto"/>
            </w:tcBorders>
            <w:tcMar>
              <w:top w:w="0" w:type="dxa"/>
              <w:left w:w="22" w:type="dxa"/>
              <w:bottom w:w="0" w:type="dxa"/>
              <w:right w:w="22" w:type="dxa"/>
            </w:tcMar>
            <w:vAlign w:val="center"/>
            <w:hideMark/>
          </w:tcPr>
          <w:p w14:paraId="2EEF0B40" w14:textId="77777777" w:rsidR="00D0083C" w:rsidRDefault="00854AE5">
            <w:pPr>
              <w:pStyle w:val="a3"/>
              <w:spacing w:before="0" w:beforeAutospacing="0" w:after="0" w:afterAutospacing="0" w:line="380" w:lineRule="atLeast"/>
              <w:jc w:val="right"/>
            </w:pPr>
            <w:r>
              <w:rPr>
                <w:rFonts w:hint="eastAsia"/>
                <w:sz w:val="21"/>
                <w:szCs w:val="21"/>
              </w:rPr>
              <w:t>0.69</w:t>
            </w:r>
          </w:p>
        </w:tc>
      </w:tr>
      <w:tr w:rsidR="00D0083C" w14:paraId="51175C53" w14:textId="77777777">
        <w:trPr>
          <w:divId w:val="1225483252"/>
          <w:trHeight w:val="315"/>
        </w:trPr>
        <w:tc>
          <w:tcPr>
            <w:tcW w:w="791" w:type="dxa"/>
            <w:tcBorders>
              <w:top w:val="single" w:sz="6" w:space="0" w:color="auto"/>
              <w:right w:val="single" w:sz="6" w:space="0" w:color="auto"/>
            </w:tcBorders>
            <w:tcMar>
              <w:top w:w="0" w:type="dxa"/>
              <w:left w:w="22" w:type="dxa"/>
              <w:bottom w:w="0" w:type="dxa"/>
              <w:right w:w="22" w:type="dxa"/>
            </w:tcMar>
            <w:vAlign w:val="center"/>
            <w:hideMark/>
          </w:tcPr>
          <w:p w14:paraId="4CD541AE" w14:textId="77777777" w:rsidR="00D0083C" w:rsidRDefault="00854AE5">
            <w:pPr>
              <w:pStyle w:val="a3"/>
              <w:spacing w:before="0" w:beforeAutospacing="0" w:after="0" w:afterAutospacing="0" w:line="340" w:lineRule="atLeast"/>
              <w:jc w:val="center"/>
            </w:pPr>
            <w:r>
              <w:rPr>
                <w:rFonts w:hint="eastAsia"/>
                <w:sz w:val="21"/>
                <w:szCs w:val="21"/>
              </w:rPr>
              <w:t xml:space="preserve">10 </w:t>
            </w:r>
          </w:p>
        </w:tc>
        <w:tc>
          <w:tcPr>
            <w:tcW w:w="2633" w:type="dxa"/>
            <w:tcBorders>
              <w:top w:val="single" w:sz="6" w:space="0" w:color="auto"/>
              <w:left w:val="single" w:sz="6" w:space="0" w:color="auto"/>
              <w:right w:val="single" w:sz="6" w:space="0" w:color="auto"/>
            </w:tcBorders>
            <w:tcMar>
              <w:top w:w="0" w:type="dxa"/>
              <w:left w:w="22" w:type="dxa"/>
              <w:bottom w:w="0" w:type="dxa"/>
              <w:right w:w="22" w:type="dxa"/>
            </w:tcMar>
            <w:vAlign w:val="center"/>
            <w:hideMark/>
          </w:tcPr>
          <w:p w14:paraId="2C458688" w14:textId="77777777" w:rsidR="00D0083C" w:rsidRDefault="00854AE5">
            <w:pPr>
              <w:pStyle w:val="a3"/>
              <w:spacing w:before="0" w:beforeAutospacing="0" w:after="0" w:afterAutospacing="0" w:line="340" w:lineRule="atLeast"/>
              <w:jc w:val="both"/>
            </w:pPr>
            <w:r>
              <w:rPr>
                <w:rFonts w:hint="eastAsia"/>
                <w:sz w:val="21"/>
                <w:szCs w:val="21"/>
              </w:rPr>
              <w:t xml:space="preserve">合计 </w:t>
            </w:r>
          </w:p>
        </w:tc>
        <w:tc>
          <w:tcPr>
            <w:tcW w:w="3059" w:type="dxa"/>
            <w:tcBorders>
              <w:top w:val="single" w:sz="6" w:space="0" w:color="auto"/>
              <w:left w:val="single" w:sz="6" w:space="0" w:color="auto"/>
              <w:right w:val="single" w:sz="6" w:space="0" w:color="auto"/>
            </w:tcBorders>
            <w:tcMar>
              <w:top w:w="0" w:type="dxa"/>
              <w:left w:w="22" w:type="dxa"/>
              <w:bottom w:w="0" w:type="dxa"/>
              <w:right w:w="22" w:type="dxa"/>
            </w:tcMar>
            <w:vAlign w:val="center"/>
            <w:hideMark/>
          </w:tcPr>
          <w:p w14:paraId="0246CC7A" w14:textId="77777777" w:rsidR="00D0083C" w:rsidRDefault="00854AE5">
            <w:pPr>
              <w:pStyle w:val="a3"/>
              <w:spacing w:before="0" w:beforeAutospacing="0" w:after="0" w:afterAutospacing="0" w:line="380" w:lineRule="atLeast"/>
              <w:jc w:val="right"/>
            </w:pPr>
            <w:r>
              <w:rPr>
                <w:rFonts w:hint="eastAsia"/>
                <w:sz w:val="21"/>
                <w:szCs w:val="21"/>
              </w:rPr>
              <w:t>1,689,957,420.00</w:t>
            </w:r>
          </w:p>
        </w:tc>
        <w:tc>
          <w:tcPr>
            <w:tcW w:w="2208" w:type="dxa"/>
            <w:tcBorders>
              <w:top w:val="single" w:sz="6" w:space="0" w:color="auto"/>
              <w:left w:val="single" w:sz="6" w:space="0" w:color="auto"/>
            </w:tcBorders>
            <w:tcMar>
              <w:top w:w="0" w:type="dxa"/>
              <w:left w:w="22" w:type="dxa"/>
              <w:bottom w:w="0" w:type="dxa"/>
              <w:right w:w="22" w:type="dxa"/>
            </w:tcMar>
            <w:vAlign w:val="center"/>
            <w:hideMark/>
          </w:tcPr>
          <w:p w14:paraId="711F1938" w14:textId="77777777" w:rsidR="00D0083C" w:rsidRDefault="00854AE5">
            <w:pPr>
              <w:pStyle w:val="a3"/>
              <w:spacing w:before="0" w:beforeAutospacing="0" w:after="0" w:afterAutospacing="0" w:line="380" w:lineRule="atLeast"/>
              <w:jc w:val="right"/>
            </w:pPr>
            <w:r>
              <w:rPr>
                <w:rFonts w:hint="eastAsia"/>
                <w:sz w:val="21"/>
                <w:szCs w:val="21"/>
              </w:rPr>
              <w:t>115.05</w:t>
            </w:r>
          </w:p>
        </w:tc>
      </w:tr>
    </w:tbl>
    <w:p w14:paraId="083DCAFA" w14:textId="77777777" w:rsidR="00D0083C" w:rsidRDefault="00854AE5">
      <w:pPr>
        <w:pStyle w:val="a3"/>
        <w:spacing w:before="0" w:beforeAutospacing="0" w:after="0" w:afterAutospacing="0" w:line="360" w:lineRule="auto"/>
        <w:divId w:val="1225483252"/>
        <w:rPr>
          <w:sz w:val="21"/>
          <w:szCs w:val="21"/>
        </w:rPr>
      </w:pPr>
      <w:bookmarkStart w:id="55" w:name="_Toc481074851"/>
      <w:bookmarkStart w:id="56" w:name="_Toc438646472"/>
      <w:bookmarkStart w:id="57" w:name="m506"/>
      <w:bookmarkEnd w:id="55"/>
      <w:bookmarkEnd w:id="56"/>
      <w:r>
        <w:rPr>
          <w:rFonts w:hint="eastAsia"/>
          <w:b/>
          <w:bCs/>
          <w:sz w:val="21"/>
          <w:szCs w:val="21"/>
        </w:rPr>
        <w:t xml:space="preserve">5、报告期末按公允价值占基金资产净值比例大小排序的前五名债券投资明细 </w:t>
      </w:r>
      <w:bookmarkEnd w:id="57"/>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42"/>
        <w:gridCol w:w="1225"/>
        <w:gridCol w:w="1183"/>
        <w:gridCol w:w="1304"/>
        <w:gridCol w:w="1762"/>
        <w:gridCol w:w="1674"/>
      </w:tblGrid>
      <w:tr w:rsidR="00D0083C" w14:paraId="58545F73" w14:textId="77777777">
        <w:trPr>
          <w:divId w:val="1225483252"/>
          <w:trHeight w:val="286"/>
        </w:trPr>
        <w:tc>
          <w:tcPr>
            <w:tcW w:w="1266" w:type="dxa"/>
            <w:tcBorders>
              <w:bottom w:val="single" w:sz="6" w:space="0" w:color="auto"/>
              <w:right w:val="single" w:sz="6" w:space="0" w:color="auto"/>
            </w:tcBorders>
            <w:shd w:val="clear" w:color="auto" w:fill="D7D7D7"/>
            <w:vAlign w:val="center"/>
            <w:hideMark/>
          </w:tcPr>
          <w:p w14:paraId="45A07EBC" w14:textId="77777777" w:rsidR="00D0083C" w:rsidRDefault="00854AE5">
            <w:pPr>
              <w:pStyle w:val="a3"/>
              <w:spacing w:before="0" w:beforeAutospacing="0" w:after="0" w:afterAutospacing="0"/>
              <w:jc w:val="center"/>
              <w:rPr>
                <w:sz w:val="21"/>
                <w:szCs w:val="21"/>
              </w:rPr>
            </w:pPr>
            <w:r>
              <w:rPr>
                <w:rFonts w:hint="eastAsia"/>
                <w:sz w:val="21"/>
                <w:szCs w:val="21"/>
              </w:rPr>
              <w:t xml:space="preserve">序号 </w:t>
            </w:r>
          </w:p>
        </w:tc>
        <w:tc>
          <w:tcPr>
            <w:tcW w:w="1261" w:type="dxa"/>
            <w:tcBorders>
              <w:left w:val="single" w:sz="6" w:space="0" w:color="auto"/>
              <w:bottom w:val="single" w:sz="6" w:space="0" w:color="auto"/>
              <w:right w:val="single" w:sz="6" w:space="0" w:color="auto"/>
            </w:tcBorders>
            <w:shd w:val="clear" w:color="auto" w:fill="D7D7D7"/>
            <w:vAlign w:val="center"/>
            <w:hideMark/>
          </w:tcPr>
          <w:p w14:paraId="392AC8B1" w14:textId="77777777" w:rsidR="00D0083C" w:rsidRDefault="00854AE5">
            <w:pPr>
              <w:pStyle w:val="a3"/>
              <w:spacing w:before="0" w:beforeAutospacing="0" w:after="0" w:afterAutospacing="0"/>
              <w:jc w:val="center"/>
              <w:rPr>
                <w:sz w:val="21"/>
                <w:szCs w:val="21"/>
              </w:rPr>
            </w:pPr>
            <w:r>
              <w:rPr>
                <w:rFonts w:hint="eastAsia"/>
                <w:sz w:val="21"/>
                <w:szCs w:val="21"/>
              </w:rPr>
              <w:t xml:space="preserve">债券代码 </w:t>
            </w:r>
          </w:p>
        </w:tc>
        <w:tc>
          <w:tcPr>
            <w:tcW w:w="1255" w:type="dxa"/>
            <w:tcBorders>
              <w:left w:val="single" w:sz="6" w:space="0" w:color="auto"/>
              <w:bottom w:val="single" w:sz="6" w:space="0" w:color="auto"/>
              <w:right w:val="single" w:sz="6" w:space="0" w:color="auto"/>
            </w:tcBorders>
            <w:shd w:val="clear" w:color="auto" w:fill="D7D7D7"/>
            <w:tcMar>
              <w:top w:w="8" w:type="dxa"/>
              <w:left w:w="8" w:type="dxa"/>
              <w:bottom w:w="0" w:type="dxa"/>
              <w:right w:w="8" w:type="dxa"/>
            </w:tcMar>
            <w:vAlign w:val="center"/>
            <w:hideMark/>
          </w:tcPr>
          <w:p w14:paraId="3961F256" w14:textId="77777777" w:rsidR="00D0083C" w:rsidRDefault="00854AE5">
            <w:pPr>
              <w:pStyle w:val="a3"/>
              <w:spacing w:before="0" w:beforeAutospacing="0" w:after="0" w:afterAutospacing="0"/>
              <w:jc w:val="center"/>
              <w:rPr>
                <w:sz w:val="21"/>
                <w:szCs w:val="21"/>
              </w:rPr>
            </w:pPr>
            <w:r>
              <w:rPr>
                <w:rFonts w:hint="eastAsia"/>
                <w:sz w:val="21"/>
                <w:szCs w:val="21"/>
              </w:rPr>
              <w:t xml:space="preserve">债券名称 </w:t>
            </w:r>
          </w:p>
        </w:tc>
        <w:tc>
          <w:tcPr>
            <w:tcW w:w="1378" w:type="dxa"/>
            <w:tcBorders>
              <w:left w:val="single" w:sz="6" w:space="0" w:color="auto"/>
              <w:bottom w:val="single" w:sz="6" w:space="0" w:color="auto"/>
              <w:right w:val="single" w:sz="6" w:space="0" w:color="auto"/>
            </w:tcBorders>
            <w:shd w:val="clear" w:color="auto" w:fill="D7D7D7"/>
            <w:tcMar>
              <w:top w:w="8" w:type="dxa"/>
              <w:left w:w="8" w:type="dxa"/>
              <w:bottom w:w="0" w:type="dxa"/>
              <w:right w:w="8" w:type="dxa"/>
            </w:tcMar>
            <w:vAlign w:val="center"/>
            <w:hideMark/>
          </w:tcPr>
          <w:p w14:paraId="7D9AA461" w14:textId="77777777" w:rsidR="00D0083C" w:rsidRDefault="00854AE5">
            <w:pPr>
              <w:pStyle w:val="a3"/>
              <w:spacing w:before="0" w:beforeAutospacing="0" w:after="0" w:afterAutospacing="0"/>
              <w:jc w:val="center"/>
              <w:rPr>
                <w:sz w:val="21"/>
                <w:szCs w:val="21"/>
              </w:rPr>
            </w:pPr>
            <w:r>
              <w:rPr>
                <w:rFonts w:hint="eastAsia"/>
                <w:sz w:val="21"/>
                <w:szCs w:val="21"/>
              </w:rPr>
              <w:t xml:space="preserve">数量(张) </w:t>
            </w:r>
          </w:p>
        </w:tc>
        <w:tc>
          <w:tcPr>
            <w:tcW w:w="1813" w:type="dxa"/>
            <w:tcBorders>
              <w:left w:val="single" w:sz="6" w:space="0" w:color="auto"/>
              <w:bottom w:val="single" w:sz="6" w:space="0" w:color="auto"/>
              <w:right w:val="single" w:sz="6" w:space="0" w:color="auto"/>
            </w:tcBorders>
            <w:shd w:val="clear" w:color="auto" w:fill="D7D7D7"/>
            <w:tcMar>
              <w:top w:w="8" w:type="dxa"/>
              <w:left w:w="8" w:type="dxa"/>
              <w:bottom w:w="0" w:type="dxa"/>
              <w:right w:w="8" w:type="dxa"/>
            </w:tcMar>
            <w:vAlign w:val="center"/>
            <w:hideMark/>
          </w:tcPr>
          <w:p w14:paraId="30A126F5" w14:textId="77777777" w:rsidR="00D0083C" w:rsidRDefault="00854AE5">
            <w:pPr>
              <w:pStyle w:val="a3"/>
              <w:spacing w:before="0" w:beforeAutospacing="0" w:after="0" w:afterAutospacing="0"/>
              <w:jc w:val="center"/>
              <w:rPr>
                <w:sz w:val="21"/>
                <w:szCs w:val="21"/>
              </w:rPr>
            </w:pPr>
            <w:r>
              <w:rPr>
                <w:rFonts w:hint="eastAsia"/>
                <w:sz w:val="21"/>
                <w:szCs w:val="21"/>
              </w:rPr>
              <w:t xml:space="preserve">公允价值（元） </w:t>
            </w:r>
          </w:p>
        </w:tc>
        <w:tc>
          <w:tcPr>
            <w:tcW w:w="1813" w:type="dxa"/>
            <w:tcBorders>
              <w:left w:val="single" w:sz="6" w:space="0" w:color="auto"/>
              <w:bottom w:val="single" w:sz="6" w:space="0" w:color="auto"/>
            </w:tcBorders>
            <w:shd w:val="clear" w:color="auto" w:fill="D7D7D7"/>
            <w:tcMar>
              <w:top w:w="8" w:type="dxa"/>
              <w:left w:w="8" w:type="dxa"/>
              <w:bottom w:w="0" w:type="dxa"/>
              <w:right w:w="8" w:type="dxa"/>
            </w:tcMar>
            <w:vAlign w:val="center"/>
            <w:hideMark/>
          </w:tcPr>
          <w:p w14:paraId="31605973" w14:textId="77777777" w:rsidR="00D0083C" w:rsidRDefault="00854AE5">
            <w:pPr>
              <w:pStyle w:val="a3"/>
              <w:spacing w:before="0" w:beforeAutospacing="0" w:after="0" w:afterAutospacing="0"/>
              <w:jc w:val="center"/>
              <w:rPr>
                <w:sz w:val="21"/>
                <w:szCs w:val="21"/>
              </w:rPr>
            </w:pPr>
            <w:r>
              <w:rPr>
                <w:rFonts w:hint="eastAsia"/>
                <w:sz w:val="21"/>
                <w:szCs w:val="21"/>
              </w:rPr>
              <w:t xml:space="preserve">占基金资产净值比例（％） </w:t>
            </w:r>
          </w:p>
        </w:tc>
      </w:tr>
      <w:tr w:rsidR="00D0083C" w14:paraId="15F05908" w14:textId="77777777">
        <w:trPr>
          <w:divId w:val="1225483252"/>
          <w:trHeight w:val="286"/>
        </w:trPr>
        <w:tc>
          <w:tcPr>
            <w:tcW w:w="1266" w:type="dxa"/>
            <w:tcBorders>
              <w:top w:val="single" w:sz="6" w:space="0" w:color="auto"/>
              <w:bottom w:val="single" w:sz="6" w:space="0" w:color="auto"/>
              <w:right w:val="single" w:sz="6" w:space="0" w:color="auto"/>
            </w:tcBorders>
            <w:vAlign w:val="center"/>
            <w:hideMark/>
          </w:tcPr>
          <w:p w14:paraId="37DEB457" w14:textId="77777777" w:rsidR="00D0083C" w:rsidRDefault="00854AE5">
            <w:pPr>
              <w:pStyle w:val="a3"/>
              <w:spacing w:before="0" w:beforeAutospacing="0" w:after="0" w:afterAutospacing="0"/>
              <w:jc w:val="center"/>
              <w:rPr>
                <w:sz w:val="21"/>
                <w:szCs w:val="21"/>
              </w:rPr>
            </w:pPr>
            <w:r>
              <w:rPr>
                <w:rFonts w:hint="eastAsia"/>
                <w:sz w:val="21"/>
                <w:szCs w:val="21"/>
              </w:rPr>
              <w:t>1</w:t>
            </w:r>
          </w:p>
        </w:tc>
        <w:tc>
          <w:tcPr>
            <w:tcW w:w="1261" w:type="dxa"/>
            <w:tcBorders>
              <w:top w:val="single" w:sz="6" w:space="0" w:color="auto"/>
              <w:left w:val="single" w:sz="6" w:space="0" w:color="auto"/>
              <w:bottom w:val="single" w:sz="6" w:space="0" w:color="auto"/>
              <w:right w:val="single" w:sz="6" w:space="0" w:color="auto"/>
            </w:tcBorders>
            <w:vAlign w:val="center"/>
            <w:hideMark/>
          </w:tcPr>
          <w:p w14:paraId="75B94737" w14:textId="77777777" w:rsidR="00D0083C" w:rsidRDefault="00854AE5">
            <w:pPr>
              <w:pStyle w:val="a3"/>
              <w:spacing w:before="0" w:beforeAutospacing="0" w:after="0" w:afterAutospacing="0"/>
              <w:jc w:val="center"/>
              <w:rPr>
                <w:sz w:val="21"/>
                <w:szCs w:val="21"/>
              </w:rPr>
            </w:pPr>
            <w:r>
              <w:rPr>
                <w:rFonts w:hint="eastAsia"/>
                <w:sz w:val="21"/>
                <w:szCs w:val="21"/>
              </w:rPr>
              <w:t>180210</w:t>
            </w:r>
          </w:p>
        </w:tc>
        <w:tc>
          <w:tcPr>
            <w:tcW w:w="1255"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5FEE1279" w14:textId="77777777" w:rsidR="00D0083C" w:rsidRDefault="00854AE5">
            <w:pPr>
              <w:pStyle w:val="a3"/>
              <w:spacing w:before="0" w:beforeAutospacing="0" w:after="0" w:afterAutospacing="0"/>
              <w:jc w:val="center"/>
              <w:rPr>
                <w:sz w:val="21"/>
                <w:szCs w:val="21"/>
              </w:rPr>
            </w:pPr>
            <w:r>
              <w:rPr>
                <w:rFonts w:hint="eastAsia"/>
                <w:sz w:val="21"/>
                <w:szCs w:val="21"/>
              </w:rPr>
              <w:t>18国开10</w:t>
            </w:r>
          </w:p>
        </w:tc>
        <w:tc>
          <w:tcPr>
            <w:tcW w:w="1378"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4B4791C9" w14:textId="77777777" w:rsidR="00D0083C" w:rsidRDefault="00854AE5">
            <w:pPr>
              <w:pStyle w:val="a3"/>
              <w:spacing w:before="0" w:beforeAutospacing="0" w:after="0" w:afterAutospacing="0"/>
              <w:jc w:val="right"/>
              <w:rPr>
                <w:sz w:val="21"/>
                <w:szCs w:val="21"/>
              </w:rPr>
            </w:pPr>
            <w:r>
              <w:rPr>
                <w:rFonts w:hint="eastAsia"/>
                <w:sz w:val="21"/>
                <w:szCs w:val="21"/>
              </w:rPr>
              <w:t>800,000</w:t>
            </w:r>
          </w:p>
        </w:tc>
        <w:tc>
          <w:tcPr>
            <w:tcW w:w="1813"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13B0A018" w14:textId="77777777" w:rsidR="00D0083C" w:rsidRDefault="00854AE5">
            <w:pPr>
              <w:pStyle w:val="a3"/>
              <w:spacing w:before="0" w:beforeAutospacing="0" w:after="0" w:afterAutospacing="0"/>
              <w:jc w:val="right"/>
              <w:rPr>
                <w:sz w:val="21"/>
                <w:szCs w:val="21"/>
              </w:rPr>
            </w:pPr>
            <w:r>
              <w:rPr>
                <w:rFonts w:hint="eastAsia"/>
                <w:sz w:val="21"/>
                <w:szCs w:val="21"/>
              </w:rPr>
              <w:t>82,504,000.00</w:t>
            </w:r>
          </w:p>
        </w:tc>
        <w:tc>
          <w:tcPr>
            <w:tcW w:w="1813" w:type="dxa"/>
            <w:tcBorders>
              <w:top w:val="single" w:sz="6" w:space="0" w:color="auto"/>
              <w:left w:val="single" w:sz="6" w:space="0" w:color="auto"/>
              <w:bottom w:val="single" w:sz="6" w:space="0" w:color="auto"/>
            </w:tcBorders>
            <w:tcMar>
              <w:top w:w="8" w:type="dxa"/>
              <w:left w:w="8" w:type="dxa"/>
              <w:bottom w:w="0" w:type="dxa"/>
              <w:right w:w="8" w:type="dxa"/>
            </w:tcMar>
            <w:vAlign w:val="center"/>
            <w:hideMark/>
          </w:tcPr>
          <w:p w14:paraId="79FA648C" w14:textId="77777777" w:rsidR="00D0083C" w:rsidRDefault="00854AE5">
            <w:pPr>
              <w:pStyle w:val="a3"/>
              <w:spacing w:before="0" w:beforeAutospacing="0" w:after="0" w:afterAutospacing="0"/>
              <w:jc w:val="right"/>
              <w:rPr>
                <w:sz w:val="21"/>
                <w:szCs w:val="21"/>
              </w:rPr>
            </w:pPr>
            <w:r>
              <w:rPr>
                <w:rFonts w:hint="eastAsia"/>
                <w:sz w:val="21"/>
                <w:szCs w:val="21"/>
              </w:rPr>
              <w:t>5.62</w:t>
            </w:r>
          </w:p>
        </w:tc>
      </w:tr>
      <w:tr w:rsidR="00D0083C" w14:paraId="6631707D" w14:textId="77777777">
        <w:trPr>
          <w:divId w:val="1225483252"/>
          <w:trHeight w:val="286"/>
        </w:trPr>
        <w:tc>
          <w:tcPr>
            <w:tcW w:w="1266" w:type="dxa"/>
            <w:tcBorders>
              <w:top w:val="single" w:sz="6" w:space="0" w:color="auto"/>
              <w:bottom w:val="single" w:sz="6" w:space="0" w:color="auto"/>
              <w:right w:val="single" w:sz="6" w:space="0" w:color="auto"/>
            </w:tcBorders>
            <w:vAlign w:val="center"/>
            <w:hideMark/>
          </w:tcPr>
          <w:p w14:paraId="40943949" w14:textId="77777777" w:rsidR="00D0083C" w:rsidRDefault="00854AE5">
            <w:pPr>
              <w:pStyle w:val="a3"/>
              <w:spacing w:before="0" w:beforeAutospacing="0" w:after="0" w:afterAutospacing="0"/>
              <w:jc w:val="center"/>
              <w:rPr>
                <w:sz w:val="21"/>
                <w:szCs w:val="21"/>
              </w:rPr>
            </w:pPr>
            <w:r>
              <w:rPr>
                <w:rFonts w:hint="eastAsia"/>
                <w:sz w:val="21"/>
                <w:szCs w:val="21"/>
              </w:rPr>
              <w:t>2</w:t>
            </w:r>
          </w:p>
        </w:tc>
        <w:tc>
          <w:tcPr>
            <w:tcW w:w="1261" w:type="dxa"/>
            <w:tcBorders>
              <w:top w:val="single" w:sz="6" w:space="0" w:color="auto"/>
              <w:left w:val="single" w:sz="6" w:space="0" w:color="auto"/>
              <w:bottom w:val="single" w:sz="6" w:space="0" w:color="auto"/>
              <w:right w:val="single" w:sz="6" w:space="0" w:color="auto"/>
            </w:tcBorders>
            <w:vAlign w:val="center"/>
            <w:hideMark/>
          </w:tcPr>
          <w:p w14:paraId="116673E6" w14:textId="77777777" w:rsidR="00D0083C" w:rsidRDefault="00854AE5">
            <w:pPr>
              <w:pStyle w:val="a3"/>
              <w:spacing w:before="0" w:beforeAutospacing="0" w:after="0" w:afterAutospacing="0"/>
              <w:jc w:val="center"/>
              <w:rPr>
                <w:sz w:val="21"/>
                <w:szCs w:val="21"/>
              </w:rPr>
            </w:pPr>
            <w:r>
              <w:rPr>
                <w:rFonts w:hint="eastAsia"/>
                <w:sz w:val="21"/>
                <w:szCs w:val="21"/>
              </w:rPr>
              <w:t>136913</w:t>
            </w:r>
          </w:p>
        </w:tc>
        <w:tc>
          <w:tcPr>
            <w:tcW w:w="1255"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2278F1E2" w14:textId="77777777" w:rsidR="00D0083C" w:rsidRDefault="00854AE5">
            <w:pPr>
              <w:pStyle w:val="a3"/>
              <w:spacing w:before="0" w:beforeAutospacing="0" w:after="0" w:afterAutospacing="0"/>
              <w:jc w:val="center"/>
              <w:rPr>
                <w:sz w:val="21"/>
                <w:szCs w:val="21"/>
              </w:rPr>
            </w:pPr>
            <w:r>
              <w:rPr>
                <w:rFonts w:hint="eastAsia"/>
                <w:sz w:val="21"/>
                <w:szCs w:val="21"/>
              </w:rPr>
              <w:t>G18京Y3</w:t>
            </w:r>
          </w:p>
        </w:tc>
        <w:tc>
          <w:tcPr>
            <w:tcW w:w="1378"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14E42ED7" w14:textId="77777777" w:rsidR="00D0083C" w:rsidRDefault="00854AE5">
            <w:pPr>
              <w:pStyle w:val="a3"/>
              <w:spacing w:before="0" w:beforeAutospacing="0" w:after="0" w:afterAutospacing="0"/>
              <w:jc w:val="right"/>
              <w:rPr>
                <w:sz w:val="21"/>
                <w:szCs w:val="21"/>
              </w:rPr>
            </w:pPr>
            <w:r>
              <w:rPr>
                <w:rFonts w:hint="eastAsia"/>
                <w:sz w:val="21"/>
                <w:szCs w:val="21"/>
              </w:rPr>
              <w:t>800,000</w:t>
            </w:r>
          </w:p>
        </w:tc>
        <w:tc>
          <w:tcPr>
            <w:tcW w:w="1813"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10E5A960" w14:textId="77777777" w:rsidR="00D0083C" w:rsidRDefault="00854AE5">
            <w:pPr>
              <w:pStyle w:val="a3"/>
              <w:spacing w:before="0" w:beforeAutospacing="0" w:after="0" w:afterAutospacing="0"/>
              <w:jc w:val="right"/>
              <w:rPr>
                <w:sz w:val="21"/>
                <w:szCs w:val="21"/>
              </w:rPr>
            </w:pPr>
            <w:r>
              <w:rPr>
                <w:rFonts w:hint="eastAsia"/>
                <w:sz w:val="21"/>
                <w:szCs w:val="21"/>
              </w:rPr>
              <w:t>79,656,000.00</w:t>
            </w:r>
          </w:p>
        </w:tc>
        <w:tc>
          <w:tcPr>
            <w:tcW w:w="1813" w:type="dxa"/>
            <w:tcBorders>
              <w:top w:val="single" w:sz="6" w:space="0" w:color="auto"/>
              <w:left w:val="single" w:sz="6" w:space="0" w:color="auto"/>
              <w:bottom w:val="single" w:sz="6" w:space="0" w:color="auto"/>
            </w:tcBorders>
            <w:tcMar>
              <w:top w:w="8" w:type="dxa"/>
              <w:left w:w="8" w:type="dxa"/>
              <w:bottom w:w="0" w:type="dxa"/>
              <w:right w:w="8" w:type="dxa"/>
            </w:tcMar>
            <w:vAlign w:val="center"/>
            <w:hideMark/>
          </w:tcPr>
          <w:p w14:paraId="559F955A" w14:textId="77777777" w:rsidR="00D0083C" w:rsidRDefault="00854AE5">
            <w:pPr>
              <w:pStyle w:val="a3"/>
              <w:spacing w:before="0" w:beforeAutospacing="0" w:after="0" w:afterAutospacing="0"/>
              <w:jc w:val="right"/>
              <w:rPr>
                <w:sz w:val="21"/>
                <w:szCs w:val="21"/>
              </w:rPr>
            </w:pPr>
            <w:r>
              <w:rPr>
                <w:rFonts w:hint="eastAsia"/>
                <w:sz w:val="21"/>
                <w:szCs w:val="21"/>
              </w:rPr>
              <w:t>5.42</w:t>
            </w:r>
          </w:p>
        </w:tc>
      </w:tr>
      <w:tr w:rsidR="00D0083C" w14:paraId="2C396448" w14:textId="77777777">
        <w:trPr>
          <w:divId w:val="1225483252"/>
          <w:trHeight w:val="286"/>
        </w:trPr>
        <w:tc>
          <w:tcPr>
            <w:tcW w:w="1266" w:type="dxa"/>
            <w:tcBorders>
              <w:top w:val="single" w:sz="6" w:space="0" w:color="auto"/>
              <w:bottom w:val="single" w:sz="6" w:space="0" w:color="auto"/>
              <w:right w:val="single" w:sz="6" w:space="0" w:color="auto"/>
            </w:tcBorders>
            <w:vAlign w:val="center"/>
            <w:hideMark/>
          </w:tcPr>
          <w:p w14:paraId="11B5609A" w14:textId="77777777" w:rsidR="00D0083C" w:rsidRDefault="00854AE5">
            <w:pPr>
              <w:pStyle w:val="a3"/>
              <w:spacing w:before="0" w:beforeAutospacing="0" w:after="0" w:afterAutospacing="0"/>
              <w:jc w:val="center"/>
              <w:rPr>
                <w:sz w:val="21"/>
                <w:szCs w:val="21"/>
              </w:rPr>
            </w:pPr>
            <w:r>
              <w:rPr>
                <w:rFonts w:hint="eastAsia"/>
                <w:sz w:val="21"/>
                <w:szCs w:val="21"/>
              </w:rPr>
              <w:t>3</w:t>
            </w:r>
          </w:p>
        </w:tc>
        <w:tc>
          <w:tcPr>
            <w:tcW w:w="1261" w:type="dxa"/>
            <w:tcBorders>
              <w:top w:val="single" w:sz="6" w:space="0" w:color="auto"/>
              <w:left w:val="single" w:sz="6" w:space="0" w:color="auto"/>
              <w:bottom w:val="single" w:sz="6" w:space="0" w:color="auto"/>
              <w:right w:val="single" w:sz="6" w:space="0" w:color="auto"/>
            </w:tcBorders>
            <w:vAlign w:val="center"/>
            <w:hideMark/>
          </w:tcPr>
          <w:p w14:paraId="7647AAB7" w14:textId="77777777" w:rsidR="00D0083C" w:rsidRDefault="00854AE5">
            <w:pPr>
              <w:pStyle w:val="a3"/>
              <w:spacing w:before="0" w:beforeAutospacing="0" w:after="0" w:afterAutospacing="0"/>
              <w:jc w:val="center"/>
              <w:rPr>
                <w:sz w:val="21"/>
                <w:szCs w:val="21"/>
              </w:rPr>
            </w:pPr>
            <w:r>
              <w:rPr>
                <w:rFonts w:hint="eastAsia"/>
                <w:sz w:val="21"/>
                <w:szCs w:val="21"/>
              </w:rPr>
              <w:t>101759056</w:t>
            </w:r>
          </w:p>
        </w:tc>
        <w:tc>
          <w:tcPr>
            <w:tcW w:w="1255"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366D2638" w14:textId="77777777" w:rsidR="00D0083C" w:rsidRDefault="00854AE5">
            <w:pPr>
              <w:pStyle w:val="a3"/>
              <w:spacing w:before="0" w:beforeAutospacing="0" w:after="0" w:afterAutospacing="0"/>
              <w:jc w:val="center"/>
              <w:rPr>
                <w:sz w:val="21"/>
                <w:szCs w:val="21"/>
              </w:rPr>
            </w:pPr>
            <w:r>
              <w:rPr>
                <w:rFonts w:hint="eastAsia"/>
                <w:sz w:val="21"/>
                <w:szCs w:val="21"/>
              </w:rPr>
              <w:t>17南通城建MTN001</w:t>
            </w:r>
          </w:p>
        </w:tc>
        <w:tc>
          <w:tcPr>
            <w:tcW w:w="1378"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145FF003" w14:textId="77777777" w:rsidR="00D0083C" w:rsidRDefault="00854AE5">
            <w:pPr>
              <w:pStyle w:val="a3"/>
              <w:spacing w:before="0" w:beforeAutospacing="0" w:after="0" w:afterAutospacing="0"/>
              <w:jc w:val="right"/>
              <w:rPr>
                <w:sz w:val="21"/>
                <w:szCs w:val="21"/>
              </w:rPr>
            </w:pPr>
            <w:r>
              <w:rPr>
                <w:rFonts w:hint="eastAsia"/>
                <w:sz w:val="21"/>
                <w:szCs w:val="21"/>
              </w:rPr>
              <w:t>500,000</w:t>
            </w:r>
          </w:p>
        </w:tc>
        <w:tc>
          <w:tcPr>
            <w:tcW w:w="1813"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3F87695F" w14:textId="77777777" w:rsidR="00D0083C" w:rsidRDefault="00854AE5">
            <w:pPr>
              <w:pStyle w:val="a3"/>
              <w:spacing w:before="0" w:beforeAutospacing="0" w:after="0" w:afterAutospacing="0"/>
              <w:jc w:val="right"/>
              <w:rPr>
                <w:sz w:val="21"/>
                <w:szCs w:val="21"/>
              </w:rPr>
            </w:pPr>
            <w:r>
              <w:rPr>
                <w:rFonts w:hint="eastAsia"/>
                <w:sz w:val="21"/>
                <w:szCs w:val="21"/>
              </w:rPr>
              <w:t>51,960,000.00</w:t>
            </w:r>
          </w:p>
        </w:tc>
        <w:tc>
          <w:tcPr>
            <w:tcW w:w="1813" w:type="dxa"/>
            <w:tcBorders>
              <w:top w:val="single" w:sz="6" w:space="0" w:color="auto"/>
              <w:left w:val="single" w:sz="6" w:space="0" w:color="auto"/>
              <w:bottom w:val="single" w:sz="6" w:space="0" w:color="auto"/>
            </w:tcBorders>
            <w:tcMar>
              <w:top w:w="8" w:type="dxa"/>
              <w:left w:w="8" w:type="dxa"/>
              <w:bottom w:w="0" w:type="dxa"/>
              <w:right w:w="8" w:type="dxa"/>
            </w:tcMar>
            <w:vAlign w:val="center"/>
            <w:hideMark/>
          </w:tcPr>
          <w:p w14:paraId="48E249E3" w14:textId="77777777" w:rsidR="00D0083C" w:rsidRDefault="00854AE5">
            <w:pPr>
              <w:pStyle w:val="a3"/>
              <w:spacing w:before="0" w:beforeAutospacing="0" w:after="0" w:afterAutospacing="0"/>
              <w:jc w:val="right"/>
              <w:rPr>
                <w:sz w:val="21"/>
                <w:szCs w:val="21"/>
              </w:rPr>
            </w:pPr>
            <w:r>
              <w:rPr>
                <w:rFonts w:hint="eastAsia"/>
                <w:sz w:val="21"/>
                <w:szCs w:val="21"/>
              </w:rPr>
              <w:t>3.54</w:t>
            </w:r>
          </w:p>
        </w:tc>
      </w:tr>
      <w:tr w:rsidR="00D0083C" w14:paraId="25162CF5" w14:textId="77777777">
        <w:trPr>
          <w:divId w:val="1225483252"/>
          <w:trHeight w:val="286"/>
        </w:trPr>
        <w:tc>
          <w:tcPr>
            <w:tcW w:w="1266" w:type="dxa"/>
            <w:tcBorders>
              <w:top w:val="single" w:sz="6" w:space="0" w:color="auto"/>
              <w:bottom w:val="single" w:sz="6" w:space="0" w:color="auto"/>
              <w:right w:val="single" w:sz="6" w:space="0" w:color="auto"/>
            </w:tcBorders>
            <w:vAlign w:val="center"/>
            <w:hideMark/>
          </w:tcPr>
          <w:p w14:paraId="30C8D754" w14:textId="77777777" w:rsidR="00D0083C" w:rsidRDefault="00854AE5">
            <w:pPr>
              <w:pStyle w:val="a3"/>
              <w:spacing w:before="0" w:beforeAutospacing="0" w:after="0" w:afterAutospacing="0"/>
              <w:jc w:val="center"/>
              <w:rPr>
                <w:sz w:val="21"/>
                <w:szCs w:val="21"/>
              </w:rPr>
            </w:pPr>
            <w:r>
              <w:rPr>
                <w:rFonts w:hint="eastAsia"/>
                <w:sz w:val="21"/>
                <w:szCs w:val="21"/>
              </w:rPr>
              <w:t>4</w:t>
            </w:r>
          </w:p>
        </w:tc>
        <w:tc>
          <w:tcPr>
            <w:tcW w:w="1261" w:type="dxa"/>
            <w:tcBorders>
              <w:top w:val="single" w:sz="6" w:space="0" w:color="auto"/>
              <w:left w:val="single" w:sz="6" w:space="0" w:color="auto"/>
              <w:bottom w:val="single" w:sz="6" w:space="0" w:color="auto"/>
              <w:right w:val="single" w:sz="6" w:space="0" w:color="auto"/>
            </w:tcBorders>
            <w:vAlign w:val="center"/>
            <w:hideMark/>
          </w:tcPr>
          <w:p w14:paraId="23F97BB2" w14:textId="77777777" w:rsidR="00D0083C" w:rsidRDefault="00854AE5">
            <w:pPr>
              <w:pStyle w:val="a3"/>
              <w:spacing w:before="0" w:beforeAutospacing="0" w:after="0" w:afterAutospacing="0"/>
              <w:jc w:val="center"/>
              <w:rPr>
                <w:sz w:val="21"/>
                <w:szCs w:val="21"/>
              </w:rPr>
            </w:pPr>
            <w:r>
              <w:rPr>
                <w:rFonts w:hint="eastAsia"/>
                <w:sz w:val="21"/>
                <w:szCs w:val="21"/>
              </w:rPr>
              <w:t>180211</w:t>
            </w:r>
          </w:p>
        </w:tc>
        <w:tc>
          <w:tcPr>
            <w:tcW w:w="1255"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350B2EC3" w14:textId="77777777" w:rsidR="00D0083C" w:rsidRDefault="00854AE5">
            <w:pPr>
              <w:pStyle w:val="a3"/>
              <w:spacing w:before="0" w:beforeAutospacing="0" w:after="0" w:afterAutospacing="0"/>
              <w:jc w:val="center"/>
              <w:rPr>
                <w:sz w:val="21"/>
                <w:szCs w:val="21"/>
              </w:rPr>
            </w:pPr>
            <w:r>
              <w:rPr>
                <w:rFonts w:hint="eastAsia"/>
                <w:sz w:val="21"/>
                <w:szCs w:val="21"/>
              </w:rPr>
              <w:t>18国开11</w:t>
            </w:r>
          </w:p>
        </w:tc>
        <w:tc>
          <w:tcPr>
            <w:tcW w:w="1378"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090DB32E" w14:textId="77777777" w:rsidR="00D0083C" w:rsidRDefault="00854AE5">
            <w:pPr>
              <w:pStyle w:val="a3"/>
              <w:spacing w:before="0" w:beforeAutospacing="0" w:after="0" w:afterAutospacing="0"/>
              <w:jc w:val="right"/>
              <w:rPr>
                <w:sz w:val="21"/>
                <w:szCs w:val="21"/>
              </w:rPr>
            </w:pPr>
            <w:r>
              <w:rPr>
                <w:rFonts w:hint="eastAsia"/>
                <w:sz w:val="21"/>
                <w:szCs w:val="21"/>
              </w:rPr>
              <w:t>500,000</w:t>
            </w:r>
          </w:p>
        </w:tc>
        <w:tc>
          <w:tcPr>
            <w:tcW w:w="1813" w:type="dxa"/>
            <w:tcBorders>
              <w:top w:val="single" w:sz="6" w:space="0" w:color="auto"/>
              <w:left w:val="single" w:sz="6" w:space="0" w:color="auto"/>
              <w:bottom w:val="single" w:sz="6" w:space="0" w:color="auto"/>
              <w:right w:val="single" w:sz="6" w:space="0" w:color="auto"/>
            </w:tcBorders>
            <w:tcMar>
              <w:top w:w="8" w:type="dxa"/>
              <w:left w:w="8" w:type="dxa"/>
              <w:bottom w:w="0" w:type="dxa"/>
              <w:right w:w="8" w:type="dxa"/>
            </w:tcMar>
            <w:vAlign w:val="center"/>
            <w:hideMark/>
          </w:tcPr>
          <w:p w14:paraId="6D9F91FF" w14:textId="77777777" w:rsidR="00D0083C" w:rsidRDefault="00854AE5">
            <w:pPr>
              <w:pStyle w:val="a3"/>
              <w:spacing w:before="0" w:beforeAutospacing="0" w:after="0" w:afterAutospacing="0"/>
              <w:jc w:val="right"/>
              <w:rPr>
                <w:sz w:val="21"/>
                <w:szCs w:val="21"/>
              </w:rPr>
            </w:pPr>
            <w:r>
              <w:rPr>
                <w:rFonts w:hint="eastAsia"/>
                <w:sz w:val="21"/>
                <w:szCs w:val="21"/>
              </w:rPr>
              <w:t>50,665,000.00</w:t>
            </w:r>
          </w:p>
        </w:tc>
        <w:tc>
          <w:tcPr>
            <w:tcW w:w="1813" w:type="dxa"/>
            <w:tcBorders>
              <w:top w:val="single" w:sz="6" w:space="0" w:color="auto"/>
              <w:left w:val="single" w:sz="6" w:space="0" w:color="auto"/>
              <w:bottom w:val="single" w:sz="6" w:space="0" w:color="auto"/>
            </w:tcBorders>
            <w:tcMar>
              <w:top w:w="8" w:type="dxa"/>
              <w:left w:w="8" w:type="dxa"/>
              <w:bottom w:w="0" w:type="dxa"/>
              <w:right w:w="8" w:type="dxa"/>
            </w:tcMar>
            <w:vAlign w:val="center"/>
            <w:hideMark/>
          </w:tcPr>
          <w:p w14:paraId="1DB0DCE0" w14:textId="77777777" w:rsidR="00D0083C" w:rsidRDefault="00854AE5">
            <w:pPr>
              <w:pStyle w:val="a3"/>
              <w:spacing w:before="0" w:beforeAutospacing="0" w:after="0" w:afterAutospacing="0"/>
              <w:jc w:val="right"/>
              <w:rPr>
                <w:sz w:val="21"/>
                <w:szCs w:val="21"/>
              </w:rPr>
            </w:pPr>
            <w:r>
              <w:rPr>
                <w:rFonts w:hint="eastAsia"/>
                <w:sz w:val="21"/>
                <w:szCs w:val="21"/>
              </w:rPr>
              <w:t>3.45</w:t>
            </w:r>
          </w:p>
        </w:tc>
      </w:tr>
      <w:tr w:rsidR="00D0083C" w14:paraId="55AC1507" w14:textId="77777777">
        <w:trPr>
          <w:divId w:val="1225483252"/>
          <w:trHeight w:val="286"/>
        </w:trPr>
        <w:tc>
          <w:tcPr>
            <w:tcW w:w="1266" w:type="dxa"/>
            <w:tcBorders>
              <w:top w:val="single" w:sz="6" w:space="0" w:color="auto"/>
              <w:right w:val="single" w:sz="6" w:space="0" w:color="auto"/>
            </w:tcBorders>
            <w:vAlign w:val="center"/>
            <w:hideMark/>
          </w:tcPr>
          <w:p w14:paraId="5EC77397" w14:textId="77777777" w:rsidR="00D0083C" w:rsidRDefault="00854AE5">
            <w:pPr>
              <w:pStyle w:val="a3"/>
              <w:spacing w:before="0" w:beforeAutospacing="0" w:after="0" w:afterAutospacing="0"/>
              <w:jc w:val="center"/>
              <w:rPr>
                <w:sz w:val="21"/>
                <w:szCs w:val="21"/>
              </w:rPr>
            </w:pPr>
            <w:r>
              <w:rPr>
                <w:rFonts w:hint="eastAsia"/>
                <w:sz w:val="21"/>
                <w:szCs w:val="21"/>
              </w:rPr>
              <w:t>5</w:t>
            </w:r>
          </w:p>
        </w:tc>
        <w:tc>
          <w:tcPr>
            <w:tcW w:w="1261" w:type="dxa"/>
            <w:tcBorders>
              <w:top w:val="single" w:sz="6" w:space="0" w:color="auto"/>
              <w:left w:val="single" w:sz="6" w:space="0" w:color="auto"/>
              <w:right w:val="single" w:sz="6" w:space="0" w:color="auto"/>
            </w:tcBorders>
            <w:vAlign w:val="center"/>
            <w:hideMark/>
          </w:tcPr>
          <w:p w14:paraId="24AA57BA" w14:textId="77777777" w:rsidR="00D0083C" w:rsidRDefault="00854AE5">
            <w:pPr>
              <w:pStyle w:val="a3"/>
              <w:spacing w:before="0" w:beforeAutospacing="0" w:after="0" w:afterAutospacing="0"/>
              <w:jc w:val="center"/>
              <w:rPr>
                <w:sz w:val="21"/>
                <w:szCs w:val="21"/>
              </w:rPr>
            </w:pPr>
            <w:r>
              <w:rPr>
                <w:rFonts w:hint="eastAsia"/>
                <w:sz w:val="21"/>
                <w:szCs w:val="21"/>
              </w:rPr>
              <w:t>101651059</w:t>
            </w:r>
          </w:p>
        </w:tc>
        <w:tc>
          <w:tcPr>
            <w:tcW w:w="1255" w:type="dxa"/>
            <w:tcBorders>
              <w:top w:val="single" w:sz="6" w:space="0" w:color="auto"/>
              <w:left w:val="single" w:sz="6" w:space="0" w:color="auto"/>
              <w:right w:val="single" w:sz="6" w:space="0" w:color="auto"/>
            </w:tcBorders>
            <w:tcMar>
              <w:top w:w="8" w:type="dxa"/>
              <w:left w:w="8" w:type="dxa"/>
              <w:bottom w:w="0" w:type="dxa"/>
              <w:right w:w="8" w:type="dxa"/>
            </w:tcMar>
            <w:vAlign w:val="center"/>
            <w:hideMark/>
          </w:tcPr>
          <w:p w14:paraId="35F43551" w14:textId="77777777" w:rsidR="00D0083C" w:rsidRDefault="00854AE5">
            <w:pPr>
              <w:pStyle w:val="a3"/>
              <w:spacing w:before="0" w:beforeAutospacing="0" w:after="0" w:afterAutospacing="0"/>
              <w:jc w:val="center"/>
              <w:rPr>
                <w:sz w:val="21"/>
                <w:szCs w:val="21"/>
              </w:rPr>
            </w:pPr>
            <w:r>
              <w:rPr>
                <w:rFonts w:hint="eastAsia"/>
                <w:sz w:val="21"/>
                <w:szCs w:val="21"/>
              </w:rPr>
              <w:t>16南京安居MTN001</w:t>
            </w:r>
          </w:p>
        </w:tc>
        <w:tc>
          <w:tcPr>
            <w:tcW w:w="1378" w:type="dxa"/>
            <w:tcBorders>
              <w:top w:val="single" w:sz="6" w:space="0" w:color="auto"/>
              <w:left w:val="single" w:sz="6" w:space="0" w:color="auto"/>
              <w:right w:val="single" w:sz="6" w:space="0" w:color="auto"/>
            </w:tcBorders>
            <w:tcMar>
              <w:top w:w="8" w:type="dxa"/>
              <w:left w:w="8" w:type="dxa"/>
              <w:bottom w:w="0" w:type="dxa"/>
              <w:right w:w="8" w:type="dxa"/>
            </w:tcMar>
            <w:vAlign w:val="center"/>
            <w:hideMark/>
          </w:tcPr>
          <w:p w14:paraId="74AE277C" w14:textId="77777777" w:rsidR="00D0083C" w:rsidRDefault="00854AE5">
            <w:pPr>
              <w:pStyle w:val="a3"/>
              <w:spacing w:before="0" w:beforeAutospacing="0" w:after="0" w:afterAutospacing="0"/>
              <w:jc w:val="right"/>
              <w:rPr>
                <w:sz w:val="21"/>
                <w:szCs w:val="21"/>
              </w:rPr>
            </w:pPr>
            <w:r>
              <w:rPr>
                <w:rFonts w:hint="eastAsia"/>
                <w:sz w:val="21"/>
                <w:szCs w:val="21"/>
              </w:rPr>
              <w:t>500,000</w:t>
            </w:r>
          </w:p>
        </w:tc>
        <w:tc>
          <w:tcPr>
            <w:tcW w:w="1813" w:type="dxa"/>
            <w:tcBorders>
              <w:top w:val="single" w:sz="6" w:space="0" w:color="auto"/>
              <w:left w:val="single" w:sz="6" w:space="0" w:color="auto"/>
              <w:right w:val="single" w:sz="6" w:space="0" w:color="auto"/>
            </w:tcBorders>
            <w:tcMar>
              <w:top w:w="8" w:type="dxa"/>
              <w:left w:w="8" w:type="dxa"/>
              <w:bottom w:w="0" w:type="dxa"/>
              <w:right w:w="8" w:type="dxa"/>
            </w:tcMar>
            <w:vAlign w:val="center"/>
            <w:hideMark/>
          </w:tcPr>
          <w:p w14:paraId="582DAFB0" w14:textId="77777777" w:rsidR="00D0083C" w:rsidRDefault="00854AE5">
            <w:pPr>
              <w:pStyle w:val="a3"/>
              <w:spacing w:before="0" w:beforeAutospacing="0" w:after="0" w:afterAutospacing="0"/>
              <w:jc w:val="right"/>
              <w:rPr>
                <w:sz w:val="21"/>
                <w:szCs w:val="21"/>
              </w:rPr>
            </w:pPr>
            <w:r>
              <w:rPr>
                <w:rFonts w:hint="eastAsia"/>
                <w:sz w:val="21"/>
                <w:szCs w:val="21"/>
              </w:rPr>
              <w:t>50,275,000.00</w:t>
            </w:r>
          </w:p>
        </w:tc>
        <w:tc>
          <w:tcPr>
            <w:tcW w:w="1813" w:type="dxa"/>
            <w:tcBorders>
              <w:top w:val="single" w:sz="6" w:space="0" w:color="auto"/>
              <w:left w:val="single" w:sz="6" w:space="0" w:color="auto"/>
            </w:tcBorders>
            <w:tcMar>
              <w:top w:w="8" w:type="dxa"/>
              <w:left w:w="8" w:type="dxa"/>
              <w:bottom w:w="0" w:type="dxa"/>
              <w:right w:w="8" w:type="dxa"/>
            </w:tcMar>
            <w:vAlign w:val="center"/>
            <w:hideMark/>
          </w:tcPr>
          <w:p w14:paraId="6BB9E5A6" w14:textId="77777777" w:rsidR="00D0083C" w:rsidRDefault="00854AE5">
            <w:pPr>
              <w:pStyle w:val="a3"/>
              <w:spacing w:before="0" w:beforeAutospacing="0" w:after="0" w:afterAutospacing="0"/>
              <w:jc w:val="right"/>
              <w:rPr>
                <w:sz w:val="21"/>
                <w:szCs w:val="21"/>
              </w:rPr>
            </w:pPr>
            <w:r>
              <w:rPr>
                <w:rFonts w:hint="eastAsia"/>
                <w:sz w:val="21"/>
                <w:szCs w:val="21"/>
              </w:rPr>
              <w:t>3.42</w:t>
            </w:r>
          </w:p>
        </w:tc>
      </w:tr>
    </w:tbl>
    <w:p w14:paraId="45AF93F8" w14:textId="77777777" w:rsidR="00D0083C" w:rsidRDefault="00854AE5">
      <w:pPr>
        <w:pStyle w:val="a3"/>
        <w:spacing w:before="0" w:beforeAutospacing="0" w:after="0" w:afterAutospacing="0" w:line="360" w:lineRule="auto"/>
        <w:divId w:val="1225483252"/>
        <w:rPr>
          <w:sz w:val="21"/>
          <w:szCs w:val="21"/>
        </w:rPr>
      </w:pPr>
      <w:bookmarkStart w:id="58" w:name="_Toc481074852"/>
      <w:bookmarkStart w:id="59" w:name="_Toc438646473"/>
      <w:bookmarkStart w:id="60" w:name="m507"/>
      <w:bookmarkEnd w:id="58"/>
      <w:bookmarkEnd w:id="59"/>
      <w:r>
        <w:rPr>
          <w:rFonts w:hint="eastAsia"/>
          <w:b/>
          <w:bCs/>
          <w:sz w:val="21"/>
          <w:szCs w:val="21"/>
        </w:rPr>
        <w:t xml:space="preserve">6、报告期末按公允价值占基金资产净值比例大小排序的前十名资产支持证券投资明细 </w:t>
      </w:r>
      <w:bookmarkEnd w:id="60"/>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92"/>
        <w:gridCol w:w="1139"/>
        <w:gridCol w:w="1298"/>
        <w:gridCol w:w="1145"/>
        <w:gridCol w:w="1758"/>
        <w:gridCol w:w="1758"/>
      </w:tblGrid>
      <w:tr w:rsidR="00D0083C" w14:paraId="6B542918" w14:textId="77777777">
        <w:trPr>
          <w:divId w:val="1225483252"/>
        </w:trPr>
        <w:tc>
          <w:tcPr>
            <w:tcW w:w="1103" w:type="dxa"/>
            <w:tcBorders>
              <w:bottom w:val="single" w:sz="6" w:space="0" w:color="auto"/>
              <w:right w:val="single" w:sz="6" w:space="0" w:color="auto"/>
            </w:tcBorders>
            <w:shd w:val="clear" w:color="auto" w:fill="D7D7D7"/>
            <w:tcMar>
              <w:top w:w="0" w:type="dxa"/>
              <w:left w:w="101" w:type="dxa"/>
              <w:bottom w:w="0" w:type="dxa"/>
              <w:right w:w="101" w:type="dxa"/>
            </w:tcMar>
            <w:vAlign w:val="center"/>
            <w:hideMark/>
          </w:tcPr>
          <w:p w14:paraId="7BCC768B" w14:textId="77777777" w:rsidR="00D0083C" w:rsidRDefault="00854AE5">
            <w:pPr>
              <w:pStyle w:val="a3"/>
              <w:spacing w:before="0" w:beforeAutospacing="0" w:after="0" w:afterAutospacing="0"/>
              <w:jc w:val="center"/>
              <w:rPr>
                <w:sz w:val="21"/>
                <w:szCs w:val="21"/>
              </w:rPr>
            </w:pPr>
            <w:r>
              <w:rPr>
                <w:rFonts w:hint="eastAsia"/>
                <w:sz w:val="21"/>
                <w:szCs w:val="21"/>
              </w:rPr>
              <w:t xml:space="preserve">序号 </w:t>
            </w:r>
          </w:p>
        </w:tc>
        <w:tc>
          <w:tcPr>
            <w:tcW w:w="1054" w:type="dxa"/>
            <w:tcBorders>
              <w:left w:val="single" w:sz="6" w:space="0" w:color="auto"/>
              <w:bottom w:val="single" w:sz="6" w:space="0" w:color="auto"/>
              <w:right w:val="single" w:sz="6" w:space="0" w:color="auto"/>
            </w:tcBorders>
            <w:shd w:val="clear" w:color="auto" w:fill="D7D7D7"/>
            <w:tcMar>
              <w:top w:w="0" w:type="dxa"/>
              <w:left w:w="101" w:type="dxa"/>
              <w:bottom w:w="0" w:type="dxa"/>
              <w:right w:w="101" w:type="dxa"/>
            </w:tcMar>
            <w:vAlign w:val="center"/>
            <w:hideMark/>
          </w:tcPr>
          <w:p w14:paraId="6DECB073" w14:textId="77777777" w:rsidR="00D0083C" w:rsidRDefault="00854AE5">
            <w:pPr>
              <w:pStyle w:val="a3"/>
              <w:spacing w:before="0" w:beforeAutospacing="0" w:after="0" w:afterAutospacing="0"/>
              <w:jc w:val="center"/>
              <w:rPr>
                <w:sz w:val="21"/>
                <w:szCs w:val="21"/>
              </w:rPr>
            </w:pPr>
            <w:r>
              <w:rPr>
                <w:rFonts w:hint="eastAsia"/>
                <w:sz w:val="21"/>
                <w:szCs w:val="21"/>
              </w:rPr>
              <w:t xml:space="preserve">证券代码 </w:t>
            </w:r>
          </w:p>
        </w:tc>
        <w:tc>
          <w:tcPr>
            <w:tcW w:w="1201" w:type="dxa"/>
            <w:tcBorders>
              <w:left w:val="single" w:sz="6" w:space="0" w:color="auto"/>
              <w:bottom w:val="single" w:sz="6" w:space="0" w:color="auto"/>
              <w:right w:val="single" w:sz="6" w:space="0" w:color="auto"/>
            </w:tcBorders>
            <w:shd w:val="clear" w:color="auto" w:fill="D7D7D7"/>
            <w:tcMar>
              <w:top w:w="0" w:type="dxa"/>
              <w:left w:w="101" w:type="dxa"/>
              <w:bottom w:w="0" w:type="dxa"/>
              <w:right w:w="101" w:type="dxa"/>
            </w:tcMar>
            <w:vAlign w:val="center"/>
            <w:hideMark/>
          </w:tcPr>
          <w:p w14:paraId="2C3A12A8" w14:textId="77777777" w:rsidR="00D0083C" w:rsidRDefault="00854AE5">
            <w:pPr>
              <w:pStyle w:val="a3"/>
              <w:spacing w:before="0" w:beforeAutospacing="0" w:after="0" w:afterAutospacing="0"/>
              <w:jc w:val="center"/>
              <w:rPr>
                <w:sz w:val="21"/>
                <w:szCs w:val="21"/>
              </w:rPr>
            </w:pPr>
            <w:r>
              <w:rPr>
                <w:rFonts w:hint="eastAsia"/>
                <w:sz w:val="21"/>
                <w:szCs w:val="21"/>
              </w:rPr>
              <w:t xml:space="preserve">证券名称 </w:t>
            </w:r>
          </w:p>
        </w:tc>
        <w:tc>
          <w:tcPr>
            <w:tcW w:w="1060" w:type="dxa"/>
            <w:tcBorders>
              <w:left w:val="single" w:sz="6" w:space="0" w:color="auto"/>
              <w:bottom w:val="single" w:sz="6" w:space="0" w:color="auto"/>
              <w:right w:val="single" w:sz="6" w:space="0" w:color="auto"/>
            </w:tcBorders>
            <w:shd w:val="clear" w:color="auto" w:fill="D7D7D7"/>
            <w:tcMar>
              <w:top w:w="0" w:type="dxa"/>
              <w:left w:w="101" w:type="dxa"/>
              <w:bottom w:w="0" w:type="dxa"/>
              <w:right w:w="101" w:type="dxa"/>
            </w:tcMar>
            <w:vAlign w:val="center"/>
            <w:hideMark/>
          </w:tcPr>
          <w:p w14:paraId="4AEA79A4" w14:textId="77777777" w:rsidR="00D0083C" w:rsidRDefault="00854AE5">
            <w:pPr>
              <w:pStyle w:val="a3"/>
              <w:spacing w:before="0" w:beforeAutospacing="0" w:after="0" w:afterAutospacing="0"/>
              <w:jc w:val="center"/>
              <w:rPr>
                <w:sz w:val="21"/>
                <w:szCs w:val="21"/>
              </w:rPr>
            </w:pPr>
            <w:r>
              <w:rPr>
                <w:rFonts w:hint="eastAsia"/>
                <w:sz w:val="21"/>
                <w:szCs w:val="21"/>
              </w:rPr>
              <w:t xml:space="preserve">数量（份） </w:t>
            </w:r>
          </w:p>
        </w:tc>
        <w:tc>
          <w:tcPr>
            <w:tcW w:w="1627" w:type="dxa"/>
            <w:tcBorders>
              <w:left w:val="single" w:sz="6" w:space="0" w:color="auto"/>
              <w:bottom w:val="single" w:sz="6" w:space="0" w:color="auto"/>
              <w:right w:val="single" w:sz="6" w:space="0" w:color="auto"/>
            </w:tcBorders>
            <w:shd w:val="clear" w:color="auto" w:fill="D7D7D7"/>
            <w:tcMar>
              <w:top w:w="0" w:type="dxa"/>
              <w:left w:w="101" w:type="dxa"/>
              <w:bottom w:w="0" w:type="dxa"/>
              <w:right w:w="101" w:type="dxa"/>
            </w:tcMar>
            <w:vAlign w:val="center"/>
            <w:hideMark/>
          </w:tcPr>
          <w:p w14:paraId="204974C7" w14:textId="77777777" w:rsidR="00D0083C" w:rsidRDefault="00854AE5">
            <w:pPr>
              <w:pStyle w:val="a3"/>
              <w:spacing w:before="0" w:beforeAutospacing="0" w:after="0" w:afterAutospacing="0"/>
              <w:jc w:val="center"/>
              <w:rPr>
                <w:sz w:val="21"/>
                <w:szCs w:val="21"/>
              </w:rPr>
            </w:pPr>
            <w:r>
              <w:rPr>
                <w:rFonts w:hint="eastAsia"/>
                <w:sz w:val="21"/>
                <w:szCs w:val="21"/>
              </w:rPr>
              <w:t xml:space="preserve">公允价值（人民币元） </w:t>
            </w:r>
          </w:p>
        </w:tc>
        <w:tc>
          <w:tcPr>
            <w:tcW w:w="1627" w:type="dxa"/>
            <w:tcBorders>
              <w:left w:val="single" w:sz="6" w:space="0" w:color="auto"/>
              <w:bottom w:val="single" w:sz="6" w:space="0" w:color="auto"/>
            </w:tcBorders>
            <w:shd w:val="clear" w:color="auto" w:fill="D7D7D7"/>
            <w:tcMar>
              <w:top w:w="0" w:type="dxa"/>
              <w:left w:w="101" w:type="dxa"/>
              <w:bottom w:w="0" w:type="dxa"/>
              <w:right w:w="101" w:type="dxa"/>
            </w:tcMar>
            <w:vAlign w:val="center"/>
            <w:hideMark/>
          </w:tcPr>
          <w:p w14:paraId="3D11B4DC" w14:textId="77777777" w:rsidR="00D0083C" w:rsidRDefault="00854AE5">
            <w:pPr>
              <w:pStyle w:val="a3"/>
              <w:spacing w:before="0" w:beforeAutospacing="0" w:after="0" w:afterAutospacing="0"/>
              <w:jc w:val="center"/>
              <w:rPr>
                <w:sz w:val="21"/>
                <w:szCs w:val="21"/>
              </w:rPr>
            </w:pPr>
            <w:r>
              <w:rPr>
                <w:rFonts w:hint="eastAsia"/>
                <w:sz w:val="21"/>
                <w:szCs w:val="21"/>
              </w:rPr>
              <w:t xml:space="preserve">占基金资产净值比例（%） </w:t>
            </w:r>
          </w:p>
        </w:tc>
      </w:tr>
      <w:tr w:rsidR="00D0083C" w14:paraId="6A434831" w14:textId="77777777">
        <w:trPr>
          <w:divId w:val="1225483252"/>
        </w:trPr>
        <w:tc>
          <w:tcPr>
            <w:tcW w:w="1103" w:type="dxa"/>
            <w:tcBorders>
              <w:top w:val="single" w:sz="6" w:space="0" w:color="auto"/>
              <w:right w:val="single" w:sz="6" w:space="0" w:color="auto"/>
            </w:tcBorders>
            <w:tcMar>
              <w:top w:w="0" w:type="dxa"/>
              <w:left w:w="101" w:type="dxa"/>
              <w:bottom w:w="0" w:type="dxa"/>
              <w:right w:w="101" w:type="dxa"/>
            </w:tcMar>
            <w:vAlign w:val="center"/>
            <w:hideMark/>
          </w:tcPr>
          <w:p w14:paraId="16B9815F" w14:textId="77777777" w:rsidR="00D0083C" w:rsidRDefault="00854AE5">
            <w:pPr>
              <w:pStyle w:val="a3"/>
              <w:spacing w:before="0" w:beforeAutospacing="0" w:after="0" w:afterAutospacing="0"/>
              <w:jc w:val="center"/>
              <w:rPr>
                <w:sz w:val="21"/>
                <w:szCs w:val="21"/>
              </w:rPr>
            </w:pPr>
            <w:r>
              <w:rPr>
                <w:rFonts w:hint="eastAsia"/>
                <w:sz w:val="21"/>
                <w:szCs w:val="21"/>
              </w:rPr>
              <w:t>1</w:t>
            </w:r>
          </w:p>
        </w:tc>
        <w:tc>
          <w:tcPr>
            <w:tcW w:w="1054" w:type="dxa"/>
            <w:tcBorders>
              <w:top w:val="single" w:sz="6" w:space="0" w:color="auto"/>
              <w:left w:val="single" w:sz="6" w:space="0" w:color="auto"/>
              <w:right w:val="single" w:sz="6" w:space="0" w:color="auto"/>
            </w:tcBorders>
            <w:tcMar>
              <w:top w:w="0" w:type="dxa"/>
              <w:left w:w="101" w:type="dxa"/>
              <w:bottom w:w="0" w:type="dxa"/>
              <w:right w:w="101" w:type="dxa"/>
            </w:tcMar>
            <w:vAlign w:val="center"/>
            <w:hideMark/>
          </w:tcPr>
          <w:p w14:paraId="65A4D288" w14:textId="77777777" w:rsidR="00D0083C" w:rsidRDefault="00854AE5">
            <w:pPr>
              <w:pStyle w:val="a3"/>
              <w:spacing w:before="0" w:beforeAutospacing="0" w:after="0" w:afterAutospacing="0"/>
              <w:jc w:val="center"/>
              <w:rPr>
                <w:sz w:val="21"/>
                <w:szCs w:val="21"/>
              </w:rPr>
            </w:pPr>
            <w:r>
              <w:rPr>
                <w:rFonts w:hint="eastAsia"/>
                <w:sz w:val="21"/>
                <w:szCs w:val="21"/>
              </w:rPr>
              <w:t>149879</w:t>
            </w:r>
          </w:p>
        </w:tc>
        <w:tc>
          <w:tcPr>
            <w:tcW w:w="1201" w:type="dxa"/>
            <w:tcBorders>
              <w:top w:val="single" w:sz="6" w:space="0" w:color="auto"/>
              <w:left w:val="single" w:sz="6" w:space="0" w:color="auto"/>
              <w:right w:val="single" w:sz="6" w:space="0" w:color="auto"/>
            </w:tcBorders>
            <w:tcMar>
              <w:top w:w="0" w:type="dxa"/>
              <w:left w:w="101" w:type="dxa"/>
              <w:bottom w:w="0" w:type="dxa"/>
              <w:right w:w="101" w:type="dxa"/>
            </w:tcMar>
            <w:vAlign w:val="center"/>
            <w:hideMark/>
          </w:tcPr>
          <w:p w14:paraId="7F2D8E02" w14:textId="77777777" w:rsidR="00D0083C" w:rsidRDefault="00854AE5">
            <w:pPr>
              <w:pStyle w:val="a3"/>
              <w:spacing w:before="0" w:beforeAutospacing="0" w:after="0" w:afterAutospacing="0"/>
              <w:jc w:val="center"/>
              <w:rPr>
                <w:sz w:val="21"/>
                <w:szCs w:val="21"/>
              </w:rPr>
            </w:pPr>
            <w:r>
              <w:rPr>
                <w:rFonts w:hint="eastAsia"/>
                <w:sz w:val="21"/>
                <w:szCs w:val="21"/>
              </w:rPr>
              <w:t>18借03A1</w:t>
            </w:r>
          </w:p>
        </w:tc>
        <w:tc>
          <w:tcPr>
            <w:tcW w:w="1060" w:type="dxa"/>
            <w:tcBorders>
              <w:top w:val="single" w:sz="6" w:space="0" w:color="auto"/>
              <w:left w:val="single" w:sz="6" w:space="0" w:color="auto"/>
              <w:right w:val="single" w:sz="6" w:space="0" w:color="auto"/>
            </w:tcBorders>
            <w:tcMar>
              <w:top w:w="0" w:type="dxa"/>
              <w:left w:w="101" w:type="dxa"/>
              <w:bottom w:w="0" w:type="dxa"/>
              <w:right w:w="101" w:type="dxa"/>
            </w:tcMar>
            <w:vAlign w:val="center"/>
            <w:hideMark/>
          </w:tcPr>
          <w:p w14:paraId="11ADE46E" w14:textId="77777777" w:rsidR="00D0083C" w:rsidRDefault="00854AE5">
            <w:pPr>
              <w:pStyle w:val="a3"/>
              <w:spacing w:before="0" w:beforeAutospacing="0" w:after="0" w:afterAutospacing="0"/>
              <w:jc w:val="right"/>
              <w:rPr>
                <w:sz w:val="21"/>
                <w:szCs w:val="21"/>
              </w:rPr>
            </w:pPr>
            <w:r>
              <w:rPr>
                <w:rFonts w:hint="eastAsia"/>
                <w:sz w:val="21"/>
                <w:szCs w:val="21"/>
              </w:rPr>
              <w:t>160,000</w:t>
            </w:r>
          </w:p>
        </w:tc>
        <w:tc>
          <w:tcPr>
            <w:tcW w:w="1627" w:type="dxa"/>
            <w:tcBorders>
              <w:top w:val="single" w:sz="6" w:space="0" w:color="auto"/>
              <w:left w:val="single" w:sz="6" w:space="0" w:color="auto"/>
              <w:right w:val="single" w:sz="6" w:space="0" w:color="auto"/>
            </w:tcBorders>
            <w:tcMar>
              <w:top w:w="0" w:type="dxa"/>
              <w:left w:w="101" w:type="dxa"/>
              <w:bottom w:w="0" w:type="dxa"/>
              <w:right w:w="101" w:type="dxa"/>
            </w:tcMar>
            <w:vAlign w:val="center"/>
            <w:hideMark/>
          </w:tcPr>
          <w:p w14:paraId="5721139F" w14:textId="77777777" w:rsidR="00D0083C" w:rsidRDefault="00854AE5">
            <w:pPr>
              <w:pStyle w:val="a3"/>
              <w:spacing w:before="0" w:beforeAutospacing="0" w:after="0" w:afterAutospacing="0"/>
              <w:jc w:val="right"/>
              <w:rPr>
                <w:sz w:val="21"/>
                <w:szCs w:val="21"/>
              </w:rPr>
            </w:pPr>
            <w:r>
              <w:rPr>
                <w:rFonts w:hint="eastAsia"/>
                <w:sz w:val="21"/>
                <w:szCs w:val="21"/>
              </w:rPr>
              <w:t>16,000,000.00</w:t>
            </w:r>
          </w:p>
        </w:tc>
        <w:tc>
          <w:tcPr>
            <w:tcW w:w="1627" w:type="dxa"/>
            <w:tcBorders>
              <w:top w:val="single" w:sz="6" w:space="0" w:color="auto"/>
              <w:left w:val="single" w:sz="6" w:space="0" w:color="auto"/>
            </w:tcBorders>
            <w:tcMar>
              <w:top w:w="0" w:type="dxa"/>
              <w:left w:w="101" w:type="dxa"/>
              <w:bottom w:w="0" w:type="dxa"/>
              <w:right w:w="101" w:type="dxa"/>
            </w:tcMar>
            <w:vAlign w:val="center"/>
            <w:hideMark/>
          </w:tcPr>
          <w:p w14:paraId="2AFA956D" w14:textId="77777777" w:rsidR="00D0083C" w:rsidRDefault="00854AE5">
            <w:pPr>
              <w:pStyle w:val="a3"/>
              <w:spacing w:before="0" w:beforeAutospacing="0" w:after="0" w:afterAutospacing="0"/>
              <w:jc w:val="right"/>
              <w:rPr>
                <w:sz w:val="21"/>
                <w:szCs w:val="21"/>
              </w:rPr>
            </w:pPr>
            <w:r>
              <w:rPr>
                <w:rFonts w:hint="eastAsia"/>
                <w:sz w:val="21"/>
                <w:szCs w:val="21"/>
              </w:rPr>
              <w:t>1.09</w:t>
            </w:r>
          </w:p>
        </w:tc>
      </w:tr>
    </w:tbl>
    <w:p w14:paraId="32357896" w14:textId="77777777" w:rsidR="00D0083C" w:rsidRDefault="00854AE5">
      <w:pPr>
        <w:pStyle w:val="a3"/>
        <w:spacing w:before="0" w:beforeAutospacing="0" w:after="0" w:afterAutospacing="0" w:line="360" w:lineRule="auto"/>
        <w:divId w:val="1225483252"/>
        <w:rPr>
          <w:sz w:val="21"/>
          <w:szCs w:val="21"/>
        </w:rPr>
      </w:pPr>
      <w:bookmarkStart w:id="61" w:name="_Toc481074853"/>
      <w:bookmarkStart w:id="62" w:name="_Toc438646474"/>
      <w:bookmarkStart w:id="63" w:name="m508"/>
      <w:bookmarkEnd w:id="61"/>
      <w:bookmarkEnd w:id="62"/>
      <w:r>
        <w:rPr>
          <w:rFonts w:hint="eastAsia"/>
          <w:b/>
          <w:bCs/>
          <w:sz w:val="21"/>
          <w:szCs w:val="21"/>
        </w:rPr>
        <w:t xml:space="preserve">7、报告期末按公允价值占基金资产净值比例大小排序的前五名贵金属投资明细 </w:t>
      </w:r>
      <w:bookmarkEnd w:id="63"/>
    </w:p>
    <w:p w14:paraId="485FE4D7" w14:textId="77777777" w:rsidR="00D0083C" w:rsidRDefault="00854AE5">
      <w:pPr>
        <w:pStyle w:val="a3"/>
        <w:spacing w:before="0" w:beforeAutospacing="0" w:after="0" w:afterAutospacing="0" w:line="360" w:lineRule="auto"/>
        <w:divId w:val="1225483252"/>
        <w:rPr>
          <w:sz w:val="21"/>
          <w:szCs w:val="21"/>
        </w:rPr>
      </w:pPr>
      <w:r>
        <w:rPr>
          <w:rFonts w:hint="eastAsia"/>
          <w:sz w:val="21"/>
          <w:szCs w:val="21"/>
        </w:rPr>
        <w:t>注：无。</w:t>
      </w:r>
    </w:p>
    <w:p w14:paraId="21DAD77C" w14:textId="77777777" w:rsidR="00D0083C" w:rsidRDefault="00854AE5">
      <w:pPr>
        <w:pStyle w:val="a3"/>
        <w:spacing w:before="0" w:beforeAutospacing="0" w:after="0" w:afterAutospacing="0" w:line="360" w:lineRule="auto"/>
        <w:divId w:val="1225483252"/>
        <w:rPr>
          <w:sz w:val="21"/>
          <w:szCs w:val="21"/>
        </w:rPr>
      </w:pPr>
      <w:bookmarkStart w:id="64" w:name="_Toc481074854"/>
      <w:bookmarkStart w:id="65" w:name="_Toc438646475"/>
      <w:bookmarkStart w:id="66" w:name="m509"/>
      <w:bookmarkEnd w:id="64"/>
      <w:bookmarkEnd w:id="65"/>
      <w:r>
        <w:rPr>
          <w:rFonts w:hint="eastAsia"/>
          <w:b/>
          <w:bCs/>
          <w:sz w:val="21"/>
          <w:szCs w:val="21"/>
        </w:rPr>
        <w:t xml:space="preserve">8、报告期末按公允价值占基金资产净值比例大小排序的前五名权证投资明细 </w:t>
      </w:r>
      <w:bookmarkEnd w:id="66"/>
    </w:p>
    <w:p w14:paraId="63897F8B" w14:textId="77777777" w:rsidR="00D0083C" w:rsidRDefault="00854AE5">
      <w:pPr>
        <w:pStyle w:val="a3"/>
        <w:spacing w:before="0" w:beforeAutospacing="0" w:after="0" w:afterAutospacing="0" w:line="360" w:lineRule="auto"/>
        <w:divId w:val="1225483252"/>
        <w:rPr>
          <w:sz w:val="21"/>
          <w:szCs w:val="21"/>
        </w:rPr>
      </w:pPr>
      <w:r>
        <w:rPr>
          <w:rFonts w:hint="eastAsia"/>
          <w:sz w:val="21"/>
          <w:szCs w:val="21"/>
        </w:rPr>
        <w:lastRenderedPageBreak/>
        <w:t>注：无。</w:t>
      </w:r>
    </w:p>
    <w:p w14:paraId="2CEEECFC" w14:textId="77777777" w:rsidR="00D0083C" w:rsidRDefault="00854AE5">
      <w:pPr>
        <w:pStyle w:val="a3"/>
        <w:spacing w:before="0" w:beforeAutospacing="0" w:after="0" w:afterAutospacing="0" w:line="360" w:lineRule="auto"/>
        <w:divId w:val="1225483252"/>
        <w:rPr>
          <w:sz w:val="21"/>
          <w:szCs w:val="21"/>
        </w:rPr>
      </w:pPr>
      <w:bookmarkStart w:id="67" w:name="_Toc438646476"/>
      <w:bookmarkStart w:id="68" w:name="m510_01_1598"/>
      <w:bookmarkStart w:id="69" w:name="_Toc481074858"/>
      <w:bookmarkEnd w:id="67"/>
      <w:bookmarkEnd w:id="68"/>
      <w:r>
        <w:rPr>
          <w:rFonts w:hint="eastAsia"/>
          <w:b/>
          <w:bCs/>
          <w:sz w:val="21"/>
          <w:szCs w:val="21"/>
        </w:rPr>
        <w:t>9、报告期末本基金投资的国债期货交易情况说明</w:t>
      </w:r>
      <w:bookmarkEnd w:id="69"/>
    </w:p>
    <w:p w14:paraId="65065231" w14:textId="77777777" w:rsidR="00D0083C" w:rsidRDefault="00854AE5">
      <w:pPr>
        <w:pStyle w:val="a3"/>
        <w:spacing w:before="0" w:beforeAutospacing="0" w:after="0" w:afterAutospacing="0" w:line="360" w:lineRule="auto"/>
        <w:divId w:val="1225483252"/>
        <w:rPr>
          <w:sz w:val="21"/>
          <w:szCs w:val="21"/>
        </w:rPr>
      </w:pPr>
      <w:bookmarkStart w:id="70" w:name="_Toc481074859"/>
      <w:bookmarkStart w:id="71" w:name="m510_01_1597"/>
      <w:bookmarkEnd w:id="70"/>
      <w:r>
        <w:rPr>
          <w:rFonts w:hint="eastAsia"/>
          <w:b/>
          <w:bCs/>
          <w:sz w:val="21"/>
          <w:szCs w:val="21"/>
        </w:rPr>
        <w:t>（1）本期国债期货投资政策</w:t>
      </w:r>
      <w:bookmarkEnd w:id="71"/>
    </w:p>
    <w:p w14:paraId="3E8C090D"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本基金基金合同的投资范围尚未包含国债期货投资。</w:t>
      </w:r>
    </w:p>
    <w:p w14:paraId="1D441D1A" w14:textId="77777777" w:rsidR="00D0083C" w:rsidRDefault="00854AE5">
      <w:pPr>
        <w:pStyle w:val="a3"/>
        <w:spacing w:before="0" w:beforeAutospacing="0" w:after="0" w:afterAutospacing="0" w:line="360" w:lineRule="auto"/>
        <w:divId w:val="1225483252"/>
        <w:rPr>
          <w:sz w:val="21"/>
          <w:szCs w:val="21"/>
        </w:rPr>
      </w:pPr>
      <w:bookmarkStart w:id="72" w:name="_Toc481074860"/>
      <w:r>
        <w:rPr>
          <w:rFonts w:hint="eastAsia"/>
          <w:b/>
          <w:bCs/>
          <w:sz w:val="21"/>
          <w:szCs w:val="21"/>
        </w:rPr>
        <w:t>（2）报告期末本基金投资的国债期货持仓和损益明细</w:t>
      </w:r>
      <w:bookmarkEnd w:id="72"/>
      <w:r>
        <w:rPr>
          <w:rFonts w:hint="eastAsia"/>
          <w:sz w:val="21"/>
          <w:szCs w:val="21"/>
        </w:rPr>
        <w:t xml:space="preserve"> </w:t>
      </w:r>
    </w:p>
    <w:p w14:paraId="591D3F11" w14:textId="77777777" w:rsidR="00D0083C" w:rsidRDefault="00854AE5">
      <w:pPr>
        <w:pStyle w:val="a3"/>
        <w:spacing w:before="0" w:beforeAutospacing="0" w:after="0" w:afterAutospacing="0"/>
        <w:jc w:val="both"/>
        <w:divId w:val="1225483252"/>
        <w:rPr>
          <w:sz w:val="21"/>
          <w:szCs w:val="21"/>
        </w:rPr>
      </w:pPr>
      <w:r>
        <w:rPr>
          <w:rFonts w:hint="eastAsia"/>
          <w:sz w:val="21"/>
          <w:szCs w:val="21"/>
        </w:rPr>
        <w:t>注：本基金基金合同的投资范围尚未包含国债期货投资。</w:t>
      </w:r>
    </w:p>
    <w:p w14:paraId="52095A19" w14:textId="77777777" w:rsidR="00D0083C" w:rsidRDefault="00854AE5">
      <w:pPr>
        <w:pStyle w:val="a3"/>
        <w:spacing w:before="0" w:beforeAutospacing="0" w:after="0" w:afterAutospacing="0" w:line="360" w:lineRule="auto"/>
        <w:divId w:val="1225483252"/>
        <w:rPr>
          <w:sz w:val="21"/>
          <w:szCs w:val="21"/>
        </w:rPr>
      </w:pPr>
      <w:bookmarkStart w:id="73" w:name="_Toc481074861"/>
      <w:r>
        <w:rPr>
          <w:rFonts w:hint="eastAsia"/>
          <w:b/>
          <w:bCs/>
          <w:sz w:val="21"/>
          <w:szCs w:val="21"/>
        </w:rPr>
        <w:t>（3）本期国债期货投资评价</w:t>
      </w:r>
      <w:bookmarkEnd w:id="73"/>
    </w:p>
    <w:p w14:paraId="4BD252A3"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本基金基金合同的投资范围尚未包含国债期货投资。</w:t>
      </w:r>
    </w:p>
    <w:p w14:paraId="5EB92416" w14:textId="77777777" w:rsidR="00D0083C" w:rsidRDefault="00854AE5">
      <w:pPr>
        <w:pStyle w:val="a3"/>
        <w:spacing w:before="0" w:beforeAutospacing="0" w:after="0" w:afterAutospacing="0" w:line="360" w:lineRule="auto"/>
        <w:divId w:val="1225483252"/>
        <w:rPr>
          <w:sz w:val="21"/>
          <w:szCs w:val="21"/>
        </w:rPr>
      </w:pPr>
      <w:bookmarkStart w:id="74" w:name="_Toc481074862"/>
      <w:r>
        <w:rPr>
          <w:rFonts w:hint="eastAsia"/>
          <w:b/>
          <w:bCs/>
          <w:sz w:val="21"/>
          <w:szCs w:val="21"/>
        </w:rPr>
        <w:t>10、投资组合报告附注</w:t>
      </w:r>
      <w:bookmarkEnd w:id="74"/>
    </w:p>
    <w:p w14:paraId="7FAA36E8" w14:textId="77777777" w:rsidR="00D0083C" w:rsidRDefault="00854AE5">
      <w:pPr>
        <w:pStyle w:val="a3"/>
        <w:spacing w:before="0" w:beforeAutospacing="0" w:after="0" w:afterAutospacing="0" w:line="360" w:lineRule="auto"/>
        <w:divId w:val="1225483252"/>
        <w:rPr>
          <w:sz w:val="21"/>
          <w:szCs w:val="21"/>
        </w:rPr>
      </w:pPr>
      <w:bookmarkStart w:id="75" w:name="_Toc481074863"/>
      <w:bookmarkEnd w:id="75"/>
      <w:r>
        <w:rPr>
          <w:rFonts w:hint="eastAsia"/>
          <w:b/>
          <w:bCs/>
          <w:sz w:val="21"/>
          <w:szCs w:val="21"/>
        </w:rPr>
        <w:t>（1）</w:t>
      </w:r>
    </w:p>
    <w:p w14:paraId="40095718"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本基金投资的前十名证券中本期没有发行主体被监管部门立案调查的、或在报告编制日前一年内受到公开谴责、处罚的证券。</w:t>
      </w:r>
    </w:p>
    <w:p w14:paraId="415F1474" w14:textId="77777777" w:rsidR="00D0083C" w:rsidRDefault="00854AE5">
      <w:pPr>
        <w:pStyle w:val="a3"/>
        <w:spacing w:before="0" w:beforeAutospacing="0" w:after="0" w:afterAutospacing="0" w:line="360" w:lineRule="auto"/>
        <w:divId w:val="1225483252"/>
        <w:rPr>
          <w:sz w:val="21"/>
          <w:szCs w:val="21"/>
        </w:rPr>
      </w:pPr>
      <w:bookmarkStart w:id="76" w:name="_Toc481074864"/>
      <w:bookmarkEnd w:id="76"/>
      <w:r>
        <w:rPr>
          <w:rFonts w:hint="eastAsia"/>
          <w:b/>
          <w:bCs/>
          <w:sz w:val="21"/>
          <w:szCs w:val="21"/>
        </w:rPr>
        <w:t>（2）</w:t>
      </w:r>
    </w:p>
    <w:p w14:paraId="77A06CB8" w14:textId="77777777" w:rsidR="00D0083C" w:rsidRDefault="00854AE5">
      <w:pPr>
        <w:pStyle w:val="a3"/>
        <w:spacing w:before="0" w:beforeAutospacing="0" w:after="0" w:afterAutospacing="0" w:line="360" w:lineRule="auto"/>
        <w:ind w:firstLine="420"/>
        <w:jc w:val="both"/>
        <w:divId w:val="1225483252"/>
        <w:rPr>
          <w:sz w:val="21"/>
          <w:szCs w:val="21"/>
        </w:rPr>
      </w:pPr>
      <w:r>
        <w:rPr>
          <w:rFonts w:hint="eastAsia"/>
          <w:sz w:val="21"/>
          <w:szCs w:val="21"/>
        </w:rPr>
        <w:t>本基金投资的前十名证券没有超出基金合同规定的证券备选库。</w:t>
      </w:r>
    </w:p>
    <w:p w14:paraId="6077D317" w14:textId="77777777" w:rsidR="00D0083C" w:rsidRDefault="00854AE5">
      <w:pPr>
        <w:pStyle w:val="a3"/>
        <w:spacing w:before="0" w:beforeAutospacing="0" w:after="0" w:afterAutospacing="0" w:line="360" w:lineRule="auto"/>
        <w:divId w:val="1225483252"/>
        <w:rPr>
          <w:sz w:val="21"/>
          <w:szCs w:val="21"/>
        </w:rPr>
      </w:pPr>
      <w:bookmarkStart w:id="77" w:name="_Toc481074865"/>
      <w:bookmarkStart w:id="78" w:name="m510_02"/>
      <w:bookmarkEnd w:id="77"/>
      <w:r>
        <w:rPr>
          <w:rFonts w:hint="eastAsia"/>
          <w:b/>
          <w:bCs/>
          <w:sz w:val="21"/>
          <w:szCs w:val="21"/>
        </w:rPr>
        <w:t xml:space="preserve">（3）其他资产构成 </w:t>
      </w:r>
      <w:bookmarkEnd w:id="78"/>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791"/>
        <w:gridCol w:w="3465"/>
        <w:gridCol w:w="4034"/>
      </w:tblGrid>
      <w:tr w:rsidR="00D0083C" w14:paraId="072BE9A1" w14:textId="77777777">
        <w:trPr>
          <w:divId w:val="1225483252"/>
        </w:trPr>
        <w:tc>
          <w:tcPr>
            <w:tcW w:w="791" w:type="dxa"/>
            <w:tcBorders>
              <w:bottom w:val="single" w:sz="6" w:space="0" w:color="auto"/>
              <w:right w:val="single" w:sz="6" w:space="0" w:color="auto"/>
            </w:tcBorders>
            <w:shd w:val="clear" w:color="auto" w:fill="D9D9D9"/>
            <w:tcMar>
              <w:top w:w="0" w:type="dxa"/>
              <w:left w:w="101" w:type="dxa"/>
              <w:bottom w:w="0" w:type="dxa"/>
              <w:right w:w="101" w:type="dxa"/>
            </w:tcMar>
            <w:vAlign w:val="center"/>
            <w:hideMark/>
          </w:tcPr>
          <w:p w14:paraId="6FEA0A1F" w14:textId="77777777" w:rsidR="00D0083C" w:rsidRDefault="00854AE5">
            <w:pPr>
              <w:pStyle w:val="a3"/>
              <w:spacing w:before="0" w:beforeAutospacing="0" w:after="0" w:afterAutospacing="0"/>
              <w:jc w:val="center"/>
              <w:rPr>
                <w:sz w:val="21"/>
                <w:szCs w:val="21"/>
              </w:rPr>
            </w:pPr>
            <w:bookmarkStart w:id="79" w:name="m510_02_tab"/>
            <w:r>
              <w:rPr>
                <w:rFonts w:hint="eastAsia"/>
                <w:sz w:val="21"/>
                <w:szCs w:val="21"/>
              </w:rPr>
              <w:t xml:space="preserve">序号 </w:t>
            </w:r>
            <w:bookmarkEnd w:id="79"/>
          </w:p>
        </w:tc>
        <w:tc>
          <w:tcPr>
            <w:tcW w:w="3469" w:type="dxa"/>
            <w:tcBorders>
              <w:left w:val="single" w:sz="6" w:space="0" w:color="auto"/>
              <w:bottom w:val="single" w:sz="6" w:space="0" w:color="auto"/>
              <w:right w:val="single" w:sz="6" w:space="0" w:color="auto"/>
            </w:tcBorders>
            <w:shd w:val="clear" w:color="auto" w:fill="D9D9D9"/>
            <w:tcMar>
              <w:top w:w="0" w:type="dxa"/>
              <w:left w:w="101" w:type="dxa"/>
              <w:bottom w:w="0" w:type="dxa"/>
              <w:right w:w="101" w:type="dxa"/>
            </w:tcMar>
            <w:vAlign w:val="center"/>
            <w:hideMark/>
          </w:tcPr>
          <w:p w14:paraId="00932F44" w14:textId="77777777" w:rsidR="00D0083C" w:rsidRDefault="00854AE5">
            <w:pPr>
              <w:pStyle w:val="a3"/>
              <w:spacing w:before="0" w:beforeAutospacing="0" w:after="0" w:afterAutospacing="0"/>
              <w:jc w:val="center"/>
              <w:rPr>
                <w:sz w:val="21"/>
                <w:szCs w:val="21"/>
              </w:rPr>
            </w:pPr>
            <w:r>
              <w:rPr>
                <w:rFonts w:hint="eastAsia"/>
                <w:sz w:val="21"/>
                <w:szCs w:val="21"/>
              </w:rPr>
              <w:t xml:space="preserve">名称 </w:t>
            </w:r>
          </w:p>
        </w:tc>
        <w:tc>
          <w:tcPr>
            <w:tcW w:w="4037" w:type="dxa"/>
            <w:tcBorders>
              <w:left w:val="single" w:sz="6" w:space="0" w:color="auto"/>
              <w:bottom w:val="single" w:sz="6" w:space="0" w:color="auto"/>
            </w:tcBorders>
            <w:shd w:val="clear" w:color="auto" w:fill="D9D9D9"/>
            <w:tcMar>
              <w:top w:w="0" w:type="dxa"/>
              <w:left w:w="101" w:type="dxa"/>
              <w:bottom w:w="0" w:type="dxa"/>
              <w:right w:w="101" w:type="dxa"/>
            </w:tcMar>
            <w:vAlign w:val="center"/>
            <w:hideMark/>
          </w:tcPr>
          <w:p w14:paraId="2988FBAD" w14:textId="77777777" w:rsidR="00D0083C" w:rsidRDefault="00854AE5">
            <w:pPr>
              <w:pStyle w:val="a3"/>
              <w:spacing w:before="0" w:beforeAutospacing="0" w:after="0" w:afterAutospacing="0"/>
              <w:jc w:val="center"/>
              <w:rPr>
                <w:sz w:val="21"/>
                <w:szCs w:val="21"/>
              </w:rPr>
            </w:pPr>
            <w:r>
              <w:rPr>
                <w:rFonts w:hint="eastAsia"/>
                <w:sz w:val="21"/>
                <w:szCs w:val="21"/>
              </w:rPr>
              <w:t xml:space="preserve">金额（人民币元） </w:t>
            </w:r>
          </w:p>
        </w:tc>
      </w:tr>
      <w:tr w:rsidR="00D0083C" w14:paraId="482AE82B" w14:textId="77777777">
        <w:trPr>
          <w:divId w:val="1225483252"/>
        </w:trPr>
        <w:tc>
          <w:tcPr>
            <w:tcW w:w="791"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3AAE72EF" w14:textId="77777777" w:rsidR="00D0083C" w:rsidRDefault="00854AE5">
            <w:pPr>
              <w:pStyle w:val="a3"/>
              <w:spacing w:before="0" w:beforeAutospacing="0" w:after="0" w:afterAutospacing="0"/>
              <w:jc w:val="center"/>
              <w:rPr>
                <w:sz w:val="21"/>
                <w:szCs w:val="21"/>
              </w:rPr>
            </w:pPr>
            <w:r>
              <w:rPr>
                <w:rFonts w:hint="eastAsia"/>
                <w:sz w:val="21"/>
                <w:szCs w:val="21"/>
              </w:rPr>
              <w:t xml:space="preserve">1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517C07D0" w14:textId="77777777" w:rsidR="00D0083C" w:rsidRDefault="00854AE5">
            <w:pPr>
              <w:pStyle w:val="a3"/>
              <w:spacing w:before="0" w:beforeAutospacing="0" w:after="0" w:afterAutospacing="0"/>
              <w:rPr>
                <w:sz w:val="21"/>
                <w:szCs w:val="21"/>
              </w:rPr>
            </w:pPr>
            <w:r>
              <w:rPr>
                <w:rFonts w:hint="eastAsia"/>
                <w:sz w:val="21"/>
                <w:szCs w:val="21"/>
              </w:rPr>
              <w:t xml:space="preserve">存出保证金 </w:t>
            </w:r>
          </w:p>
        </w:tc>
        <w:tc>
          <w:tcPr>
            <w:tcW w:w="4037"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1E449593" w14:textId="77777777" w:rsidR="00D0083C" w:rsidRDefault="00854AE5">
            <w:pPr>
              <w:pStyle w:val="a3"/>
              <w:spacing w:before="0" w:beforeAutospacing="0" w:after="0" w:afterAutospacing="0"/>
              <w:jc w:val="right"/>
              <w:rPr>
                <w:sz w:val="21"/>
                <w:szCs w:val="21"/>
              </w:rPr>
            </w:pPr>
            <w:r>
              <w:rPr>
                <w:rFonts w:hint="eastAsia"/>
                <w:sz w:val="21"/>
                <w:szCs w:val="21"/>
              </w:rPr>
              <w:t>141,017.71</w:t>
            </w:r>
          </w:p>
        </w:tc>
      </w:tr>
      <w:tr w:rsidR="00D0083C" w14:paraId="0D7350E8" w14:textId="77777777">
        <w:trPr>
          <w:divId w:val="1225483252"/>
        </w:trPr>
        <w:tc>
          <w:tcPr>
            <w:tcW w:w="791"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31198334" w14:textId="77777777" w:rsidR="00D0083C" w:rsidRDefault="00854AE5">
            <w:pPr>
              <w:pStyle w:val="a3"/>
              <w:spacing w:before="0" w:beforeAutospacing="0" w:after="0" w:afterAutospacing="0"/>
              <w:jc w:val="center"/>
              <w:rPr>
                <w:sz w:val="21"/>
                <w:szCs w:val="21"/>
              </w:rPr>
            </w:pPr>
            <w:r>
              <w:rPr>
                <w:rFonts w:hint="eastAsia"/>
                <w:sz w:val="21"/>
                <w:szCs w:val="21"/>
              </w:rPr>
              <w:t xml:space="preserve">2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3ACB239A" w14:textId="77777777" w:rsidR="00D0083C" w:rsidRDefault="00854AE5">
            <w:pPr>
              <w:pStyle w:val="a3"/>
              <w:spacing w:before="0" w:beforeAutospacing="0" w:after="0" w:afterAutospacing="0"/>
              <w:rPr>
                <w:sz w:val="21"/>
                <w:szCs w:val="21"/>
              </w:rPr>
            </w:pPr>
            <w:r>
              <w:rPr>
                <w:rFonts w:hint="eastAsia"/>
                <w:sz w:val="21"/>
                <w:szCs w:val="21"/>
              </w:rPr>
              <w:t xml:space="preserve">应收证券清算款 </w:t>
            </w:r>
          </w:p>
        </w:tc>
        <w:tc>
          <w:tcPr>
            <w:tcW w:w="4037"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1E21B040"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46411BC6" w14:textId="77777777">
        <w:trPr>
          <w:divId w:val="1225483252"/>
        </w:trPr>
        <w:tc>
          <w:tcPr>
            <w:tcW w:w="791"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1BF39CF7" w14:textId="77777777" w:rsidR="00D0083C" w:rsidRDefault="00854AE5">
            <w:pPr>
              <w:pStyle w:val="a3"/>
              <w:spacing w:before="0" w:beforeAutospacing="0" w:after="0" w:afterAutospacing="0"/>
              <w:jc w:val="center"/>
              <w:rPr>
                <w:sz w:val="21"/>
                <w:szCs w:val="21"/>
              </w:rPr>
            </w:pPr>
            <w:r>
              <w:rPr>
                <w:rFonts w:hint="eastAsia"/>
                <w:sz w:val="21"/>
                <w:szCs w:val="21"/>
              </w:rPr>
              <w:t xml:space="preserve">3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6BD96A8C" w14:textId="77777777" w:rsidR="00D0083C" w:rsidRDefault="00854AE5">
            <w:pPr>
              <w:pStyle w:val="a3"/>
              <w:spacing w:before="0" w:beforeAutospacing="0" w:after="0" w:afterAutospacing="0"/>
              <w:rPr>
                <w:sz w:val="21"/>
                <w:szCs w:val="21"/>
              </w:rPr>
            </w:pPr>
            <w:r>
              <w:rPr>
                <w:rFonts w:hint="eastAsia"/>
                <w:sz w:val="21"/>
                <w:szCs w:val="21"/>
              </w:rPr>
              <w:t xml:space="preserve">应收股利 </w:t>
            </w:r>
          </w:p>
        </w:tc>
        <w:tc>
          <w:tcPr>
            <w:tcW w:w="4037"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0ED96D41"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3923578F" w14:textId="77777777">
        <w:trPr>
          <w:divId w:val="1225483252"/>
        </w:trPr>
        <w:tc>
          <w:tcPr>
            <w:tcW w:w="791"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4AD34782" w14:textId="77777777" w:rsidR="00D0083C" w:rsidRDefault="00854AE5">
            <w:pPr>
              <w:pStyle w:val="a3"/>
              <w:spacing w:before="0" w:beforeAutospacing="0" w:after="0" w:afterAutospacing="0"/>
              <w:jc w:val="center"/>
              <w:rPr>
                <w:sz w:val="21"/>
                <w:szCs w:val="21"/>
              </w:rPr>
            </w:pPr>
            <w:r>
              <w:rPr>
                <w:rFonts w:hint="eastAsia"/>
                <w:sz w:val="21"/>
                <w:szCs w:val="21"/>
              </w:rPr>
              <w:t xml:space="preserve">4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266B1221" w14:textId="77777777" w:rsidR="00D0083C" w:rsidRDefault="00854AE5">
            <w:pPr>
              <w:pStyle w:val="a3"/>
              <w:spacing w:before="0" w:beforeAutospacing="0" w:after="0" w:afterAutospacing="0"/>
              <w:rPr>
                <w:sz w:val="21"/>
                <w:szCs w:val="21"/>
              </w:rPr>
            </w:pPr>
            <w:r>
              <w:rPr>
                <w:rFonts w:hint="eastAsia"/>
                <w:sz w:val="21"/>
                <w:szCs w:val="21"/>
              </w:rPr>
              <w:t xml:space="preserve">应收利息 </w:t>
            </w:r>
          </w:p>
        </w:tc>
        <w:tc>
          <w:tcPr>
            <w:tcW w:w="4037"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74A355E6" w14:textId="77777777" w:rsidR="00D0083C" w:rsidRDefault="00854AE5">
            <w:pPr>
              <w:pStyle w:val="a3"/>
              <w:spacing w:before="0" w:beforeAutospacing="0" w:after="0" w:afterAutospacing="0"/>
              <w:jc w:val="right"/>
              <w:rPr>
                <w:sz w:val="21"/>
                <w:szCs w:val="21"/>
              </w:rPr>
            </w:pPr>
            <w:r>
              <w:rPr>
                <w:rFonts w:hint="eastAsia"/>
                <w:sz w:val="21"/>
                <w:szCs w:val="21"/>
              </w:rPr>
              <w:t>35,218,449.38</w:t>
            </w:r>
          </w:p>
        </w:tc>
      </w:tr>
      <w:tr w:rsidR="00D0083C" w14:paraId="4164AD61" w14:textId="77777777">
        <w:trPr>
          <w:divId w:val="1225483252"/>
        </w:trPr>
        <w:tc>
          <w:tcPr>
            <w:tcW w:w="791"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1BE2DE4C" w14:textId="77777777" w:rsidR="00D0083C" w:rsidRDefault="00854AE5">
            <w:pPr>
              <w:pStyle w:val="a3"/>
              <w:spacing w:before="0" w:beforeAutospacing="0" w:after="0" w:afterAutospacing="0"/>
              <w:jc w:val="center"/>
              <w:rPr>
                <w:sz w:val="21"/>
                <w:szCs w:val="21"/>
              </w:rPr>
            </w:pPr>
            <w:r>
              <w:rPr>
                <w:rFonts w:hint="eastAsia"/>
                <w:sz w:val="21"/>
                <w:szCs w:val="21"/>
              </w:rPr>
              <w:t xml:space="preserve">5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6976B8D0" w14:textId="77777777" w:rsidR="00D0083C" w:rsidRDefault="00854AE5">
            <w:pPr>
              <w:pStyle w:val="a3"/>
              <w:spacing w:before="0" w:beforeAutospacing="0" w:after="0" w:afterAutospacing="0"/>
              <w:rPr>
                <w:sz w:val="21"/>
                <w:szCs w:val="21"/>
              </w:rPr>
            </w:pPr>
            <w:r>
              <w:rPr>
                <w:rFonts w:hint="eastAsia"/>
                <w:sz w:val="21"/>
                <w:szCs w:val="21"/>
              </w:rPr>
              <w:t xml:space="preserve">应收申购款 </w:t>
            </w:r>
          </w:p>
        </w:tc>
        <w:tc>
          <w:tcPr>
            <w:tcW w:w="4037"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0A9CEE0A" w14:textId="77777777" w:rsidR="00D0083C" w:rsidRDefault="00854AE5">
            <w:pPr>
              <w:pStyle w:val="a3"/>
              <w:spacing w:before="0" w:beforeAutospacing="0" w:after="0" w:afterAutospacing="0"/>
              <w:jc w:val="right"/>
              <w:rPr>
                <w:sz w:val="21"/>
                <w:szCs w:val="21"/>
              </w:rPr>
            </w:pPr>
            <w:r>
              <w:rPr>
                <w:rFonts w:hint="eastAsia"/>
                <w:sz w:val="21"/>
                <w:szCs w:val="21"/>
              </w:rPr>
              <w:t>10,991.21</w:t>
            </w:r>
          </w:p>
        </w:tc>
      </w:tr>
      <w:tr w:rsidR="00D0083C" w14:paraId="4EDC9697" w14:textId="77777777">
        <w:trPr>
          <w:divId w:val="1225483252"/>
        </w:trPr>
        <w:tc>
          <w:tcPr>
            <w:tcW w:w="791"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4E5C4179" w14:textId="77777777" w:rsidR="00D0083C" w:rsidRDefault="00854AE5">
            <w:pPr>
              <w:pStyle w:val="a3"/>
              <w:spacing w:before="0" w:beforeAutospacing="0" w:after="0" w:afterAutospacing="0"/>
              <w:jc w:val="center"/>
              <w:rPr>
                <w:sz w:val="21"/>
                <w:szCs w:val="21"/>
              </w:rPr>
            </w:pPr>
            <w:r>
              <w:rPr>
                <w:rFonts w:hint="eastAsia"/>
                <w:sz w:val="21"/>
                <w:szCs w:val="21"/>
              </w:rPr>
              <w:t xml:space="preserve">6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444893A0" w14:textId="77777777" w:rsidR="00D0083C" w:rsidRDefault="00854AE5">
            <w:pPr>
              <w:pStyle w:val="a3"/>
              <w:spacing w:before="0" w:beforeAutospacing="0" w:after="0" w:afterAutospacing="0"/>
              <w:rPr>
                <w:sz w:val="21"/>
                <w:szCs w:val="21"/>
              </w:rPr>
            </w:pPr>
            <w:r>
              <w:rPr>
                <w:rFonts w:hint="eastAsia"/>
                <w:sz w:val="21"/>
                <w:szCs w:val="21"/>
              </w:rPr>
              <w:t xml:space="preserve">其他应收款 </w:t>
            </w:r>
          </w:p>
        </w:tc>
        <w:tc>
          <w:tcPr>
            <w:tcW w:w="4037"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2F5444B5"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1879A954" w14:textId="77777777">
        <w:trPr>
          <w:divId w:val="1225483252"/>
        </w:trPr>
        <w:tc>
          <w:tcPr>
            <w:tcW w:w="791"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7F89F997" w14:textId="77777777" w:rsidR="00D0083C" w:rsidRDefault="00854AE5">
            <w:pPr>
              <w:pStyle w:val="a3"/>
              <w:spacing w:before="0" w:beforeAutospacing="0" w:after="0" w:afterAutospacing="0"/>
              <w:jc w:val="center"/>
              <w:rPr>
                <w:sz w:val="21"/>
                <w:szCs w:val="21"/>
              </w:rPr>
            </w:pPr>
            <w:r>
              <w:rPr>
                <w:rFonts w:hint="eastAsia"/>
                <w:sz w:val="21"/>
                <w:szCs w:val="21"/>
              </w:rPr>
              <w:t xml:space="preserve">7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6B3914C8" w14:textId="77777777" w:rsidR="00D0083C" w:rsidRDefault="00854AE5">
            <w:pPr>
              <w:pStyle w:val="a3"/>
              <w:spacing w:before="0" w:beforeAutospacing="0" w:after="0" w:afterAutospacing="0"/>
              <w:rPr>
                <w:sz w:val="21"/>
                <w:szCs w:val="21"/>
              </w:rPr>
            </w:pPr>
            <w:r>
              <w:rPr>
                <w:rFonts w:hint="eastAsia"/>
                <w:sz w:val="21"/>
                <w:szCs w:val="21"/>
              </w:rPr>
              <w:t xml:space="preserve">待摊费用 </w:t>
            </w:r>
          </w:p>
        </w:tc>
        <w:tc>
          <w:tcPr>
            <w:tcW w:w="4037"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07DF3179"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5B29FA44" w14:textId="77777777">
        <w:trPr>
          <w:divId w:val="1225483252"/>
        </w:trPr>
        <w:tc>
          <w:tcPr>
            <w:tcW w:w="791" w:type="dxa"/>
            <w:tcBorders>
              <w:top w:val="single" w:sz="6" w:space="0" w:color="auto"/>
              <w:bottom w:val="single" w:sz="6" w:space="0" w:color="auto"/>
              <w:right w:val="single" w:sz="6" w:space="0" w:color="auto"/>
            </w:tcBorders>
            <w:tcMar>
              <w:top w:w="0" w:type="dxa"/>
              <w:left w:w="101" w:type="dxa"/>
              <w:bottom w:w="0" w:type="dxa"/>
              <w:right w:w="101" w:type="dxa"/>
            </w:tcMar>
            <w:vAlign w:val="center"/>
            <w:hideMark/>
          </w:tcPr>
          <w:p w14:paraId="0E61C21A" w14:textId="77777777" w:rsidR="00D0083C" w:rsidRDefault="00854AE5">
            <w:pPr>
              <w:pStyle w:val="a3"/>
              <w:spacing w:before="0" w:beforeAutospacing="0" w:after="0" w:afterAutospacing="0"/>
              <w:jc w:val="center"/>
              <w:rPr>
                <w:sz w:val="21"/>
                <w:szCs w:val="21"/>
              </w:rPr>
            </w:pPr>
            <w:r>
              <w:rPr>
                <w:rFonts w:hint="eastAsia"/>
                <w:sz w:val="21"/>
                <w:szCs w:val="21"/>
              </w:rPr>
              <w:t xml:space="preserve">8 </w:t>
            </w:r>
          </w:p>
        </w:tc>
        <w:tc>
          <w:tcPr>
            <w:tcW w:w="3469" w:type="dxa"/>
            <w:tcBorders>
              <w:top w:val="single" w:sz="6" w:space="0" w:color="auto"/>
              <w:left w:val="single" w:sz="6" w:space="0" w:color="auto"/>
              <w:bottom w:val="single" w:sz="6" w:space="0" w:color="auto"/>
              <w:right w:val="single" w:sz="6" w:space="0" w:color="auto"/>
            </w:tcBorders>
            <w:tcMar>
              <w:top w:w="0" w:type="dxa"/>
              <w:left w:w="101" w:type="dxa"/>
              <w:bottom w:w="0" w:type="dxa"/>
              <w:right w:w="101" w:type="dxa"/>
            </w:tcMar>
            <w:vAlign w:val="center"/>
            <w:hideMark/>
          </w:tcPr>
          <w:p w14:paraId="576016F7" w14:textId="77777777" w:rsidR="00D0083C" w:rsidRDefault="00854AE5">
            <w:pPr>
              <w:pStyle w:val="a3"/>
              <w:spacing w:before="0" w:beforeAutospacing="0" w:after="0" w:afterAutospacing="0"/>
              <w:rPr>
                <w:sz w:val="21"/>
                <w:szCs w:val="21"/>
              </w:rPr>
            </w:pPr>
            <w:r>
              <w:rPr>
                <w:rFonts w:hint="eastAsia"/>
                <w:sz w:val="21"/>
                <w:szCs w:val="21"/>
              </w:rPr>
              <w:t xml:space="preserve">其他 </w:t>
            </w:r>
          </w:p>
        </w:tc>
        <w:tc>
          <w:tcPr>
            <w:tcW w:w="4037" w:type="dxa"/>
            <w:tcBorders>
              <w:top w:val="single" w:sz="6" w:space="0" w:color="auto"/>
              <w:left w:val="single" w:sz="6" w:space="0" w:color="auto"/>
              <w:bottom w:val="single" w:sz="6" w:space="0" w:color="auto"/>
            </w:tcBorders>
            <w:tcMar>
              <w:top w:w="0" w:type="dxa"/>
              <w:left w:w="101" w:type="dxa"/>
              <w:bottom w:w="0" w:type="dxa"/>
              <w:right w:w="101" w:type="dxa"/>
            </w:tcMar>
            <w:vAlign w:val="center"/>
            <w:hideMark/>
          </w:tcPr>
          <w:p w14:paraId="1C5DF26D" w14:textId="77777777" w:rsidR="00D0083C" w:rsidRDefault="00854AE5">
            <w:pPr>
              <w:pStyle w:val="a3"/>
              <w:spacing w:before="0" w:beforeAutospacing="0" w:after="0" w:afterAutospacing="0"/>
              <w:jc w:val="right"/>
              <w:rPr>
                <w:sz w:val="21"/>
                <w:szCs w:val="21"/>
              </w:rPr>
            </w:pPr>
            <w:r>
              <w:rPr>
                <w:rFonts w:hint="eastAsia"/>
                <w:sz w:val="21"/>
                <w:szCs w:val="21"/>
              </w:rPr>
              <w:t>-</w:t>
            </w:r>
          </w:p>
        </w:tc>
      </w:tr>
      <w:tr w:rsidR="00D0083C" w14:paraId="1E940995" w14:textId="77777777">
        <w:trPr>
          <w:divId w:val="1225483252"/>
        </w:trPr>
        <w:tc>
          <w:tcPr>
            <w:tcW w:w="791" w:type="dxa"/>
            <w:tcBorders>
              <w:top w:val="single" w:sz="6" w:space="0" w:color="auto"/>
              <w:right w:val="single" w:sz="6" w:space="0" w:color="auto"/>
            </w:tcBorders>
            <w:tcMar>
              <w:top w:w="0" w:type="dxa"/>
              <w:left w:w="101" w:type="dxa"/>
              <w:bottom w:w="0" w:type="dxa"/>
              <w:right w:w="101" w:type="dxa"/>
            </w:tcMar>
            <w:vAlign w:val="center"/>
            <w:hideMark/>
          </w:tcPr>
          <w:p w14:paraId="7472E528" w14:textId="77777777" w:rsidR="00D0083C" w:rsidRDefault="00854AE5">
            <w:pPr>
              <w:pStyle w:val="a3"/>
              <w:spacing w:before="0" w:beforeAutospacing="0" w:after="0" w:afterAutospacing="0"/>
              <w:jc w:val="center"/>
              <w:rPr>
                <w:sz w:val="21"/>
                <w:szCs w:val="21"/>
              </w:rPr>
            </w:pPr>
            <w:r>
              <w:rPr>
                <w:rFonts w:hint="eastAsia"/>
                <w:sz w:val="21"/>
                <w:szCs w:val="21"/>
              </w:rPr>
              <w:t xml:space="preserve">9 </w:t>
            </w:r>
          </w:p>
        </w:tc>
        <w:tc>
          <w:tcPr>
            <w:tcW w:w="3469" w:type="dxa"/>
            <w:tcBorders>
              <w:top w:val="single" w:sz="6" w:space="0" w:color="auto"/>
              <w:left w:val="single" w:sz="6" w:space="0" w:color="auto"/>
              <w:right w:val="single" w:sz="6" w:space="0" w:color="auto"/>
            </w:tcBorders>
            <w:tcMar>
              <w:top w:w="0" w:type="dxa"/>
              <w:left w:w="101" w:type="dxa"/>
              <w:bottom w:w="0" w:type="dxa"/>
              <w:right w:w="101" w:type="dxa"/>
            </w:tcMar>
            <w:vAlign w:val="center"/>
            <w:hideMark/>
          </w:tcPr>
          <w:p w14:paraId="76CE234B" w14:textId="77777777" w:rsidR="00D0083C" w:rsidRDefault="00854AE5">
            <w:pPr>
              <w:pStyle w:val="a3"/>
              <w:spacing w:before="0" w:beforeAutospacing="0" w:after="0" w:afterAutospacing="0"/>
              <w:jc w:val="both"/>
              <w:rPr>
                <w:sz w:val="21"/>
                <w:szCs w:val="21"/>
              </w:rPr>
            </w:pPr>
            <w:r>
              <w:rPr>
                <w:rFonts w:hint="eastAsia"/>
                <w:sz w:val="21"/>
                <w:szCs w:val="21"/>
              </w:rPr>
              <w:t xml:space="preserve">合计 </w:t>
            </w:r>
          </w:p>
        </w:tc>
        <w:tc>
          <w:tcPr>
            <w:tcW w:w="4037" w:type="dxa"/>
            <w:tcBorders>
              <w:top w:val="single" w:sz="6" w:space="0" w:color="auto"/>
              <w:left w:val="single" w:sz="6" w:space="0" w:color="auto"/>
            </w:tcBorders>
            <w:tcMar>
              <w:top w:w="0" w:type="dxa"/>
              <w:left w:w="101" w:type="dxa"/>
              <w:bottom w:w="0" w:type="dxa"/>
              <w:right w:w="101" w:type="dxa"/>
            </w:tcMar>
            <w:vAlign w:val="center"/>
            <w:hideMark/>
          </w:tcPr>
          <w:p w14:paraId="5D2CE683" w14:textId="77777777" w:rsidR="00D0083C" w:rsidRDefault="00854AE5">
            <w:pPr>
              <w:pStyle w:val="a3"/>
              <w:spacing w:before="0" w:beforeAutospacing="0" w:after="0" w:afterAutospacing="0"/>
              <w:jc w:val="right"/>
              <w:rPr>
                <w:sz w:val="21"/>
                <w:szCs w:val="21"/>
              </w:rPr>
            </w:pPr>
            <w:r>
              <w:rPr>
                <w:rFonts w:hint="eastAsia"/>
                <w:sz w:val="21"/>
                <w:szCs w:val="21"/>
              </w:rPr>
              <w:t>35,370,458.30</w:t>
            </w:r>
          </w:p>
        </w:tc>
      </w:tr>
    </w:tbl>
    <w:p w14:paraId="30405260" w14:textId="77777777" w:rsidR="00D0083C" w:rsidRDefault="00854AE5">
      <w:pPr>
        <w:pStyle w:val="a3"/>
        <w:spacing w:before="0" w:beforeAutospacing="0" w:after="0" w:afterAutospacing="0" w:line="360" w:lineRule="auto"/>
        <w:divId w:val="1225483252"/>
        <w:rPr>
          <w:sz w:val="21"/>
          <w:szCs w:val="21"/>
        </w:rPr>
      </w:pPr>
      <w:bookmarkStart w:id="80" w:name="_Toc481074866"/>
      <w:bookmarkStart w:id="81" w:name="m510_03"/>
      <w:bookmarkEnd w:id="80"/>
      <w:r>
        <w:rPr>
          <w:rFonts w:hint="eastAsia"/>
          <w:b/>
          <w:bCs/>
          <w:sz w:val="21"/>
          <w:szCs w:val="21"/>
        </w:rPr>
        <w:t xml:space="preserve">（4）报告期末持有的处于转股期的可转换债券明细 </w:t>
      </w:r>
      <w:bookmarkEnd w:id="81"/>
    </w:p>
    <w:p w14:paraId="2EA4FE06" w14:textId="77777777" w:rsidR="00D0083C" w:rsidRDefault="00854AE5">
      <w:pPr>
        <w:pStyle w:val="a3"/>
        <w:spacing w:before="0" w:beforeAutospacing="0" w:after="0" w:afterAutospacing="0" w:line="360" w:lineRule="auto"/>
        <w:divId w:val="1225483252"/>
        <w:rPr>
          <w:sz w:val="21"/>
          <w:szCs w:val="21"/>
        </w:rPr>
      </w:pPr>
      <w:r>
        <w:rPr>
          <w:rFonts w:hint="eastAsia"/>
          <w:sz w:val="21"/>
          <w:szCs w:val="21"/>
        </w:rPr>
        <w:t>注：无。</w:t>
      </w:r>
    </w:p>
    <w:p w14:paraId="0AB1FB28" w14:textId="77777777" w:rsidR="00D0083C" w:rsidRDefault="00854AE5">
      <w:pPr>
        <w:pStyle w:val="a3"/>
        <w:spacing w:before="0" w:beforeAutospacing="0" w:after="0" w:afterAutospacing="0" w:line="360" w:lineRule="auto"/>
        <w:divId w:val="1225483252"/>
        <w:rPr>
          <w:sz w:val="21"/>
          <w:szCs w:val="21"/>
        </w:rPr>
      </w:pPr>
      <w:bookmarkStart w:id="82" w:name="_Toc481074867"/>
      <w:bookmarkStart w:id="83" w:name="m510_04"/>
      <w:bookmarkEnd w:id="82"/>
      <w:r>
        <w:rPr>
          <w:rFonts w:hint="eastAsia"/>
          <w:b/>
          <w:bCs/>
          <w:sz w:val="21"/>
          <w:szCs w:val="21"/>
        </w:rPr>
        <w:t xml:space="preserve">（5）报告期末前十名股票中存在流通受限情况的说明 </w:t>
      </w:r>
      <w:bookmarkEnd w:id="83"/>
    </w:p>
    <w:p w14:paraId="68FCF23D" w14:textId="77777777" w:rsidR="00D0083C" w:rsidRDefault="00854AE5">
      <w:pPr>
        <w:pStyle w:val="a3"/>
        <w:spacing w:before="0" w:beforeAutospacing="0" w:after="0" w:afterAutospacing="0" w:line="360" w:lineRule="auto"/>
        <w:divId w:val="1225483252"/>
        <w:rPr>
          <w:sz w:val="21"/>
          <w:szCs w:val="21"/>
        </w:rPr>
      </w:pPr>
      <w:r>
        <w:rPr>
          <w:rFonts w:hint="eastAsia"/>
          <w:sz w:val="21"/>
          <w:szCs w:val="21"/>
        </w:rPr>
        <w:t>注：无。</w:t>
      </w:r>
    </w:p>
    <w:p w14:paraId="4AE5FDA7" w14:textId="77777777" w:rsidR="00D0083C" w:rsidRDefault="00854AE5">
      <w:pPr>
        <w:pStyle w:val="a3"/>
        <w:spacing w:before="0" w:beforeAutospacing="0" w:after="0" w:afterAutospacing="0" w:line="360" w:lineRule="auto"/>
        <w:divId w:val="1225483252"/>
        <w:rPr>
          <w:sz w:val="21"/>
          <w:szCs w:val="21"/>
        </w:rPr>
      </w:pPr>
      <w:bookmarkStart w:id="84" w:name="_Toc481074868"/>
      <w:bookmarkStart w:id="85" w:name="m510_05_1678"/>
      <w:bookmarkEnd w:id="84"/>
      <w:r>
        <w:rPr>
          <w:rFonts w:hint="eastAsia"/>
          <w:b/>
          <w:bCs/>
          <w:sz w:val="21"/>
          <w:szCs w:val="21"/>
        </w:rPr>
        <w:t xml:space="preserve">（6）投资组合报告附注的其他文字描述部分 </w:t>
      </w:r>
      <w:bookmarkEnd w:id="85"/>
    </w:p>
    <w:p w14:paraId="7440D44B" w14:textId="77777777" w:rsidR="00D0083C" w:rsidRDefault="00854AE5">
      <w:pPr>
        <w:pStyle w:val="a3"/>
        <w:spacing w:before="0" w:beforeAutospacing="0" w:after="0" w:afterAutospacing="0" w:line="360" w:lineRule="auto"/>
        <w:ind w:firstLine="420"/>
        <w:divId w:val="1225483252"/>
        <w:rPr>
          <w:sz w:val="21"/>
          <w:szCs w:val="21"/>
        </w:rPr>
      </w:pPr>
      <w:r>
        <w:rPr>
          <w:rFonts w:hint="eastAsia"/>
          <w:sz w:val="21"/>
          <w:szCs w:val="21"/>
        </w:rPr>
        <w:t xml:space="preserve">由于四舍五入的原因，投资组合报告中数字分项之和与合计项之间可能存在尾差。 </w:t>
      </w:r>
    </w:p>
    <w:p w14:paraId="761D3F46" w14:textId="77777777" w:rsidR="00D0083C" w:rsidRDefault="00854AE5">
      <w:pPr>
        <w:pStyle w:val="1"/>
        <w:spacing w:before="240" w:line="360" w:lineRule="auto"/>
        <w:jc w:val="center"/>
        <w:divId w:val="525951473"/>
        <w:rPr>
          <w:sz w:val="24"/>
          <w:szCs w:val="24"/>
        </w:rPr>
      </w:pPr>
      <w:r>
        <w:rPr>
          <w:rFonts w:hint="eastAsia"/>
          <w:sz w:val="24"/>
          <w:szCs w:val="24"/>
        </w:rPr>
        <w:t>第九部分</w:t>
      </w:r>
      <w:r>
        <w:rPr>
          <w:rFonts w:hint="eastAsia"/>
          <w:sz w:val="24"/>
          <w:szCs w:val="24"/>
        </w:rPr>
        <w:t xml:space="preserve"> </w:t>
      </w:r>
      <w:r>
        <w:rPr>
          <w:rFonts w:hint="eastAsia"/>
          <w:sz w:val="24"/>
          <w:szCs w:val="24"/>
        </w:rPr>
        <w:t>基金的业绩</w:t>
      </w:r>
      <w:bookmarkEnd w:id="34"/>
    </w:p>
    <w:p w14:paraId="5B114E59" w14:textId="77777777" w:rsidR="00D0083C" w:rsidRDefault="00854AE5">
      <w:pPr>
        <w:pStyle w:val="a3"/>
        <w:spacing w:before="0" w:beforeAutospacing="0" w:after="0" w:afterAutospacing="0" w:line="360" w:lineRule="auto"/>
        <w:ind w:firstLine="420"/>
        <w:jc w:val="both"/>
        <w:divId w:val="525951473"/>
        <w:rPr>
          <w:sz w:val="21"/>
          <w:szCs w:val="21"/>
        </w:rPr>
      </w:pPr>
      <w:r>
        <w:rPr>
          <w:rFonts w:hint="eastAsia"/>
          <w:sz w:val="21"/>
          <w:szCs w:val="21"/>
        </w:rPr>
        <w:t>基金管理人承诺以诚实信用、勤勉尽责的原则管理和运用基金财产，但不保证基金一定盈利。基金的过往业绩并不代表其未来表现。投资有风险，投资人在做出投资决策前应仔细阅读本基金的招募说明书。</w:t>
      </w:r>
    </w:p>
    <w:p w14:paraId="41F79827" w14:textId="77777777" w:rsidR="00D0083C" w:rsidRDefault="00854AE5">
      <w:pPr>
        <w:pStyle w:val="a3"/>
        <w:spacing w:before="0" w:beforeAutospacing="0" w:after="0" w:afterAutospacing="0" w:line="360" w:lineRule="auto"/>
        <w:ind w:firstLine="420"/>
        <w:jc w:val="both"/>
        <w:divId w:val="525951473"/>
        <w:rPr>
          <w:sz w:val="21"/>
          <w:szCs w:val="21"/>
        </w:rPr>
      </w:pPr>
      <w:r>
        <w:rPr>
          <w:rFonts w:hint="eastAsia"/>
          <w:sz w:val="21"/>
          <w:szCs w:val="21"/>
        </w:rPr>
        <w:lastRenderedPageBreak/>
        <w:t>本基金基金合同生效以来的投资业绩与同期基准的比较如下表所示（本报告中所列财务数据未经审计）：</w:t>
      </w:r>
    </w:p>
    <w:p w14:paraId="5294F89E" w14:textId="77777777" w:rsidR="00D0083C" w:rsidRDefault="00854AE5">
      <w:pPr>
        <w:pStyle w:val="a3"/>
        <w:spacing w:before="0" w:beforeAutospacing="0" w:after="0" w:afterAutospacing="0" w:line="360" w:lineRule="auto"/>
        <w:ind w:firstLine="420"/>
        <w:jc w:val="both"/>
        <w:divId w:val="525951473"/>
        <w:rPr>
          <w:rFonts w:ascii="Times New Roman" w:hAnsi="Times New Roman" w:cs="Times New Roman"/>
          <w:sz w:val="21"/>
          <w:szCs w:val="21"/>
        </w:rPr>
      </w:pPr>
      <w:r>
        <w:rPr>
          <w:rFonts w:ascii="Times New Roman" w:hAnsi="Times New Roman" w:cs="Times New Roman"/>
          <w:sz w:val="21"/>
          <w:szCs w:val="21"/>
        </w:rPr>
        <w:t> </w:t>
      </w:r>
    </w:p>
    <w:tbl>
      <w:tblPr>
        <w:tblW w:w="8985"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505"/>
        <w:gridCol w:w="1080"/>
        <w:gridCol w:w="1080"/>
        <w:gridCol w:w="1080"/>
        <w:gridCol w:w="1080"/>
        <w:gridCol w:w="1080"/>
        <w:gridCol w:w="1080"/>
      </w:tblGrid>
      <w:tr w:rsidR="00D0083C" w14:paraId="18DF1427" w14:textId="77777777">
        <w:trPr>
          <w:divId w:val="525951473"/>
          <w:trHeight w:val="1200"/>
        </w:trPr>
        <w:tc>
          <w:tcPr>
            <w:tcW w:w="2505" w:type="dxa"/>
            <w:tcBorders>
              <w:top w:val="single" w:sz="6" w:space="0" w:color="000000"/>
              <w:left w:val="single" w:sz="6" w:space="0" w:color="000000"/>
              <w:bottom w:val="single" w:sz="6" w:space="0" w:color="000000"/>
              <w:right w:val="single" w:sz="6" w:space="0" w:color="000000"/>
            </w:tcBorders>
            <w:vAlign w:val="center"/>
            <w:hideMark/>
          </w:tcPr>
          <w:p w14:paraId="3812A72E" w14:textId="77777777" w:rsidR="00D0083C" w:rsidRDefault="00D0083C">
            <w:pPr>
              <w:rPr>
                <w:rFonts w:ascii="宋体" w:hAnsi="宋体" w:cs="宋体"/>
                <w:sz w:val="24"/>
                <w:szCs w:val="24"/>
              </w:rPr>
            </w:pP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3EA46B20" w14:textId="77777777" w:rsidR="00D0083C" w:rsidRDefault="00854AE5">
            <w:r>
              <w:t>净值增长率</w:t>
            </w:r>
            <w:r>
              <w:t>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44AE752E" w14:textId="77777777" w:rsidR="00D0083C" w:rsidRDefault="00854AE5">
            <w:r>
              <w:t>净值增长率标准差</w:t>
            </w:r>
            <w:r>
              <w:t>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73D23548" w14:textId="77777777" w:rsidR="00D0083C" w:rsidRDefault="00854AE5">
            <w:r>
              <w:t>业绩比较基准收益率</w:t>
            </w:r>
            <w:r>
              <w:t>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6253079C" w14:textId="77777777" w:rsidR="00D0083C" w:rsidRDefault="00854AE5">
            <w:r>
              <w:t>业绩比较基准收益率标准差</w:t>
            </w:r>
            <w:r>
              <w:t>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2657E0A3" w14:textId="77777777" w:rsidR="00D0083C" w:rsidRDefault="00854AE5">
            <w:r>
              <w:t>1-3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14519573" w14:textId="77777777" w:rsidR="00D0083C" w:rsidRDefault="00854AE5">
            <w:r>
              <w:t>2-4</w:t>
            </w:r>
          </w:p>
        </w:tc>
      </w:tr>
      <w:tr w:rsidR="00D0083C" w14:paraId="408562A9" w14:textId="77777777">
        <w:trPr>
          <w:divId w:val="525951473"/>
          <w:trHeight w:val="900"/>
        </w:trPr>
        <w:tc>
          <w:tcPr>
            <w:tcW w:w="2505" w:type="dxa"/>
            <w:tcBorders>
              <w:top w:val="single" w:sz="6" w:space="0" w:color="000000"/>
              <w:left w:val="single" w:sz="6" w:space="0" w:color="000000"/>
              <w:bottom w:val="single" w:sz="6" w:space="0" w:color="000000"/>
              <w:right w:val="single" w:sz="6" w:space="0" w:color="000000"/>
            </w:tcBorders>
            <w:vAlign w:val="center"/>
            <w:hideMark/>
          </w:tcPr>
          <w:p w14:paraId="4114D88F" w14:textId="77777777" w:rsidR="00D0083C" w:rsidRDefault="00854AE5">
            <w:r>
              <w:t>2017</w:t>
            </w:r>
            <w:r>
              <w:t>年</w:t>
            </w:r>
            <w:r>
              <w:t>03</w:t>
            </w:r>
            <w:r>
              <w:t>月</w:t>
            </w:r>
            <w:r>
              <w:t>17</w:t>
            </w:r>
            <w:r>
              <w:t>日</w:t>
            </w:r>
            <w:r>
              <w:t>(</w:t>
            </w:r>
            <w:r>
              <w:t>基金合同生效日</w:t>
            </w:r>
            <w:r>
              <w:t>)</w:t>
            </w:r>
            <w:r>
              <w:t>至</w:t>
            </w:r>
            <w:r>
              <w:t>2017</w:t>
            </w:r>
            <w:r>
              <w:t>年</w:t>
            </w:r>
            <w:r>
              <w:t>12</w:t>
            </w:r>
            <w:r>
              <w:t>月</w:t>
            </w:r>
            <w:r>
              <w:t>31</w:t>
            </w:r>
            <w:r>
              <w:t>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57C4CF39" w14:textId="77777777" w:rsidR="00D0083C" w:rsidRDefault="00854AE5">
            <w:r>
              <w:t>1.94%</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344E9F6A" w14:textId="77777777" w:rsidR="00D0083C" w:rsidRDefault="00854AE5">
            <w:r>
              <w:t>0.02%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474679F4" w14:textId="77777777" w:rsidR="00D0083C" w:rsidRDefault="00854AE5">
            <w:r>
              <w:t>-0.48%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75C15450" w14:textId="77777777" w:rsidR="00D0083C" w:rsidRDefault="00854AE5">
            <w:r>
              <w:t>0.08%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14CC76A1" w14:textId="77777777" w:rsidR="00D0083C" w:rsidRDefault="00854AE5">
            <w:r>
              <w:t>2.42%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02EFB1D1" w14:textId="77777777" w:rsidR="00D0083C" w:rsidRDefault="00854AE5">
            <w:r>
              <w:t>-0.06%</w:t>
            </w:r>
          </w:p>
        </w:tc>
      </w:tr>
      <w:tr w:rsidR="00D0083C" w14:paraId="3B6A6C7A" w14:textId="77777777">
        <w:trPr>
          <w:divId w:val="525951473"/>
          <w:trHeight w:val="900"/>
        </w:trPr>
        <w:tc>
          <w:tcPr>
            <w:tcW w:w="2505" w:type="dxa"/>
            <w:tcBorders>
              <w:top w:val="single" w:sz="6" w:space="0" w:color="000000"/>
              <w:left w:val="single" w:sz="6" w:space="0" w:color="000000"/>
              <w:bottom w:val="single" w:sz="6" w:space="0" w:color="000000"/>
              <w:right w:val="single" w:sz="6" w:space="0" w:color="000000"/>
            </w:tcBorders>
            <w:vAlign w:val="center"/>
            <w:hideMark/>
          </w:tcPr>
          <w:p w14:paraId="5826CF07" w14:textId="77777777" w:rsidR="00D0083C" w:rsidRDefault="00854AE5">
            <w:r>
              <w:t>2018</w:t>
            </w:r>
            <w:r>
              <w:t>年</w:t>
            </w:r>
            <w:r>
              <w:t>01</w:t>
            </w:r>
            <w:r>
              <w:t>月</w:t>
            </w:r>
            <w:r>
              <w:t>01</w:t>
            </w:r>
            <w:r>
              <w:t>日至</w:t>
            </w:r>
            <w:r>
              <w:t>2018</w:t>
            </w:r>
            <w:r>
              <w:t>年</w:t>
            </w:r>
            <w:r>
              <w:t>12</w:t>
            </w:r>
            <w:r>
              <w:t>月</w:t>
            </w:r>
            <w:r>
              <w:t>31</w:t>
            </w:r>
            <w:r>
              <w:t>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63E12405" w14:textId="77777777" w:rsidR="00D0083C" w:rsidRDefault="00854AE5">
            <w:r>
              <w:t>9.01%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4F2FC3E9" w14:textId="77777777" w:rsidR="00D0083C" w:rsidRDefault="00854AE5">
            <w:r>
              <w:t>0.08%</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767B914A" w14:textId="77777777" w:rsidR="00D0083C" w:rsidRDefault="00854AE5">
            <w:r>
              <w:t>9.63%</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7D81C74E" w14:textId="77777777" w:rsidR="00D0083C" w:rsidRDefault="00854AE5">
            <w:r>
              <w:t>0.11%</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76C7EC40" w14:textId="77777777" w:rsidR="00D0083C" w:rsidRDefault="00854AE5">
            <w:r>
              <w:t>-0.62%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6EBF4942" w14:textId="77777777" w:rsidR="00D0083C" w:rsidRDefault="00854AE5">
            <w:r>
              <w:t>-0.03%</w:t>
            </w:r>
          </w:p>
        </w:tc>
      </w:tr>
      <w:tr w:rsidR="00D0083C" w14:paraId="4A200C9A" w14:textId="77777777">
        <w:trPr>
          <w:divId w:val="525951473"/>
          <w:trHeight w:val="900"/>
        </w:trPr>
        <w:tc>
          <w:tcPr>
            <w:tcW w:w="2505" w:type="dxa"/>
            <w:tcBorders>
              <w:top w:val="single" w:sz="6" w:space="0" w:color="000000"/>
              <w:left w:val="single" w:sz="6" w:space="0" w:color="000000"/>
              <w:bottom w:val="single" w:sz="6" w:space="0" w:color="000000"/>
              <w:right w:val="single" w:sz="6" w:space="0" w:color="000000"/>
            </w:tcBorders>
            <w:vAlign w:val="center"/>
            <w:hideMark/>
          </w:tcPr>
          <w:p w14:paraId="7CD055C4" w14:textId="77777777" w:rsidR="00D0083C" w:rsidRDefault="00854AE5">
            <w:r>
              <w:t>自基金合同生效日至</w:t>
            </w:r>
            <w:r>
              <w:t>2018</w:t>
            </w:r>
            <w:r>
              <w:t>年</w:t>
            </w:r>
            <w:r>
              <w:t>12</w:t>
            </w:r>
            <w:r>
              <w:t>月</w:t>
            </w:r>
            <w:r>
              <w:t>31</w:t>
            </w:r>
            <w:r>
              <w:t>日</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5F772B0D" w14:textId="77777777" w:rsidR="00D0083C" w:rsidRDefault="00854AE5">
            <w:r>
              <w:t>11.12%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79BB6C75" w14:textId="77777777" w:rsidR="00D0083C" w:rsidRDefault="00854AE5">
            <w:r>
              <w:t>0.06%</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263CC36F" w14:textId="77777777" w:rsidR="00D0083C" w:rsidRDefault="00854AE5">
            <w:r>
              <w:t>9.10%</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042247C7" w14:textId="77777777" w:rsidR="00D0083C" w:rsidRDefault="00854AE5">
            <w:r>
              <w:t>0.10%</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32285797" w14:textId="77777777" w:rsidR="00D0083C" w:rsidRDefault="00854AE5">
            <w:r>
              <w:t>2.02%</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50B4FB78" w14:textId="77777777" w:rsidR="00D0083C" w:rsidRDefault="00854AE5">
            <w:r>
              <w:t>-0.04%</w:t>
            </w:r>
          </w:p>
        </w:tc>
      </w:tr>
    </w:tbl>
    <w:p w14:paraId="4A9039E6" w14:textId="77777777" w:rsidR="00D0083C" w:rsidRDefault="00854AE5">
      <w:pPr>
        <w:pStyle w:val="1"/>
        <w:spacing w:before="240" w:line="360" w:lineRule="auto"/>
        <w:jc w:val="center"/>
        <w:divId w:val="1122842215"/>
        <w:rPr>
          <w:rFonts w:ascii="宋体" w:hAnsi="宋体" w:cs="宋体"/>
          <w:sz w:val="24"/>
          <w:szCs w:val="24"/>
        </w:rPr>
      </w:pPr>
      <w:bookmarkStart w:id="86" w:name="_Toc387824876"/>
      <w:bookmarkEnd w:id="23"/>
      <w:r>
        <w:rPr>
          <w:rFonts w:hint="eastAsia"/>
          <w:sz w:val="24"/>
          <w:szCs w:val="24"/>
        </w:rPr>
        <w:t>第十部分</w:t>
      </w:r>
      <w:r>
        <w:rPr>
          <w:rFonts w:hint="eastAsia"/>
          <w:sz w:val="24"/>
          <w:szCs w:val="24"/>
        </w:rPr>
        <w:t xml:space="preserve"> </w:t>
      </w:r>
      <w:r>
        <w:rPr>
          <w:rFonts w:hint="eastAsia"/>
          <w:sz w:val="24"/>
          <w:szCs w:val="24"/>
        </w:rPr>
        <w:t>基金的财产</w:t>
      </w:r>
      <w:bookmarkEnd w:id="86"/>
    </w:p>
    <w:p w14:paraId="1A0A111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一、基金资产总值</w:t>
      </w:r>
    </w:p>
    <w:p w14:paraId="0F3F2FD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基金资产总值是指购买的各类证券及票据价值、银行存款本息和基金应收的申购基金款以及其他投资所形成的价值总和。</w:t>
      </w:r>
    </w:p>
    <w:p w14:paraId="061C498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二、基金资产净值</w:t>
      </w:r>
    </w:p>
    <w:p w14:paraId="063E109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基金资产净值是指基金资产总值减去基金负债后的价值。</w:t>
      </w:r>
    </w:p>
    <w:p w14:paraId="160E77E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三、基金财产的账户</w:t>
      </w:r>
    </w:p>
    <w:p w14:paraId="441B6C2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14:paraId="6B100E3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四、基金财产的保管和处分</w:t>
      </w:r>
    </w:p>
    <w:p w14:paraId="61FD76B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53BF5F1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p>
    <w:p w14:paraId="6FB083D8" w14:textId="77777777" w:rsidR="00D0083C" w:rsidRDefault="00854AE5">
      <w:pPr>
        <w:pStyle w:val="1"/>
        <w:spacing w:before="240" w:line="360" w:lineRule="auto"/>
        <w:jc w:val="center"/>
        <w:divId w:val="1122842215"/>
        <w:rPr>
          <w:sz w:val="24"/>
          <w:szCs w:val="24"/>
        </w:rPr>
      </w:pPr>
      <w:bookmarkStart w:id="87" w:name="_Toc387824877"/>
      <w:r>
        <w:rPr>
          <w:rFonts w:hint="eastAsia"/>
          <w:sz w:val="24"/>
          <w:szCs w:val="24"/>
        </w:rPr>
        <w:lastRenderedPageBreak/>
        <w:t>第十一部分</w:t>
      </w:r>
      <w:r>
        <w:rPr>
          <w:rFonts w:hint="eastAsia"/>
          <w:sz w:val="24"/>
          <w:szCs w:val="24"/>
        </w:rPr>
        <w:t xml:space="preserve"> </w:t>
      </w:r>
      <w:r>
        <w:rPr>
          <w:rFonts w:hint="eastAsia"/>
          <w:sz w:val="24"/>
          <w:szCs w:val="24"/>
        </w:rPr>
        <w:t>基金资产的估值</w:t>
      </w:r>
      <w:bookmarkEnd w:id="87"/>
    </w:p>
    <w:p w14:paraId="61BEEB0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一、估值日</w:t>
      </w:r>
    </w:p>
    <w:p w14:paraId="744B6B9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本基金的估值日为本基金相关的证券交易场所的交易日以及国家法律法规规定需要对外披露基金净值的非交易日。</w:t>
      </w:r>
    </w:p>
    <w:p w14:paraId="0C6B905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二、估值对象</w:t>
      </w:r>
    </w:p>
    <w:p w14:paraId="158C550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基金所拥有的债券和银行存款本息、应收款项、其它投资等资产及负债。</w:t>
      </w:r>
    </w:p>
    <w:p w14:paraId="43A7EDE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三、估值方法</w:t>
      </w:r>
    </w:p>
    <w:p w14:paraId="1C5F6FE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交易所上市的有价证券，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1454730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、交易所市场交易的固定收益品种的估值</w:t>
      </w:r>
    </w:p>
    <w:p w14:paraId="06CD3D9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）对在交易所市场上市交易或挂牌转让的固定收益品种（另有规定的除外），选取第三方估值机构提供的相应品种当日的估值净价进行估值；</w:t>
      </w:r>
    </w:p>
    <w:p w14:paraId="0AC09B3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）对在交易所市场上市交易的可转换债券，按估值日收盘价减去可转换债券收盘价中所含债券应收利息后得到的净价进行估值；</w:t>
      </w:r>
    </w:p>
    <w:p w14:paraId="1A0FE3F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）对在交易所市场挂牌转让的资产支持证券和私募债券（包括中小企业私募债等），采用估值技术确定公允价值，在估值技术难以可靠计量公允价值的情况下，按成本估值；</w:t>
      </w:r>
    </w:p>
    <w:p w14:paraId="6EA8BFF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）对在交易所市场发行未上市或未挂牌转让的固定收益品种，采用估值技术确定公允价值，在估值技术难以可靠计量公允价值的情况下，按成本估值。</w:t>
      </w:r>
    </w:p>
    <w:p w14:paraId="5ADA172A"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、银行间市场交易的固定收益品种的估值</w:t>
      </w:r>
    </w:p>
    <w:p w14:paraId="7BB7806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）银行间市场交易的固定收益品种，选取第三方估值机构提供的相应品种当日的估值净价进行估值。</w:t>
      </w:r>
    </w:p>
    <w:p w14:paraId="49C5903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）对银行间市场未上市，且第三方估值机构未提供估值价格的固定收益品种，按成本估值。</w:t>
      </w:r>
    </w:p>
    <w:p w14:paraId="3B3B3D37"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、同一债券同时在两个或两个以上市场交易的，按债券所处的市场分别估值。</w:t>
      </w:r>
    </w:p>
    <w:p w14:paraId="6AA844A3"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、当发生大额申购或赎回情形时，基金管理人可以采用摆动定价机制，以确保基金估值的公平性。</w:t>
      </w:r>
    </w:p>
    <w:p w14:paraId="545E235D"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6</w:t>
      </w:r>
      <w:r>
        <w:rPr>
          <w:rFonts w:hint="eastAsia"/>
          <w:sz w:val="21"/>
          <w:szCs w:val="21"/>
        </w:rPr>
        <w:t>、如有确凿证据表明按上述方法进行估值不能客观反映其公允价值的，基金管理人可根据具体情况与基金托管人商定后，按最能反映公允价值的价格估值。</w:t>
      </w:r>
    </w:p>
    <w:p w14:paraId="3A7F942E"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7</w:t>
      </w:r>
      <w:r>
        <w:rPr>
          <w:rFonts w:hint="eastAsia"/>
          <w:sz w:val="21"/>
          <w:szCs w:val="21"/>
        </w:rPr>
        <w:t>、相关法律法规以及监管部门有强制规定的，从其规定。如有新增事项，按国家最新规定估值。</w:t>
      </w:r>
    </w:p>
    <w:p w14:paraId="4B648A0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如基金管理人或基金托管人发现基金估值违反基金合同订明的估值方法、程序及相关法律法规的规定或者未能充分维护基金份额持有人利益时，应立即通知对方，共同查明原因，双方协商解决。</w:t>
      </w:r>
    </w:p>
    <w:p w14:paraId="6B109FF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结果对外予以公布。</w:t>
      </w:r>
    </w:p>
    <w:p w14:paraId="77D583A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四、估值程序</w:t>
      </w:r>
    </w:p>
    <w:p w14:paraId="552844B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、基金份额净值是按照每个工作日闭市后，基金资产净值除以当日基金份额的余额数量计算，精确到</w:t>
      </w:r>
      <w:r>
        <w:rPr>
          <w:rFonts w:ascii="Times New Roman" w:hAnsi="Times New Roman" w:cs="Times New Roman"/>
          <w:sz w:val="21"/>
          <w:szCs w:val="21"/>
        </w:rPr>
        <w:t>0.0001</w:t>
      </w:r>
      <w:r>
        <w:rPr>
          <w:rFonts w:hint="eastAsia"/>
          <w:sz w:val="21"/>
          <w:szCs w:val="21"/>
        </w:rPr>
        <w:t>元，小数点后第</w:t>
      </w:r>
      <w:r>
        <w:rPr>
          <w:rFonts w:ascii="Times New Roman" w:hAnsi="Times New Roman" w:cs="Times New Roman"/>
          <w:sz w:val="21"/>
          <w:szCs w:val="21"/>
        </w:rPr>
        <w:t>5</w:t>
      </w:r>
      <w:r>
        <w:rPr>
          <w:rFonts w:hint="eastAsia"/>
          <w:sz w:val="21"/>
          <w:szCs w:val="21"/>
        </w:rPr>
        <w:t>位四舍五入。国家另有规定的，从其规定。</w:t>
      </w:r>
    </w:p>
    <w:p w14:paraId="04E09FA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每个工作日计算基金资产净值及基金份额净值，并按规定公告。</w:t>
      </w:r>
    </w:p>
    <w:p w14:paraId="3859C9F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管理人应每个工作日对基金资产估值。但基金管理人根据法律法规或本基金合同的规定暂停估值时除外。基金管理人每个工作日对基金资产估值后，将基金份额净值结果发送基金托管人，经基金托管人复核无误后，由基金管理人对外公布。</w:t>
      </w:r>
    </w:p>
    <w:p w14:paraId="67A5218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五、估值错误的处理</w:t>
      </w:r>
    </w:p>
    <w:p w14:paraId="450519D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基金管理人和基金托管人将采取必要、适当、合理的措施确保基金资产估值的准确性、及时性。当基金份额净值小数点后</w:t>
      </w:r>
      <w:r>
        <w:rPr>
          <w:rFonts w:ascii="Times New Roman" w:hAnsi="Times New Roman" w:cs="Times New Roman"/>
          <w:sz w:val="21"/>
          <w:szCs w:val="21"/>
        </w:rPr>
        <w:t>4</w:t>
      </w:r>
      <w:r>
        <w:rPr>
          <w:rFonts w:hint="eastAsia"/>
          <w:sz w:val="21"/>
          <w:szCs w:val="21"/>
        </w:rPr>
        <w:t>位以内（含第</w:t>
      </w:r>
      <w:r>
        <w:rPr>
          <w:rFonts w:ascii="Times New Roman" w:hAnsi="Times New Roman" w:cs="Times New Roman"/>
          <w:sz w:val="21"/>
          <w:szCs w:val="21"/>
        </w:rPr>
        <w:t>4</w:t>
      </w:r>
      <w:r>
        <w:rPr>
          <w:rFonts w:hint="eastAsia"/>
          <w:sz w:val="21"/>
          <w:szCs w:val="21"/>
        </w:rPr>
        <w:t>位）发生估值错误时，视为基金份额净值错误。</w:t>
      </w:r>
    </w:p>
    <w:p w14:paraId="6FBDB52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本基金合同的当事人应按照以下约定处理：</w:t>
      </w:r>
    </w:p>
    <w:p w14:paraId="5BDBAE2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、估值错误类型</w:t>
      </w:r>
    </w:p>
    <w:p w14:paraId="15B3DF5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 “估值错误处理原则”给予赔偿，承担赔偿责任。</w:t>
      </w:r>
    </w:p>
    <w:p w14:paraId="308CAF2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上述估值错误的主要类型包括但不限于：资料申报差错、数据传输差错、数据计算差错、系统故障差错、下达指令差错等。</w:t>
      </w:r>
    </w:p>
    <w:p w14:paraId="20293AA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、估值错误处理原则</w:t>
      </w:r>
    </w:p>
    <w:p w14:paraId="68BAC77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60831B0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w:t>
      </w:r>
      <w:r>
        <w:rPr>
          <w:rFonts w:ascii="Times New Roman" w:hAnsi="Times New Roman" w:cs="Times New Roman"/>
          <w:sz w:val="21"/>
          <w:szCs w:val="21"/>
        </w:rPr>
        <w:t>2</w:t>
      </w:r>
      <w:r>
        <w:rPr>
          <w:rFonts w:hint="eastAsia"/>
          <w:sz w:val="21"/>
          <w:szCs w:val="21"/>
        </w:rPr>
        <w:t>）估值错误的责任方对有关当事人的直接损失负责，不对间接损失负责，并且仅对估值错误的有关直接当事人负责，不对第三方负责。</w:t>
      </w:r>
    </w:p>
    <w:p w14:paraId="20B11D4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45BE2EE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）估值错误调整采用尽量恢复至假设未发生估值错误的正确情形的方式。</w:t>
      </w:r>
    </w:p>
    <w:p w14:paraId="2C1A072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估值错误责任方拒绝进行赔偿时，如果因基金管理人过错造成基金资产损失时，基金托管人应为基金的利益向基金管理人追偿，如果因基金托管人过错造成基金资产损失时，基金管理人应为基金的利益向基金托管人追偿。除基金管理人和托管人之外的第三方造成基金资产的损失，并拒绝进行赔偿时，由基金管理人负责向差错方追偿。</w:t>
      </w:r>
    </w:p>
    <w:p w14:paraId="7D91DFB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如果出现估值错误的当事人未按规定对受损方进行赔偿，并且依据法律、行政法规、《基金合同》或其他规定，基金管理人自行或依据法院判决、仲裁裁决对受损方承担了赔偿责任，则基金管理人有权向出现过错的当事人进行追索，并有权要求其赔偿或补偿由此发生的费用和遭受的损失。</w:t>
      </w:r>
    </w:p>
    <w:p w14:paraId="6041AE8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）按法律法规规定的其他原则处理估值错误。</w:t>
      </w:r>
    </w:p>
    <w:p w14:paraId="52D0581D"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、估值错误处理程序</w:t>
      </w:r>
    </w:p>
    <w:p w14:paraId="1DD134C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估值错误被发现后，有关的当事人应当及时进行处理，处理的程序如下：</w:t>
      </w:r>
    </w:p>
    <w:p w14:paraId="7DE3049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）查明估值错误发生的原因，列明所有的当事人，并根据估值错误发生的原因确定估值错误的责任方。</w:t>
      </w:r>
    </w:p>
    <w:p w14:paraId="0933310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）根据估值错误处理原则或当事人协商的方法对因估值错误造成的损失进行评估。</w:t>
      </w:r>
    </w:p>
    <w:p w14:paraId="0BED9BA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）根据估值错误处理原则或当事人协商的方法由估值错误的责任方进行更正和赔偿损失。</w:t>
      </w:r>
    </w:p>
    <w:p w14:paraId="3579775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）根据估值错误处理的方法，需要修改基金登记机构交易数据的，由基金登记机构进行更正，并就估值错误的更正向有关当事人进行确认。</w:t>
      </w:r>
    </w:p>
    <w:p w14:paraId="0FE503E1"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、基金份额净值估值错误处理的方法如下：</w:t>
      </w:r>
    </w:p>
    <w:p w14:paraId="5FD2811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）基金份额净值计算出现错误时，基金管理人应当立即予以纠正，通报基金托管人，并采取合理的措施防止损失进一步扩大。</w:t>
      </w:r>
    </w:p>
    <w:p w14:paraId="29AF2B9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）错误偏差达到基金份额净值的</w:t>
      </w:r>
      <w:r>
        <w:rPr>
          <w:rFonts w:ascii="Times New Roman" w:hAnsi="Times New Roman" w:cs="Times New Roman"/>
          <w:sz w:val="21"/>
          <w:szCs w:val="21"/>
        </w:rPr>
        <w:t>0.25%</w:t>
      </w:r>
      <w:r>
        <w:rPr>
          <w:rFonts w:hint="eastAsia"/>
          <w:sz w:val="21"/>
          <w:szCs w:val="21"/>
        </w:rPr>
        <w:t>时，基金管理人应当通报基金托管人并报中国证监会备案；错误偏差达到基金份额净值的</w:t>
      </w:r>
      <w:r>
        <w:rPr>
          <w:rFonts w:ascii="Times New Roman" w:hAnsi="Times New Roman" w:cs="Times New Roman"/>
          <w:sz w:val="21"/>
          <w:szCs w:val="21"/>
        </w:rPr>
        <w:t>0.5%</w:t>
      </w:r>
      <w:r>
        <w:rPr>
          <w:rFonts w:hint="eastAsia"/>
          <w:sz w:val="21"/>
          <w:szCs w:val="21"/>
        </w:rPr>
        <w:t>时，基金管理人应当公告。</w:t>
      </w:r>
    </w:p>
    <w:p w14:paraId="402830B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）前述内容如法律法规或监管机关另有规定的，从其规定处理。</w:t>
      </w:r>
    </w:p>
    <w:p w14:paraId="60E10BA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六、暂停估值的情形</w:t>
      </w:r>
    </w:p>
    <w:p w14:paraId="34882011"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、基金投资所涉及的证券交易市场遇法定节假日或因其他原因暂停营业时；</w:t>
      </w:r>
    </w:p>
    <w:p w14:paraId="6542FA53"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、因不可抗力致使基金管理人、基金托管人无法准确评估基金资产价值时；</w:t>
      </w:r>
    </w:p>
    <w:p w14:paraId="558A2D4C"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、当前一估值日基金资产净值</w:t>
      </w:r>
      <w:r>
        <w:rPr>
          <w:rFonts w:ascii="Times New Roman" w:hAnsi="Times New Roman" w:cs="Times New Roman"/>
          <w:sz w:val="21"/>
          <w:szCs w:val="21"/>
        </w:rPr>
        <w:t>50%</w:t>
      </w:r>
      <w:r>
        <w:rPr>
          <w:rFonts w:hint="eastAsia"/>
          <w:sz w:val="21"/>
          <w:szCs w:val="21"/>
        </w:rPr>
        <w:t>以上的资产出现无可参考的活跃市场价格且采用估值技术仍导致公允价值存在重大不确定性时，经与基金托管人协商确认后，基金管理人应当暂停基金估值；</w:t>
      </w:r>
    </w:p>
    <w:p w14:paraId="30F8B31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、中国证监会和基金合同认定的其它情形。</w:t>
      </w:r>
    </w:p>
    <w:p w14:paraId="4FFA9A0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七、基金净值的确认</w:t>
      </w:r>
    </w:p>
    <w:p w14:paraId="5BF4966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14:paraId="513AB14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八、特殊情形的处理 </w:t>
      </w:r>
    </w:p>
    <w:p w14:paraId="53B0C68A"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、基金管理人或基金托管人按估值方法的第</w:t>
      </w:r>
      <w:r>
        <w:rPr>
          <w:rFonts w:ascii="Times New Roman" w:hAnsi="Times New Roman" w:cs="Times New Roman"/>
          <w:sz w:val="21"/>
          <w:szCs w:val="21"/>
        </w:rPr>
        <w:t>6</w:t>
      </w:r>
      <w:r>
        <w:rPr>
          <w:rFonts w:hint="eastAsia"/>
          <w:sz w:val="21"/>
          <w:szCs w:val="21"/>
        </w:rPr>
        <w:t xml:space="preserve">项进行估值时，所造成的误差不作为基金资产估值错误处理。 </w:t>
      </w:r>
    </w:p>
    <w:p w14:paraId="3FBD87B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由于证券交易所、登记结算公司发送的数据错误，或由于其他不可抗力原因，基金管理人和基金托管人虽然已经采取必要、适当、合理的措施进行检查，但是未能发现该错误而造成的基金资产净值计算错误，基金管理人、基金托管人可以免除赔偿责任。但基金管理人、基金托管人应积极采取必要的措施减轻或消除由此造成的影响。</w:t>
      </w:r>
    </w:p>
    <w:p w14:paraId="650CE47A" w14:textId="77777777" w:rsidR="00D0083C" w:rsidRDefault="00854AE5">
      <w:pPr>
        <w:pStyle w:val="1"/>
        <w:spacing w:before="240" w:line="360" w:lineRule="auto"/>
        <w:jc w:val="center"/>
        <w:divId w:val="1122842215"/>
        <w:rPr>
          <w:sz w:val="24"/>
          <w:szCs w:val="24"/>
        </w:rPr>
      </w:pPr>
      <w:bookmarkStart w:id="88" w:name="_Toc387824878"/>
      <w:r>
        <w:rPr>
          <w:rFonts w:hint="eastAsia"/>
          <w:sz w:val="24"/>
          <w:szCs w:val="24"/>
        </w:rPr>
        <w:t>第十二部分</w:t>
      </w:r>
      <w:r>
        <w:rPr>
          <w:rFonts w:hint="eastAsia"/>
          <w:sz w:val="24"/>
          <w:szCs w:val="24"/>
        </w:rPr>
        <w:t xml:space="preserve"> </w:t>
      </w:r>
      <w:r>
        <w:rPr>
          <w:rFonts w:hint="eastAsia"/>
          <w:sz w:val="24"/>
          <w:szCs w:val="24"/>
        </w:rPr>
        <w:t>基金的收益分配</w:t>
      </w:r>
      <w:bookmarkEnd w:id="88"/>
    </w:p>
    <w:p w14:paraId="3AA60A7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一、基金利润的构成</w:t>
      </w:r>
    </w:p>
    <w:p w14:paraId="0EEC518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基金利润指基金利息收入、投资收益、公允价值变动收益和其他收入扣除相关费用后的余额，基金已实现收益指基金利润减去公允价值变动收益后的余额。</w:t>
      </w:r>
    </w:p>
    <w:p w14:paraId="1B00307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二、基金可供分配利润</w:t>
      </w:r>
    </w:p>
    <w:p w14:paraId="714EF95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基金可供分配利润指截至收益分配基准日基金未分配利润与未分配利润中已实现收益的孰低数。</w:t>
      </w:r>
    </w:p>
    <w:p w14:paraId="7DC0C22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三、基金收益分配原则</w:t>
      </w:r>
    </w:p>
    <w:p w14:paraId="66E5C8C1"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、在符合有关基金分红条件的前提下，本基金管理人可以根据实际情况进行收益分配，具体分配方案以公告为准，若《基金合同》生效不满</w:t>
      </w:r>
      <w:r>
        <w:rPr>
          <w:rFonts w:ascii="Times New Roman" w:hAnsi="Times New Roman" w:cs="Times New Roman"/>
          <w:sz w:val="21"/>
          <w:szCs w:val="21"/>
        </w:rPr>
        <w:t>3</w:t>
      </w:r>
      <w:r>
        <w:rPr>
          <w:rFonts w:hint="eastAsia"/>
          <w:sz w:val="21"/>
          <w:szCs w:val="21"/>
        </w:rPr>
        <w:t>个月可不进行收益分配；</w:t>
      </w:r>
    </w:p>
    <w:p w14:paraId="18538BED"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、本基金收益分配方式分两种：现金分红与红利再投资，投资者可选择现金红利或将现金红利自动转为基金份额进行再投资；若投资者不选择，本基金默认的收益分配方式是现金分红；</w:t>
      </w:r>
    </w:p>
    <w:p w14:paraId="582BC79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lastRenderedPageBreak/>
        <w:t>3</w:t>
      </w:r>
      <w:r>
        <w:rPr>
          <w:rFonts w:hint="eastAsia"/>
          <w:sz w:val="21"/>
          <w:szCs w:val="21"/>
        </w:rPr>
        <w:t>、基金收益分配后基金份额净值不能低于面值，即基金收益分配基准日的基金份额净值减去每单位基金份额收益分配金额后不能低于面值；</w:t>
      </w:r>
    </w:p>
    <w:p w14:paraId="229479B8"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、每一基金份额享有同等分配权；</w:t>
      </w:r>
    </w:p>
    <w:p w14:paraId="350E5279"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、法律法规或监管机关另有规定的，从其规定。</w:t>
      </w:r>
    </w:p>
    <w:p w14:paraId="017EC28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在对基金份额持有人利益无实质不利影响的前提下，基金管理人可调整基金收益分配原则和支付方式，不需召开基金份额持有人大会。</w:t>
      </w:r>
    </w:p>
    <w:p w14:paraId="76F87A7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四、收益分配方案</w:t>
      </w:r>
    </w:p>
    <w:p w14:paraId="357F42D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基金收益分配方案中应载明截止收益分配基准日的可供分配利润、基金收益分配对象、分配时间、分配数额及比例、分配方式等内容。</w:t>
      </w:r>
    </w:p>
    <w:p w14:paraId="6E34BB4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五、收益分配方案的确定、公告与实施</w:t>
      </w:r>
    </w:p>
    <w:p w14:paraId="780165F6" w14:textId="4FAAC05C"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本基金收益分配方案由基金管理人拟定，并由基金托管人复核，在</w:t>
      </w:r>
      <w:r>
        <w:rPr>
          <w:rFonts w:ascii="Times New Roman" w:hAnsi="Times New Roman" w:cs="Times New Roman"/>
          <w:sz w:val="21"/>
          <w:szCs w:val="21"/>
        </w:rPr>
        <w:t>2</w:t>
      </w:r>
      <w:r>
        <w:rPr>
          <w:rFonts w:hint="eastAsia"/>
          <w:sz w:val="21"/>
          <w:szCs w:val="21"/>
        </w:rPr>
        <w:t>日内在指定媒介公告。</w:t>
      </w:r>
    </w:p>
    <w:p w14:paraId="68B1802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基金红利发放日距离收益分配基准日（即可供分配利润计算截止日）的时间不得超过</w:t>
      </w:r>
      <w:r>
        <w:rPr>
          <w:rFonts w:ascii="Times New Roman" w:hAnsi="Times New Roman" w:cs="Times New Roman"/>
          <w:sz w:val="21"/>
          <w:szCs w:val="21"/>
        </w:rPr>
        <w:t>15</w:t>
      </w:r>
      <w:r>
        <w:rPr>
          <w:rFonts w:hint="eastAsia"/>
          <w:sz w:val="21"/>
          <w:szCs w:val="21"/>
        </w:rPr>
        <w:t>个工作日。</w:t>
      </w:r>
    </w:p>
    <w:p w14:paraId="7C8F619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六、基金收益分配中发生的费用</w:t>
      </w:r>
    </w:p>
    <w:p w14:paraId="23A0BC5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14:paraId="6867578F" w14:textId="77777777" w:rsidR="00D0083C" w:rsidRDefault="00854AE5">
      <w:pPr>
        <w:pStyle w:val="1"/>
        <w:spacing w:before="240" w:line="360" w:lineRule="auto"/>
        <w:jc w:val="center"/>
        <w:divId w:val="1122842215"/>
        <w:rPr>
          <w:sz w:val="24"/>
          <w:szCs w:val="24"/>
        </w:rPr>
      </w:pPr>
      <w:bookmarkStart w:id="89" w:name="_Toc387824879"/>
      <w:r>
        <w:rPr>
          <w:rFonts w:hint="eastAsia"/>
          <w:sz w:val="24"/>
          <w:szCs w:val="24"/>
        </w:rPr>
        <w:t>第十三部分</w:t>
      </w:r>
      <w:r>
        <w:rPr>
          <w:rFonts w:hint="eastAsia"/>
          <w:sz w:val="24"/>
          <w:szCs w:val="24"/>
        </w:rPr>
        <w:t xml:space="preserve"> </w:t>
      </w:r>
      <w:r>
        <w:rPr>
          <w:rFonts w:hint="eastAsia"/>
          <w:sz w:val="24"/>
          <w:szCs w:val="24"/>
        </w:rPr>
        <w:t>基金的费用与税收</w:t>
      </w:r>
      <w:bookmarkEnd w:id="89"/>
    </w:p>
    <w:p w14:paraId="5F96FAFD" w14:textId="77777777" w:rsidR="00D0083C" w:rsidRDefault="00854AE5">
      <w:pPr>
        <w:pStyle w:val="a3"/>
        <w:spacing w:before="0" w:beforeAutospacing="0" w:after="0" w:afterAutospacing="0" w:line="360" w:lineRule="auto"/>
        <w:ind w:firstLine="420"/>
        <w:jc w:val="both"/>
        <w:divId w:val="1122842215"/>
        <w:rPr>
          <w:sz w:val="21"/>
          <w:szCs w:val="21"/>
        </w:rPr>
      </w:pPr>
      <w:bookmarkStart w:id="90" w:name="_Toc510842754"/>
      <w:r>
        <w:rPr>
          <w:rFonts w:hint="eastAsia"/>
          <w:sz w:val="21"/>
          <w:szCs w:val="21"/>
        </w:rPr>
        <w:t>一、基金费用的种类</w:t>
      </w:r>
      <w:bookmarkEnd w:id="90"/>
    </w:p>
    <w:p w14:paraId="3E27A748"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、基金管理人的管理费；</w:t>
      </w:r>
    </w:p>
    <w:p w14:paraId="12495A2A"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、基金托管人的托管费；</w:t>
      </w:r>
    </w:p>
    <w:p w14:paraId="2314AB0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、《基金合同》生效后与基金相关的信息披露费用；</w:t>
      </w:r>
    </w:p>
    <w:p w14:paraId="6AF277CC"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、《基金合同》生效后与基金相关的会计师费、律师费、仲裁费、诉讼费、公证费和认证费；</w:t>
      </w:r>
    </w:p>
    <w:p w14:paraId="72EAACCA"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、基金份额持有人大会费用；</w:t>
      </w:r>
    </w:p>
    <w:p w14:paraId="2FF3BFF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6</w:t>
      </w:r>
      <w:r>
        <w:rPr>
          <w:rFonts w:hint="eastAsia"/>
          <w:sz w:val="21"/>
          <w:szCs w:val="21"/>
        </w:rPr>
        <w:t>、基金的证券交易费用；</w:t>
      </w:r>
    </w:p>
    <w:p w14:paraId="35172C16"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7</w:t>
      </w:r>
      <w:r>
        <w:rPr>
          <w:rFonts w:hint="eastAsia"/>
          <w:sz w:val="21"/>
          <w:szCs w:val="21"/>
        </w:rPr>
        <w:t>、基金的银行汇划费用；</w:t>
      </w:r>
    </w:p>
    <w:p w14:paraId="55030FEC"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8</w:t>
      </w:r>
      <w:r>
        <w:rPr>
          <w:rFonts w:hint="eastAsia"/>
          <w:sz w:val="21"/>
          <w:szCs w:val="21"/>
        </w:rPr>
        <w:t>、证券账户开户费用、账户维护费用；</w:t>
      </w:r>
    </w:p>
    <w:p w14:paraId="7186B8F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9</w:t>
      </w:r>
      <w:r>
        <w:rPr>
          <w:rFonts w:hint="eastAsia"/>
          <w:sz w:val="21"/>
          <w:szCs w:val="21"/>
        </w:rPr>
        <w:t>、按照国家有关规定和《基金合同》约定，可以在基金财产中列支的其他费用。</w:t>
      </w:r>
    </w:p>
    <w:p w14:paraId="5872823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二、基金费用计提方法、计提标准和支付方式</w:t>
      </w:r>
    </w:p>
    <w:p w14:paraId="3BFB6C73"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 xml:space="preserve">、基金管理人的管理费 </w:t>
      </w:r>
    </w:p>
    <w:p w14:paraId="377C4F2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本基金的管理费按前一日基金资产净值的</w:t>
      </w:r>
      <w:r>
        <w:rPr>
          <w:rFonts w:ascii="Times New Roman" w:hAnsi="Times New Roman" w:cs="Times New Roman"/>
          <w:sz w:val="21"/>
          <w:szCs w:val="21"/>
        </w:rPr>
        <w:t>0.3%</w:t>
      </w:r>
      <w:r>
        <w:rPr>
          <w:rFonts w:hint="eastAsia"/>
          <w:sz w:val="21"/>
          <w:szCs w:val="21"/>
        </w:rPr>
        <w:t>年费率计提。管理费的计算方法如下：</w:t>
      </w:r>
    </w:p>
    <w:p w14:paraId="36F51057"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H</w:t>
      </w:r>
      <w:r>
        <w:rPr>
          <w:rFonts w:hint="eastAsia"/>
          <w:sz w:val="21"/>
          <w:szCs w:val="21"/>
        </w:rPr>
        <w:t>＝</w:t>
      </w:r>
      <w:r>
        <w:rPr>
          <w:rFonts w:ascii="Times New Roman" w:hAnsi="Times New Roman" w:cs="Times New Roman"/>
          <w:sz w:val="21"/>
          <w:szCs w:val="21"/>
        </w:rPr>
        <w:t>E</w:t>
      </w:r>
      <w:r>
        <w:rPr>
          <w:rFonts w:hint="eastAsia"/>
          <w:sz w:val="21"/>
          <w:szCs w:val="21"/>
        </w:rPr>
        <w:t>×</w:t>
      </w:r>
      <w:r>
        <w:rPr>
          <w:rFonts w:ascii="Times New Roman" w:hAnsi="Times New Roman" w:cs="Times New Roman"/>
          <w:sz w:val="21"/>
          <w:szCs w:val="21"/>
        </w:rPr>
        <w:t>0.3%</w:t>
      </w:r>
      <w:r>
        <w:rPr>
          <w:rFonts w:hint="eastAsia"/>
          <w:sz w:val="21"/>
          <w:szCs w:val="21"/>
        </w:rPr>
        <w:t>÷当年天数</w:t>
      </w:r>
    </w:p>
    <w:p w14:paraId="7280A189"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H</w:t>
      </w:r>
      <w:r>
        <w:rPr>
          <w:rFonts w:hint="eastAsia"/>
          <w:sz w:val="21"/>
          <w:szCs w:val="21"/>
        </w:rPr>
        <w:t>为每日应计提的基金管理费</w:t>
      </w:r>
    </w:p>
    <w:p w14:paraId="4BC1ECFF"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E</w:t>
      </w:r>
      <w:r>
        <w:rPr>
          <w:rFonts w:hint="eastAsia"/>
          <w:sz w:val="21"/>
          <w:szCs w:val="21"/>
        </w:rPr>
        <w:t>为前一日的基金资产净值</w:t>
      </w:r>
    </w:p>
    <w:p w14:paraId="69ADBF9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基金管理费每日计算，逐日累计至每月月末，按月支付，经基金管理人与基金托管人双方核对无误后，基金托管人按照与基金管理人协商一致的方式于次月首日起</w:t>
      </w:r>
      <w:r>
        <w:rPr>
          <w:rFonts w:ascii="Times New Roman" w:hAnsi="Times New Roman" w:cs="Times New Roman"/>
          <w:sz w:val="21"/>
          <w:szCs w:val="21"/>
        </w:rPr>
        <w:t>5</w:t>
      </w:r>
      <w:r>
        <w:rPr>
          <w:rFonts w:hint="eastAsia"/>
          <w:sz w:val="21"/>
          <w:szCs w:val="21"/>
        </w:rPr>
        <w:t>个工作日内从基金财产中一次性支付给基金管理人。若遇法定节假日、公休假等，支付日期顺延。</w:t>
      </w:r>
    </w:p>
    <w:p w14:paraId="499BCC3C"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、基金托管人的托管费</w:t>
      </w:r>
    </w:p>
    <w:p w14:paraId="78F7057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本基金的托管费按前一日基金资产净值的</w:t>
      </w:r>
      <w:r>
        <w:rPr>
          <w:rFonts w:ascii="Times New Roman" w:hAnsi="Times New Roman" w:cs="Times New Roman"/>
          <w:sz w:val="21"/>
          <w:szCs w:val="21"/>
        </w:rPr>
        <w:t>0.1%</w:t>
      </w:r>
      <w:r>
        <w:rPr>
          <w:rFonts w:hint="eastAsia"/>
          <w:sz w:val="21"/>
          <w:szCs w:val="21"/>
        </w:rPr>
        <w:t>的年费率计提。托管费的计算方法如下：</w:t>
      </w:r>
    </w:p>
    <w:p w14:paraId="3799A71C"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H</w:t>
      </w:r>
      <w:r>
        <w:rPr>
          <w:rFonts w:hint="eastAsia"/>
          <w:sz w:val="21"/>
          <w:szCs w:val="21"/>
        </w:rPr>
        <w:t>＝</w:t>
      </w:r>
      <w:r>
        <w:rPr>
          <w:rFonts w:ascii="Times New Roman" w:hAnsi="Times New Roman" w:cs="Times New Roman"/>
          <w:sz w:val="21"/>
          <w:szCs w:val="21"/>
        </w:rPr>
        <w:t>E</w:t>
      </w:r>
      <w:r>
        <w:rPr>
          <w:rFonts w:hint="eastAsia"/>
          <w:sz w:val="21"/>
          <w:szCs w:val="21"/>
        </w:rPr>
        <w:t>×</w:t>
      </w:r>
      <w:r>
        <w:rPr>
          <w:rFonts w:ascii="Times New Roman" w:hAnsi="Times New Roman" w:cs="Times New Roman"/>
          <w:sz w:val="21"/>
          <w:szCs w:val="21"/>
        </w:rPr>
        <w:t>0.1%</w:t>
      </w:r>
      <w:r>
        <w:rPr>
          <w:rFonts w:hint="eastAsia"/>
          <w:sz w:val="21"/>
          <w:szCs w:val="21"/>
        </w:rPr>
        <w:t>÷当年天数</w:t>
      </w:r>
    </w:p>
    <w:p w14:paraId="1CACA0D6"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H</w:t>
      </w:r>
      <w:r>
        <w:rPr>
          <w:rFonts w:hint="eastAsia"/>
          <w:sz w:val="21"/>
          <w:szCs w:val="21"/>
        </w:rPr>
        <w:t>为每日应计提的基金托管费</w:t>
      </w:r>
    </w:p>
    <w:p w14:paraId="25A2E60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E</w:t>
      </w:r>
      <w:r>
        <w:rPr>
          <w:rFonts w:hint="eastAsia"/>
          <w:sz w:val="21"/>
          <w:szCs w:val="21"/>
        </w:rPr>
        <w:t>为前一日的基金资产净值</w:t>
      </w:r>
    </w:p>
    <w:p w14:paraId="7560059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基金托管费每日计算，逐日累计至每月月末，按月支付，经基金管理人与基金托管人双方核对无误后，基金托管人按照与基金管理人协商一致的方式于次月首日起</w:t>
      </w:r>
      <w:r>
        <w:rPr>
          <w:rFonts w:ascii="Times New Roman" w:hAnsi="Times New Roman" w:cs="Times New Roman"/>
          <w:sz w:val="21"/>
          <w:szCs w:val="21"/>
        </w:rPr>
        <w:t>5</w:t>
      </w:r>
      <w:r>
        <w:rPr>
          <w:rFonts w:hint="eastAsia"/>
          <w:sz w:val="21"/>
          <w:szCs w:val="21"/>
        </w:rPr>
        <w:t>个工作日内从基金财产中一次性支取。若遇法定节假日、公休日等，支付日期顺延。</w:t>
      </w:r>
    </w:p>
    <w:p w14:paraId="7FC36AA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上述“一、基金费用的种类中第</w:t>
      </w:r>
      <w:r>
        <w:rPr>
          <w:rFonts w:ascii="Times New Roman" w:hAnsi="Times New Roman" w:cs="Times New Roman"/>
          <w:sz w:val="21"/>
          <w:szCs w:val="21"/>
        </w:rPr>
        <w:t>3</w:t>
      </w:r>
      <w:r>
        <w:rPr>
          <w:rFonts w:hint="eastAsia"/>
          <w:sz w:val="21"/>
          <w:szCs w:val="21"/>
        </w:rPr>
        <w:t>－</w:t>
      </w:r>
      <w:r>
        <w:rPr>
          <w:rFonts w:ascii="Times New Roman" w:hAnsi="Times New Roman" w:cs="Times New Roman"/>
          <w:sz w:val="21"/>
          <w:szCs w:val="21"/>
        </w:rPr>
        <w:t>9</w:t>
      </w:r>
      <w:r>
        <w:rPr>
          <w:rFonts w:hint="eastAsia"/>
          <w:sz w:val="21"/>
          <w:szCs w:val="21"/>
        </w:rPr>
        <w:t>项费用”，根据有关法规及相应协议规定，按费用实际支出金额列入当期费用，由基金托管人从基金财产中支付。</w:t>
      </w:r>
    </w:p>
    <w:p w14:paraId="06DEE7E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三、不列入基金费用的项目</w:t>
      </w:r>
    </w:p>
    <w:p w14:paraId="30743A8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下列费用不列入基金费用：</w:t>
      </w:r>
    </w:p>
    <w:p w14:paraId="75F709B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、基金管理人和基金托管人因未履行或未完全履行义务导致的费用支出或基金财产的损失；</w:t>
      </w:r>
    </w:p>
    <w:p w14:paraId="213B964E"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、基金管理人和基金托管人处理与基金运作无关的事项发生的费用；</w:t>
      </w:r>
    </w:p>
    <w:p w14:paraId="0602016F"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、《基金合同》生效前的相关费用；</w:t>
      </w:r>
    </w:p>
    <w:p w14:paraId="15FDC3A9"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、其他根据相关法律法规及中国证监会的有关规定不得列入基金费用的项目。</w:t>
      </w:r>
    </w:p>
    <w:p w14:paraId="4347F70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四、基金税收</w:t>
      </w:r>
    </w:p>
    <w:p w14:paraId="3ADD5A3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本基金运作过程中涉及的各纳税主体，其纳税义务按国家税收法律、法规执行。</w:t>
      </w:r>
    </w:p>
    <w:p w14:paraId="58DB5F3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基金财产投资的相关税收，由基金份额持有人承担，基金管理人或者其他扣缴义务人按照国家有关税收征收的规定代扣代缴。</w:t>
      </w:r>
    </w:p>
    <w:p w14:paraId="72E10D15" w14:textId="77777777" w:rsidR="00D0083C" w:rsidRDefault="00854AE5">
      <w:pPr>
        <w:pStyle w:val="1"/>
        <w:spacing w:before="240" w:line="360" w:lineRule="auto"/>
        <w:jc w:val="center"/>
        <w:divId w:val="1122842215"/>
        <w:rPr>
          <w:sz w:val="24"/>
          <w:szCs w:val="24"/>
        </w:rPr>
      </w:pPr>
      <w:bookmarkStart w:id="91" w:name="_Toc387824880"/>
      <w:r>
        <w:rPr>
          <w:rFonts w:hint="eastAsia"/>
          <w:sz w:val="24"/>
          <w:szCs w:val="24"/>
        </w:rPr>
        <w:t>第十四部分</w:t>
      </w:r>
      <w:r>
        <w:rPr>
          <w:rFonts w:hint="eastAsia"/>
          <w:sz w:val="24"/>
          <w:szCs w:val="24"/>
        </w:rPr>
        <w:t xml:space="preserve"> </w:t>
      </w:r>
      <w:r>
        <w:rPr>
          <w:rFonts w:hint="eastAsia"/>
          <w:sz w:val="24"/>
          <w:szCs w:val="24"/>
        </w:rPr>
        <w:t>基金的会计与审计</w:t>
      </w:r>
      <w:bookmarkEnd w:id="91"/>
    </w:p>
    <w:p w14:paraId="3EBFD6B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一、基金会计政策</w:t>
      </w:r>
    </w:p>
    <w:p w14:paraId="609DF117"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、基金管理人为本基金的基金会计责任方；</w:t>
      </w:r>
    </w:p>
    <w:p w14:paraId="2636F6C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lastRenderedPageBreak/>
        <w:t>2</w:t>
      </w:r>
      <w:r>
        <w:rPr>
          <w:rFonts w:hint="eastAsia"/>
          <w:sz w:val="21"/>
          <w:szCs w:val="21"/>
        </w:rPr>
        <w:t>、基金的会计年度为公历年度的</w:t>
      </w:r>
      <w:r>
        <w:rPr>
          <w:rFonts w:ascii="Times New Roman" w:hAnsi="Times New Roman" w:cs="Times New Roman"/>
          <w:sz w:val="21"/>
          <w:szCs w:val="21"/>
        </w:rPr>
        <w:t>1</w:t>
      </w:r>
      <w:r>
        <w:rPr>
          <w:rFonts w:hint="eastAsia"/>
          <w:sz w:val="21"/>
          <w:szCs w:val="21"/>
        </w:rPr>
        <w:t>月</w:t>
      </w:r>
      <w:r>
        <w:rPr>
          <w:rFonts w:ascii="Times New Roman" w:hAnsi="Times New Roman" w:cs="Times New Roman"/>
          <w:sz w:val="21"/>
          <w:szCs w:val="21"/>
        </w:rPr>
        <w:t>1</w:t>
      </w:r>
      <w:r>
        <w:rPr>
          <w:rFonts w:hint="eastAsia"/>
          <w:sz w:val="21"/>
          <w:szCs w:val="21"/>
        </w:rPr>
        <w:t>日至</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31</w:t>
      </w:r>
      <w:r>
        <w:rPr>
          <w:rFonts w:hint="eastAsia"/>
          <w:sz w:val="21"/>
          <w:szCs w:val="21"/>
        </w:rPr>
        <w:t>日；基金首次募集的会计年度按如下原则：如果《基金合同》生效少于</w:t>
      </w:r>
      <w:r>
        <w:rPr>
          <w:rFonts w:ascii="Times New Roman" w:hAnsi="Times New Roman" w:cs="Times New Roman"/>
          <w:sz w:val="21"/>
          <w:szCs w:val="21"/>
        </w:rPr>
        <w:t>2</w:t>
      </w:r>
      <w:r>
        <w:rPr>
          <w:rFonts w:hint="eastAsia"/>
          <w:sz w:val="21"/>
          <w:szCs w:val="21"/>
        </w:rPr>
        <w:t>个月，可以并入下一个会计年度；</w:t>
      </w:r>
    </w:p>
    <w:p w14:paraId="25A691C1"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、基金核算以人民币为记账本位币，以人民币元为记账单位；</w:t>
      </w:r>
    </w:p>
    <w:p w14:paraId="023261F3"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、会计制度执行国家有关会计制度；</w:t>
      </w:r>
    </w:p>
    <w:p w14:paraId="61E449A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、本基金独立建账、独立核算；</w:t>
      </w:r>
    </w:p>
    <w:p w14:paraId="0DEB0D47"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6</w:t>
      </w:r>
      <w:r>
        <w:rPr>
          <w:rFonts w:hint="eastAsia"/>
          <w:sz w:val="21"/>
          <w:szCs w:val="21"/>
        </w:rPr>
        <w:t>、基金管理人及基金托管人各自保留完整的会计账目、凭证并进行日常的会计核算，按照有关规定编制基金会计报表；</w:t>
      </w:r>
    </w:p>
    <w:p w14:paraId="0D691358"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7</w:t>
      </w:r>
      <w:r>
        <w:rPr>
          <w:rFonts w:hint="eastAsia"/>
          <w:sz w:val="21"/>
          <w:szCs w:val="21"/>
        </w:rPr>
        <w:t>、基金托管人每月与基金管理人就基金的会计核算、报表编制等进行核对并以书面方式确认。</w:t>
      </w:r>
    </w:p>
    <w:p w14:paraId="1317D37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二、基金的年度审计</w:t>
      </w:r>
    </w:p>
    <w:p w14:paraId="14173992" w14:textId="64A26BA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、基金管理人聘请与基金管理人、基金托管人相互独立的具有证券</w:t>
      </w:r>
      <w:r w:rsidR="00BE6383" w:rsidRPr="00BE6383">
        <w:rPr>
          <w:rFonts w:hint="eastAsia"/>
          <w:bCs/>
          <w:sz w:val="21"/>
          <w:szCs w:val="21"/>
        </w:rPr>
        <w:t>、</w:t>
      </w:r>
      <w:r w:rsidR="00BE6383" w:rsidRPr="00BE6383">
        <w:rPr>
          <w:bCs/>
          <w:sz w:val="21"/>
          <w:szCs w:val="21"/>
        </w:rPr>
        <w:t>期货相关业务</w:t>
      </w:r>
      <w:r>
        <w:rPr>
          <w:rFonts w:hint="eastAsia"/>
          <w:sz w:val="21"/>
          <w:szCs w:val="21"/>
        </w:rPr>
        <w:t>资格的会计师事务所及其注册会计师对本基金的年度财务报表进行审计。</w:t>
      </w:r>
    </w:p>
    <w:p w14:paraId="5A084D43"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、会计师事务所更换经办注册会计师，应事先征得基金管理人同意。</w:t>
      </w:r>
    </w:p>
    <w:p w14:paraId="0B88D82A" w14:textId="5968473B"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、基金管理人认为有充足理由更换会计师事务所，须通报基金托管人。更换会计师事务所需在</w:t>
      </w:r>
      <w:r>
        <w:rPr>
          <w:rFonts w:ascii="Times New Roman" w:hAnsi="Times New Roman" w:cs="Times New Roman"/>
          <w:sz w:val="21"/>
          <w:szCs w:val="21"/>
        </w:rPr>
        <w:t>2</w:t>
      </w:r>
      <w:r>
        <w:rPr>
          <w:rFonts w:hint="eastAsia"/>
          <w:sz w:val="21"/>
          <w:szCs w:val="21"/>
        </w:rPr>
        <w:t>日内在指定媒介公告。</w:t>
      </w:r>
    </w:p>
    <w:p w14:paraId="1BD9680D" w14:textId="77777777" w:rsidR="00D0083C" w:rsidRDefault="00854AE5">
      <w:pPr>
        <w:pStyle w:val="1"/>
        <w:spacing w:before="240" w:line="360" w:lineRule="auto"/>
        <w:jc w:val="center"/>
        <w:divId w:val="1122842215"/>
        <w:rPr>
          <w:sz w:val="24"/>
          <w:szCs w:val="24"/>
        </w:rPr>
      </w:pPr>
      <w:bookmarkStart w:id="92" w:name="_Toc387824881"/>
      <w:r>
        <w:rPr>
          <w:rFonts w:hint="eastAsia"/>
          <w:sz w:val="24"/>
          <w:szCs w:val="24"/>
        </w:rPr>
        <w:t>第十五部分</w:t>
      </w:r>
      <w:r>
        <w:rPr>
          <w:rFonts w:hint="eastAsia"/>
          <w:sz w:val="24"/>
          <w:szCs w:val="24"/>
        </w:rPr>
        <w:t xml:space="preserve"> </w:t>
      </w:r>
      <w:r>
        <w:rPr>
          <w:rFonts w:hint="eastAsia"/>
          <w:sz w:val="24"/>
          <w:szCs w:val="24"/>
        </w:rPr>
        <w:t>基金的信息披露</w:t>
      </w:r>
      <w:bookmarkEnd w:id="92"/>
    </w:p>
    <w:p w14:paraId="7E797550" w14:textId="77777777" w:rsidR="00BE6383" w:rsidRPr="00190259" w:rsidRDefault="00BE6383" w:rsidP="00BE6383">
      <w:pPr>
        <w:spacing w:line="360" w:lineRule="auto"/>
        <w:ind w:firstLineChars="200" w:firstLine="420"/>
        <w:divId w:val="1122842215"/>
        <w:rPr>
          <w:bCs/>
        </w:rPr>
      </w:pPr>
      <w:r w:rsidRPr="00190259">
        <w:rPr>
          <w:bCs/>
        </w:rPr>
        <w:t>一、本基金的信息披露应符合《基金法》、《运作办法》、《信息披露办法》、《基金合同》及其他有关规定。</w:t>
      </w:r>
    </w:p>
    <w:p w14:paraId="14967FEB" w14:textId="77777777" w:rsidR="00BE6383" w:rsidRPr="00190259" w:rsidRDefault="00BE6383" w:rsidP="00BE6383">
      <w:pPr>
        <w:spacing w:line="360" w:lineRule="auto"/>
        <w:ind w:firstLineChars="200" w:firstLine="420"/>
        <w:divId w:val="1122842215"/>
        <w:rPr>
          <w:bCs/>
        </w:rPr>
      </w:pPr>
      <w:r w:rsidRPr="00190259">
        <w:rPr>
          <w:bCs/>
        </w:rPr>
        <w:t>二、信息披露义务人</w:t>
      </w:r>
    </w:p>
    <w:p w14:paraId="6CB6059A" w14:textId="77777777" w:rsidR="00BE6383" w:rsidRPr="00B21DF0" w:rsidRDefault="00BE6383" w:rsidP="00BE6383">
      <w:pPr>
        <w:spacing w:line="360" w:lineRule="auto"/>
        <w:ind w:firstLineChars="200" w:firstLine="420"/>
        <w:divId w:val="1122842215"/>
        <w:rPr>
          <w:bCs/>
        </w:rPr>
      </w:pPr>
      <w:r w:rsidRPr="00B21DF0">
        <w:rPr>
          <w:bCs/>
        </w:rPr>
        <w:t>本基金信息披露义务人包括基金管理人、基金托管人、召集基金份额持有人大会的基金份额持有人</w:t>
      </w:r>
      <w:r w:rsidRPr="00B21DF0">
        <w:rPr>
          <w:rFonts w:hint="eastAsia"/>
          <w:bCs/>
        </w:rPr>
        <w:t>及其日常机构</w:t>
      </w:r>
      <w:r>
        <w:rPr>
          <w:rFonts w:hint="eastAsia"/>
          <w:bCs/>
        </w:rPr>
        <w:t>（如有）</w:t>
      </w:r>
      <w:r w:rsidRPr="00B21DF0">
        <w:rPr>
          <w:bCs/>
        </w:rPr>
        <w:t>等法律法规和中国证监会规定的自然人、法人和</w:t>
      </w:r>
      <w:r w:rsidRPr="00B21DF0">
        <w:rPr>
          <w:rFonts w:hint="eastAsia"/>
          <w:bCs/>
        </w:rPr>
        <w:t>非法人</w:t>
      </w:r>
      <w:r w:rsidRPr="00B21DF0">
        <w:rPr>
          <w:bCs/>
        </w:rPr>
        <w:t>组织。</w:t>
      </w:r>
    </w:p>
    <w:p w14:paraId="1E01DDBB" w14:textId="77777777" w:rsidR="00BE6383" w:rsidRPr="00B21DF0" w:rsidRDefault="00BE6383" w:rsidP="00BE6383">
      <w:pPr>
        <w:spacing w:line="360" w:lineRule="auto"/>
        <w:ind w:firstLineChars="200" w:firstLine="420"/>
        <w:divId w:val="1122842215"/>
        <w:rPr>
          <w:bCs/>
        </w:rPr>
      </w:pPr>
      <w:r w:rsidRPr="00B21DF0">
        <w:rPr>
          <w:bCs/>
        </w:rPr>
        <w:t>本基金信息披露义务人</w:t>
      </w:r>
      <w:r w:rsidRPr="00B21DF0">
        <w:rPr>
          <w:rFonts w:hint="eastAsia"/>
          <w:bCs/>
        </w:rPr>
        <w:t>以</w:t>
      </w:r>
      <w:r w:rsidRPr="00B21DF0">
        <w:rPr>
          <w:bCs/>
        </w:rPr>
        <w:t>保护基金份额持有人利益为根本出发点，按照法律法规和中国证监会的规定披露基金信息，并保证所披露信息的真实性、准确性</w:t>
      </w:r>
      <w:r w:rsidRPr="00B21DF0">
        <w:rPr>
          <w:rFonts w:hint="eastAsia"/>
          <w:bCs/>
        </w:rPr>
        <w:t>、</w:t>
      </w:r>
      <w:r w:rsidRPr="00B21DF0">
        <w:rPr>
          <w:bCs/>
        </w:rPr>
        <w:t>完整性</w:t>
      </w:r>
      <w:r w:rsidRPr="00B21DF0">
        <w:rPr>
          <w:rFonts w:hint="eastAsia"/>
          <w:bCs/>
        </w:rPr>
        <w:t>、</w:t>
      </w:r>
      <w:r w:rsidRPr="00B21DF0">
        <w:rPr>
          <w:bCs/>
        </w:rPr>
        <w:t>及时性、简明性和</w:t>
      </w:r>
      <w:r w:rsidRPr="00B21DF0">
        <w:rPr>
          <w:rFonts w:hint="eastAsia"/>
          <w:bCs/>
        </w:rPr>
        <w:t>易得性</w:t>
      </w:r>
      <w:r w:rsidRPr="00B21DF0">
        <w:rPr>
          <w:bCs/>
        </w:rPr>
        <w:t>。</w:t>
      </w:r>
    </w:p>
    <w:p w14:paraId="48A42148" w14:textId="77777777" w:rsidR="00BE6383" w:rsidRPr="00190259" w:rsidRDefault="00BE6383" w:rsidP="00BE6383">
      <w:pPr>
        <w:spacing w:line="360" w:lineRule="auto"/>
        <w:ind w:firstLineChars="200" w:firstLine="420"/>
        <w:divId w:val="1122842215"/>
        <w:rPr>
          <w:bCs/>
        </w:rPr>
      </w:pPr>
      <w:r w:rsidRPr="00B21DF0">
        <w:rPr>
          <w:bCs/>
        </w:rPr>
        <w:t>本基金信息披露义务人应当在中国证监会规定时间内，将应予披露的基金信息通过中国证监会指定的</w:t>
      </w:r>
      <w:r w:rsidRPr="00144374">
        <w:rPr>
          <w:rFonts w:hint="eastAsia"/>
          <w:bCs/>
        </w:rPr>
        <w:t>全国性报刊（以下简称“指定报刊”）和指定互联网网站（以下简称“指定网站”，包括基金管理人网站、基金托管人网站、中国证监会基金电子披露网站）</w:t>
      </w:r>
      <w:r w:rsidRPr="00B21DF0">
        <w:rPr>
          <w:bCs/>
        </w:rPr>
        <w:t>等媒介披露，并保证基金投资者能够按照《基金合同》约定的时间和方式查阅或者复制公开披露的信息资料。</w:t>
      </w:r>
    </w:p>
    <w:p w14:paraId="5B9D9288" w14:textId="77777777" w:rsidR="00BE6383" w:rsidRPr="00190259" w:rsidRDefault="00BE6383" w:rsidP="00BE6383">
      <w:pPr>
        <w:spacing w:line="360" w:lineRule="auto"/>
        <w:ind w:firstLineChars="200" w:firstLine="420"/>
        <w:divId w:val="1122842215"/>
        <w:rPr>
          <w:bCs/>
        </w:rPr>
      </w:pPr>
      <w:r w:rsidRPr="00190259">
        <w:rPr>
          <w:bCs/>
        </w:rPr>
        <w:t>三、本基金信息披露义务人承诺公开披露的基金信息，不得有下列行为：</w:t>
      </w:r>
    </w:p>
    <w:p w14:paraId="470B6145" w14:textId="77777777" w:rsidR="00BE6383" w:rsidRPr="00190259" w:rsidRDefault="00BE6383" w:rsidP="00BE6383">
      <w:pPr>
        <w:spacing w:line="360" w:lineRule="auto"/>
        <w:ind w:firstLineChars="200" w:firstLine="420"/>
        <w:divId w:val="1122842215"/>
        <w:rPr>
          <w:bCs/>
        </w:rPr>
      </w:pPr>
      <w:r w:rsidRPr="00190259">
        <w:rPr>
          <w:bCs/>
        </w:rPr>
        <w:t>1</w:t>
      </w:r>
      <w:r w:rsidRPr="00190259">
        <w:rPr>
          <w:bCs/>
        </w:rPr>
        <w:t>、虚假记载、误导性陈述或者重大遗漏；</w:t>
      </w:r>
    </w:p>
    <w:p w14:paraId="1A9F6331" w14:textId="77777777" w:rsidR="00BE6383" w:rsidRPr="00190259" w:rsidRDefault="00BE6383" w:rsidP="00BE6383">
      <w:pPr>
        <w:spacing w:line="360" w:lineRule="auto"/>
        <w:ind w:firstLineChars="200" w:firstLine="420"/>
        <w:divId w:val="1122842215"/>
        <w:rPr>
          <w:bCs/>
        </w:rPr>
      </w:pPr>
      <w:r w:rsidRPr="00190259">
        <w:rPr>
          <w:bCs/>
        </w:rPr>
        <w:lastRenderedPageBreak/>
        <w:t>2</w:t>
      </w:r>
      <w:r w:rsidRPr="00190259">
        <w:rPr>
          <w:bCs/>
        </w:rPr>
        <w:t>、对证券投资业绩进行预测；</w:t>
      </w:r>
    </w:p>
    <w:p w14:paraId="6FAD2172" w14:textId="77777777" w:rsidR="00BE6383" w:rsidRPr="00190259" w:rsidRDefault="00BE6383" w:rsidP="00BE6383">
      <w:pPr>
        <w:spacing w:line="360" w:lineRule="auto"/>
        <w:ind w:firstLineChars="200" w:firstLine="420"/>
        <w:divId w:val="1122842215"/>
        <w:rPr>
          <w:bCs/>
        </w:rPr>
      </w:pPr>
      <w:r w:rsidRPr="00190259">
        <w:rPr>
          <w:bCs/>
        </w:rPr>
        <w:t>3</w:t>
      </w:r>
      <w:r w:rsidRPr="00190259">
        <w:rPr>
          <w:bCs/>
        </w:rPr>
        <w:t>、违规承诺收益或者承担损失；</w:t>
      </w:r>
    </w:p>
    <w:p w14:paraId="5FE8F9AA" w14:textId="77777777" w:rsidR="00BE6383" w:rsidRPr="00190259" w:rsidRDefault="00BE6383" w:rsidP="00BE6383">
      <w:pPr>
        <w:spacing w:line="360" w:lineRule="auto"/>
        <w:ind w:firstLineChars="200" w:firstLine="420"/>
        <w:divId w:val="1122842215"/>
        <w:rPr>
          <w:bCs/>
        </w:rPr>
      </w:pPr>
      <w:r w:rsidRPr="00190259">
        <w:rPr>
          <w:bCs/>
        </w:rPr>
        <w:t>4</w:t>
      </w:r>
      <w:r w:rsidRPr="00190259">
        <w:rPr>
          <w:bCs/>
        </w:rPr>
        <w:t>、诋毁其他基金管理人、基金托管人或者基金销售机构；</w:t>
      </w:r>
    </w:p>
    <w:p w14:paraId="07BED44A" w14:textId="77777777" w:rsidR="00BE6383" w:rsidRPr="00190259" w:rsidRDefault="00BE6383" w:rsidP="00BE6383">
      <w:pPr>
        <w:spacing w:line="360" w:lineRule="auto"/>
        <w:ind w:firstLineChars="200" w:firstLine="420"/>
        <w:divId w:val="1122842215"/>
        <w:rPr>
          <w:bCs/>
        </w:rPr>
      </w:pPr>
      <w:r w:rsidRPr="00190259">
        <w:rPr>
          <w:bCs/>
        </w:rPr>
        <w:t>5</w:t>
      </w:r>
      <w:r w:rsidRPr="00190259">
        <w:rPr>
          <w:bCs/>
        </w:rPr>
        <w:t>、</w:t>
      </w:r>
      <w:r w:rsidRPr="00B21DF0">
        <w:rPr>
          <w:bCs/>
        </w:rPr>
        <w:t>登载任何自然人、法人</w:t>
      </w:r>
      <w:r w:rsidRPr="00B21DF0">
        <w:rPr>
          <w:rFonts w:hint="eastAsia"/>
          <w:bCs/>
        </w:rPr>
        <w:t>和非法人</w:t>
      </w:r>
      <w:r w:rsidRPr="00B21DF0">
        <w:rPr>
          <w:bCs/>
        </w:rPr>
        <w:t>组织的祝贺性、恭维性或推荐性文字</w:t>
      </w:r>
      <w:r w:rsidRPr="00190259">
        <w:rPr>
          <w:bCs/>
        </w:rPr>
        <w:t>；</w:t>
      </w:r>
    </w:p>
    <w:p w14:paraId="3EE2D314" w14:textId="77777777" w:rsidR="00BE6383" w:rsidRPr="00190259" w:rsidRDefault="00BE6383" w:rsidP="00BE6383">
      <w:pPr>
        <w:spacing w:line="360" w:lineRule="auto"/>
        <w:ind w:firstLineChars="200" w:firstLine="420"/>
        <w:divId w:val="1122842215"/>
        <w:rPr>
          <w:bCs/>
        </w:rPr>
      </w:pPr>
      <w:r w:rsidRPr="00190259">
        <w:rPr>
          <w:bCs/>
        </w:rPr>
        <w:t>6</w:t>
      </w:r>
      <w:r w:rsidRPr="00190259">
        <w:rPr>
          <w:bCs/>
        </w:rPr>
        <w:t>、中国证监会禁止的其他行为。</w:t>
      </w:r>
    </w:p>
    <w:p w14:paraId="1EC888F3" w14:textId="77777777" w:rsidR="00BE6383" w:rsidRPr="00190259" w:rsidRDefault="00BE6383" w:rsidP="00BE6383">
      <w:pPr>
        <w:spacing w:line="360" w:lineRule="auto"/>
        <w:ind w:firstLineChars="200" w:firstLine="420"/>
        <w:divId w:val="1122842215"/>
        <w:rPr>
          <w:bCs/>
        </w:rPr>
      </w:pPr>
      <w:r w:rsidRPr="00190259">
        <w:rPr>
          <w:bCs/>
        </w:rPr>
        <w:t>四、本基金公开披露的信息应采用中文文本。</w:t>
      </w:r>
      <w:r w:rsidRPr="00B21DF0">
        <w:rPr>
          <w:bCs/>
        </w:rPr>
        <w:t>如同时采用外文文本的，基金信息披露义务人应保证</w:t>
      </w:r>
      <w:r w:rsidRPr="00B21DF0">
        <w:rPr>
          <w:rFonts w:hint="eastAsia"/>
          <w:bCs/>
        </w:rPr>
        <w:t>不同</w:t>
      </w:r>
      <w:r w:rsidRPr="00B21DF0">
        <w:rPr>
          <w:bCs/>
        </w:rPr>
        <w:t>文本的内容一致。</w:t>
      </w:r>
      <w:r w:rsidRPr="00B21DF0">
        <w:rPr>
          <w:rFonts w:hint="eastAsia"/>
          <w:bCs/>
        </w:rPr>
        <w:t>不同</w:t>
      </w:r>
      <w:r w:rsidRPr="00B21DF0">
        <w:rPr>
          <w:bCs/>
        </w:rPr>
        <w:t>文本</w:t>
      </w:r>
      <w:r w:rsidRPr="00B21DF0">
        <w:rPr>
          <w:rFonts w:hint="eastAsia"/>
          <w:bCs/>
        </w:rPr>
        <w:t>之间</w:t>
      </w:r>
      <w:r w:rsidRPr="00B21DF0">
        <w:rPr>
          <w:bCs/>
        </w:rPr>
        <w:t>发生歧义的，以中文文本为准。</w:t>
      </w:r>
    </w:p>
    <w:p w14:paraId="0E3A8E39" w14:textId="77777777" w:rsidR="00BE6383" w:rsidRPr="00190259" w:rsidRDefault="00BE6383" w:rsidP="00BE6383">
      <w:pPr>
        <w:spacing w:line="360" w:lineRule="auto"/>
        <w:ind w:firstLineChars="200" w:firstLine="420"/>
        <w:divId w:val="1122842215"/>
        <w:rPr>
          <w:bCs/>
        </w:rPr>
      </w:pPr>
      <w:r w:rsidRPr="00190259">
        <w:rPr>
          <w:bCs/>
        </w:rPr>
        <w:t>本基金公开披露的信息采用阿拉伯数字；除特别说明外，货币单位为人民币元。</w:t>
      </w:r>
    </w:p>
    <w:p w14:paraId="776EE02B" w14:textId="77777777" w:rsidR="00BE6383" w:rsidRPr="00190259" w:rsidRDefault="00BE6383" w:rsidP="00BE6383">
      <w:pPr>
        <w:spacing w:line="360" w:lineRule="auto"/>
        <w:ind w:firstLineChars="200" w:firstLine="420"/>
        <w:divId w:val="1122842215"/>
        <w:rPr>
          <w:bCs/>
        </w:rPr>
      </w:pPr>
      <w:r w:rsidRPr="00190259">
        <w:rPr>
          <w:bCs/>
        </w:rPr>
        <w:t>五、公开披露的基金信息</w:t>
      </w:r>
    </w:p>
    <w:p w14:paraId="739ACC0D" w14:textId="77777777" w:rsidR="00BE6383" w:rsidRPr="00190259" w:rsidRDefault="00BE6383" w:rsidP="00BE6383">
      <w:pPr>
        <w:spacing w:line="360" w:lineRule="auto"/>
        <w:ind w:firstLineChars="200" w:firstLine="420"/>
        <w:divId w:val="1122842215"/>
        <w:rPr>
          <w:bCs/>
        </w:rPr>
      </w:pPr>
      <w:r w:rsidRPr="00190259">
        <w:rPr>
          <w:bCs/>
        </w:rPr>
        <w:t>公开披露的基金信息包括：</w:t>
      </w:r>
    </w:p>
    <w:p w14:paraId="1493076F" w14:textId="77777777" w:rsidR="00BE6383" w:rsidRPr="00190259" w:rsidRDefault="00BE6383" w:rsidP="00BE6383">
      <w:pPr>
        <w:spacing w:line="360" w:lineRule="auto"/>
        <w:ind w:firstLineChars="200" w:firstLine="420"/>
        <w:divId w:val="1122842215"/>
        <w:rPr>
          <w:bCs/>
        </w:rPr>
      </w:pPr>
      <w:r w:rsidRPr="00190259">
        <w:rPr>
          <w:bCs/>
        </w:rPr>
        <w:t>（一）基金招募说明书、《基金合同》、基金托管协议</w:t>
      </w:r>
      <w:r w:rsidRPr="00B21DF0">
        <w:rPr>
          <w:rFonts w:hint="eastAsia"/>
          <w:bCs/>
        </w:rPr>
        <w:t>、</w:t>
      </w:r>
      <w:r w:rsidRPr="00B21DF0">
        <w:rPr>
          <w:bCs/>
        </w:rPr>
        <w:t>基金产品资料概要</w:t>
      </w:r>
    </w:p>
    <w:p w14:paraId="6790F8C6" w14:textId="77777777" w:rsidR="00BE6383" w:rsidRPr="00190259" w:rsidRDefault="00BE6383" w:rsidP="00BE6383">
      <w:pPr>
        <w:spacing w:line="360" w:lineRule="auto"/>
        <w:ind w:firstLineChars="200" w:firstLine="420"/>
        <w:divId w:val="1122842215"/>
        <w:rPr>
          <w:bCs/>
        </w:rPr>
      </w:pPr>
      <w:r w:rsidRPr="00190259">
        <w:rPr>
          <w:bCs/>
        </w:rPr>
        <w:t>1</w:t>
      </w:r>
      <w:r w:rsidRPr="00190259">
        <w:rPr>
          <w:bCs/>
        </w:rPr>
        <w:t>、《基金合同》是界定《基金合同》当事人的各项权利、义务关系，明确基金份额持有人大会召开的规则及具体程序，说明基金产品的特性等涉及基金投资者重大利益的事项的法律文件。</w:t>
      </w:r>
    </w:p>
    <w:p w14:paraId="3FA4C0C3" w14:textId="77777777" w:rsidR="00BE6383" w:rsidRPr="00190259" w:rsidRDefault="00BE6383" w:rsidP="00BE6383">
      <w:pPr>
        <w:spacing w:line="360" w:lineRule="auto"/>
        <w:ind w:firstLineChars="200" w:firstLine="420"/>
        <w:divId w:val="1122842215"/>
        <w:rPr>
          <w:bCs/>
        </w:rPr>
      </w:pPr>
      <w:r w:rsidRPr="00190259">
        <w:rPr>
          <w:bCs/>
        </w:rPr>
        <w:t>2</w:t>
      </w:r>
      <w:r w:rsidRPr="00190259">
        <w:rPr>
          <w:bCs/>
        </w:rPr>
        <w:t>、基金招募说明书应当最大限度地披露影响基金投资者决策的全部事项，说明基金认购、申购和赎回安排、基金投资、基金产品特性、风险揭示、信息披露及基金份额持有人服务等内容。《基金合同》生效后，</w:t>
      </w:r>
      <w:r w:rsidRPr="00B21DF0">
        <w:rPr>
          <w:rFonts w:hint="eastAsia"/>
          <w:bCs/>
        </w:rPr>
        <w:t>基金</w:t>
      </w:r>
      <w:r w:rsidRPr="00B21DF0">
        <w:rPr>
          <w:bCs/>
        </w:rPr>
        <w:t>招募</w:t>
      </w:r>
      <w:r w:rsidRPr="00B21DF0">
        <w:rPr>
          <w:rFonts w:hint="eastAsia"/>
          <w:bCs/>
        </w:rPr>
        <w:t>说明书</w:t>
      </w:r>
      <w:r w:rsidRPr="00B21DF0">
        <w:rPr>
          <w:bCs/>
        </w:rPr>
        <w:t>的信息发生重大变更的，基金管理人应当在三个工作日内，更新基金招募说明书并登载在</w:t>
      </w:r>
      <w:r w:rsidRPr="00B21DF0">
        <w:rPr>
          <w:rFonts w:hint="eastAsia"/>
          <w:bCs/>
        </w:rPr>
        <w:t>指定</w:t>
      </w:r>
      <w:r w:rsidRPr="00B21DF0">
        <w:rPr>
          <w:bCs/>
        </w:rPr>
        <w:t>网站上；基金招募说明书其他信息发生变更的，基金管理人至少每年更新一次</w:t>
      </w:r>
      <w:r w:rsidRPr="00B21DF0">
        <w:rPr>
          <w:rFonts w:hint="eastAsia"/>
          <w:bCs/>
        </w:rPr>
        <w:t>。</w:t>
      </w:r>
      <w:r w:rsidRPr="00B21DF0">
        <w:rPr>
          <w:bCs/>
        </w:rPr>
        <w:t>基金终止运作的，基金管理人不</w:t>
      </w:r>
      <w:r w:rsidRPr="00B21DF0">
        <w:rPr>
          <w:rFonts w:hint="eastAsia"/>
          <w:bCs/>
        </w:rPr>
        <w:t>再</w:t>
      </w:r>
      <w:r w:rsidRPr="00B21DF0">
        <w:rPr>
          <w:bCs/>
        </w:rPr>
        <w:t>更新基金招募说明书。</w:t>
      </w:r>
    </w:p>
    <w:p w14:paraId="2E83C3D8" w14:textId="77777777" w:rsidR="00BE6383" w:rsidRDefault="00BE6383" w:rsidP="00BE6383">
      <w:pPr>
        <w:spacing w:line="360" w:lineRule="auto"/>
        <w:ind w:firstLineChars="200" w:firstLine="420"/>
        <w:divId w:val="1122842215"/>
        <w:rPr>
          <w:bCs/>
        </w:rPr>
      </w:pPr>
      <w:r w:rsidRPr="00190259">
        <w:rPr>
          <w:bCs/>
        </w:rPr>
        <w:t>3</w:t>
      </w:r>
      <w:r w:rsidRPr="00190259">
        <w:rPr>
          <w:bCs/>
        </w:rPr>
        <w:t>、基金托管协议是界定基金托管人和基金管理人在基金财产保管及基金运作监督等活动中的权利、义</w:t>
      </w:r>
      <w:r w:rsidRPr="002F0DA6">
        <w:rPr>
          <w:bCs/>
        </w:rPr>
        <w:t>务关系的法律文件。</w:t>
      </w:r>
    </w:p>
    <w:p w14:paraId="0FFD087E" w14:textId="77777777" w:rsidR="00BE6383" w:rsidRPr="00B04D7C" w:rsidRDefault="00BE6383" w:rsidP="00BE6383">
      <w:pPr>
        <w:spacing w:line="360" w:lineRule="auto"/>
        <w:ind w:firstLineChars="200" w:firstLine="420"/>
        <w:divId w:val="1122842215"/>
        <w:rPr>
          <w:bCs/>
        </w:rPr>
      </w:pPr>
      <w:r w:rsidRPr="00B21DF0">
        <w:rPr>
          <w:rFonts w:hint="eastAsia"/>
          <w:bCs/>
        </w:rPr>
        <w:t>4</w:t>
      </w:r>
      <w:r w:rsidRPr="00B21DF0">
        <w:rPr>
          <w:rFonts w:hint="eastAsia"/>
          <w:bCs/>
        </w:rPr>
        <w:t>、基金产品资料概要是基金招募说明书的摘要文件，用于向投资者提供简明的基金概要信息。《基金</w:t>
      </w:r>
      <w:r w:rsidRPr="00B21DF0">
        <w:rPr>
          <w:bCs/>
        </w:rPr>
        <w:t>合同</w:t>
      </w:r>
      <w:r w:rsidRPr="00B21DF0">
        <w:rPr>
          <w:rFonts w:hint="eastAsia"/>
          <w:bCs/>
        </w:rPr>
        <w:t>》生效</w:t>
      </w:r>
      <w:r w:rsidRPr="00B21DF0">
        <w:rPr>
          <w:bCs/>
        </w:rPr>
        <w:t>后，基金产品资料概要的信息发生重大变更的，基金管理人应当在三个工作日内，更新基金</w:t>
      </w:r>
      <w:r w:rsidRPr="00B21DF0">
        <w:rPr>
          <w:rFonts w:hint="eastAsia"/>
          <w:bCs/>
        </w:rPr>
        <w:t>产品资料</w:t>
      </w:r>
      <w:r w:rsidRPr="00B21DF0">
        <w:rPr>
          <w:bCs/>
        </w:rPr>
        <w:t>概要，并登载在</w:t>
      </w:r>
      <w:r w:rsidRPr="00B21DF0">
        <w:rPr>
          <w:rFonts w:hint="eastAsia"/>
          <w:bCs/>
        </w:rPr>
        <w:t>指定</w:t>
      </w:r>
      <w:r w:rsidRPr="00B21DF0">
        <w:rPr>
          <w:bCs/>
        </w:rPr>
        <w:t>网站</w:t>
      </w:r>
      <w:r w:rsidRPr="00B21DF0">
        <w:rPr>
          <w:rFonts w:hint="eastAsia"/>
          <w:bCs/>
        </w:rPr>
        <w:t>及基金</w:t>
      </w:r>
      <w:r w:rsidRPr="00B21DF0">
        <w:rPr>
          <w:bCs/>
        </w:rPr>
        <w:t>销售机构网站</w:t>
      </w:r>
      <w:r w:rsidRPr="00B21DF0">
        <w:rPr>
          <w:rFonts w:hint="eastAsia"/>
          <w:bCs/>
        </w:rPr>
        <w:t>或</w:t>
      </w:r>
      <w:r w:rsidRPr="00B21DF0">
        <w:rPr>
          <w:bCs/>
        </w:rPr>
        <w:t>营业网点；基金</w:t>
      </w:r>
      <w:r w:rsidRPr="00B21DF0">
        <w:rPr>
          <w:rFonts w:hint="eastAsia"/>
          <w:bCs/>
        </w:rPr>
        <w:t>产品资料</w:t>
      </w:r>
      <w:r w:rsidRPr="00B21DF0">
        <w:rPr>
          <w:bCs/>
        </w:rPr>
        <w:t>概要其他信息发生变更的，基金管理人至少每年更新一次</w:t>
      </w:r>
      <w:r w:rsidRPr="00B21DF0">
        <w:rPr>
          <w:rFonts w:hint="eastAsia"/>
          <w:bCs/>
        </w:rPr>
        <w:t>。</w:t>
      </w:r>
      <w:r w:rsidRPr="00B21DF0">
        <w:rPr>
          <w:bCs/>
        </w:rPr>
        <w:t>基金终止运作的，基金管理人不</w:t>
      </w:r>
      <w:r w:rsidRPr="00B21DF0">
        <w:rPr>
          <w:rFonts w:hint="eastAsia"/>
          <w:bCs/>
        </w:rPr>
        <w:t>再</w:t>
      </w:r>
      <w:r w:rsidRPr="00B21DF0">
        <w:rPr>
          <w:bCs/>
        </w:rPr>
        <w:t>更新基金</w:t>
      </w:r>
      <w:r w:rsidRPr="00B21DF0">
        <w:rPr>
          <w:rFonts w:hint="eastAsia"/>
          <w:bCs/>
        </w:rPr>
        <w:t>产品资料</w:t>
      </w:r>
      <w:r w:rsidRPr="00B21DF0">
        <w:rPr>
          <w:bCs/>
        </w:rPr>
        <w:t>概要。</w:t>
      </w:r>
    </w:p>
    <w:p w14:paraId="793B8723" w14:textId="77777777" w:rsidR="00BE6383" w:rsidRPr="00190259" w:rsidRDefault="00BE6383" w:rsidP="00BE6383">
      <w:pPr>
        <w:spacing w:line="360" w:lineRule="auto"/>
        <w:ind w:firstLineChars="200" w:firstLine="420"/>
        <w:divId w:val="1122842215"/>
        <w:rPr>
          <w:bCs/>
        </w:rPr>
      </w:pPr>
      <w:r w:rsidRPr="002F0DA6">
        <w:rPr>
          <w:bCs/>
        </w:rPr>
        <w:t>基金募集申请经中国证监会</w:t>
      </w:r>
      <w:r w:rsidRPr="002F0DA6">
        <w:rPr>
          <w:rFonts w:hint="eastAsia"/>
          <w:bCs/>
        </w:rPr>
        <w:t>注册</w:t>
      </w:r>
      <w:r w:rsidRPr="002F0DA6">
        <w:rPr>
          <w:bCs/>
        </w:rPr>
        <w:t>后，基</w:t>
      </w:r>
      <w:r w:rsidRPr="00190259">
        <w:rPr>
          <w:bCs/>
        </w:rPr>
        <w:t>金管理人在基金份额发售的</w:t>
      </w:r>
      <w:r w:rsidRPr="00190259">
        <w:rPr>
          <w:bCs/>
        </w:rPr>
        <w:t>3</w:t>
      </w:r>
      <w:r w:rsidRPr="00190259">
        <w:rPr>
          <w:bCs/>
        </w:rPr>
        <w:t>日前，将基金招募说明书、《基金合同》摘要登载在指定</w:t>
      </w:r>
      <w:r>
        <w:rPr>
          <w:bCs/>
        </w:rPr>
        <w:t>媒介</w:t>
      </w:r>
      <w:r w:rsidRPr="00190259">
        <w:rPr>
          <w:bCs/>
        </w:rPr>
        <w:t>上；基金管理人、基金托管人应当将《基金合同》、基金托管协议登载在网站上。</w:t>
      </w:r>
    </w:p>
    <w:p w14:paraId="7BBC40D9" w14:textId="77777777" w:rsidR="00BE6383" w:rsidRPr="00190259" w:rsidRDefault="00BE6383" w:rsidP="00BE6383">
      <w:pPr>
        <w:spacing w:line="360" w:lineRule="auto"/>
        <w:ind w:firstLineChars="200" w:firstLine="420"/>
        <w:divId w:val="1122842215"/>
        <w:rPr>
          <w:bCs/>
        </w:rPr>
      </w:pPr>
      <w:r w:rsidRPr="00190259">
        <w:rPr>
          <w:bCs/>
        </w:rPr>
        <w:t>（二）基金份额发售公告</w:t>
      </w:r>
    </w:p>
    <w:p w14:paraId="0010BDD8" w14:textId="77777777" w:rsidR="00BE6383" w:rsidRPr="00190259" w:rsidRDefault="00BE6383" w:rsidP="00BE6383">
      <w:pPr>
        <w:spacing w:line="360" w:lineRule="auto"/>
        <w:ind w:firstLineChars="200" w:firstLine="420"/>
        <w:divId w:val="1122842215"/>
        <w:rPr>
          <w:bCs/>
        </w:rPr>
      </w:pPr>
      <w:r w:rsidRPr="00190259">
        <w:rPr>
          <w:bCs/>
        </w:rPr>
        <w:t>基金管理人应当就基金份额发售的具体事宜编制基金份额发售公告，并在披露招募说明书的当日登载于指定</w:t>
      </w:r>
      <w:r>
        <w:rPr>
          <w:bCs/>
        </w:rPr>
        <w:t>媒介</w:t>
      </w:r>
      <w:r w:rsidRPr="00190259">
        <w:rPr>
          <w:bCs/>
        </w:rPr>
        <w:t>上。</w:t>
      </w:r>
    </w:p>
    <w:p w14:paraId="1D4FC86F" w14:textId="77777777" w:rsidR="00BE6383" w:rsidRPr="00190259" w:rsidRDefault="00BE6383" w:rsidP="00BE6383">
      <w:pPr>
        <w:spacing w:line="360" w:lineRule="auto"/>
        <w:ind w:firstLineChars="200" w:firstLine="420"/>
        <w:divId w:val="1122842215"/>
        <w:rPr>
          <w:bCs/>
        </w:rPr>
      </w:pPr>
      <w:r w:rsidRPr="00190259">
        <w:rPr>
          <w:bCs/>
        </w:rPr>
        <w:t>（三）《基金合同》生效公告</w:t>
      </w:r>
    </w:p>
    <w:p w14:paraId="18C91050" w14:textId="77777777" w:rsidR="00BE6383" w:rsidRPr="00190259" w:rsidRDefault="00BE6383" w:rsidP="00BE6383">
      <w:pPr>
        <w:spacing w:line="360" w:lineRule="auto"/>
        <w:ind w:firstLineChars="200" w:firstLine="420"/>
        <w:divId w:val="1122842215"/>
        <w:rPr>
          <w:bCs/>
        </w:rPr>
      </w:pPr>
      <w:r w:rsidRPr="00190259">
        <w:rPr>
          <w:bCs/>
        </w:rPr>
        <w:lastRenderedPageBreak/>
        <w:t>基金管理人应当在收到中国证监会确认文件的次日在指定</w:t>
      </w:r>
      <w:r>
        <w:rPr>
          <w:bCs/>
        </w:rPr>
        <w:t>媒介</w:t>
      </w:r>
      <w:r w:rsidRPr="00190259">
        <w:rPr>
          <w:bCs/>
        </w:rPr>
        <w:t>上登载《基金合同》生效公告。</w:t>
      </w:r>
    </w:p>
    <w:p w14:paraId="748380D6" w14:textId="77777777" w:rsidR="00BE6383" w:rsidRPr="00190259" w:rsidRDefault="00BE6383" w:rsidP="00BE6383">
      <w:pPr>
        <w:spacing w:line="360" w:lineRule="auto"/>
        <w:ind w:firstLineChars="200" w:firstLine="420"/>
        <w:divId w:val="1122842215"/>
        <w:rPr>
          <w:bCs/>
        </w:rPr>
      </w:pPr>
      <w:r w:rsidRPr="00190259">
        <w:rPr>
          <w:bCs/>
        </w:rPr>
        <w:t>（四）基金</w:t>
      </w:r>
      <w:r w:rsidRPr="00B21DF0">
        <w:rPr>
          <w:rFonts w:hint="eastAsia"/>
          <w:bCs/>
        </w:rPr>
        <w:t>净值信息</w:t>
      </w:r>
    </w:p>
    <w:p w14:paraId="73F27F49" w14:textId="77777777" w:rsidR="00BE6383" w:rsidRPr="0001357B" w:rsidRDefault="00BE6383" w:rsidP="00BE6383">
      <w:pPr>
        <w:spacing w:line="360" w:lineRule="auto"/>
        <w:ind w:firstLineChars="200" w:firstLine="420"/>
        <w:divId w:val="1122842215"/>
        <w:rPr>
          <w:bCs/>
        </w:rPr>
      </w:pPr>
      <w:r w:rsidRPr="0001357B">
        <w:rPr>
          <w:bCs/>
        </w:rPr>
        <w:t>《基金合同》生效后，在开始办理基金份额申购或者赎回前，</w:t>
      </w:r>
      <w:r w:rsidRPr="00B21DF0">
        <w:rPr>
          <w:bCs/>
        </w:rPr>
        <w:t>基金管理人应当至少每周</w:t>
      </w:r>
      <w:r w:rsidRPr="00B21DF0">
        <w:rPr>
          <w:rFonts w:hint="eastAsia"/>
          <w:bCs/>
        </w:rPr>
        <w:t>在</w:t>
      </w:r>
      <w:r w:rsidRPr="00B21DF0">
        <w:rPr>
          <w:bCs/>
        </w:rPr>
        <w:t>指定网站披露一次基金</w:t>
      </w:r>
      <w:r w:rsidRPr="00B21DF0">
        <w:rPr>
          <w:rFonts w:hint="eastAsia"/>
          <w:bCs/>
        </w:rPr>
        <w:t>份额</w:t>
      </w:r>
      <w:r w:rsidRPr="00B21DF0">
        <w:rPr>
          <w:bCs/>
        </w:rPr>
        <w:t>净值和基金份额</w:t>
      </w:r>
      <w:r w:rsidRPr="00B21DF0">
        <w:rPr>
          <w:rFonts w:hint="eastAsia"/>
          <w:bCs/>
        </w:rPr>
        <w:t>累计</w:t>
      </w:r>
      <w:r w:rsidRPr="00B21DF0">
        <w:rPr>
          <w:bCs/>
        </w:rPr>
        <w:t>净值</w:t>
      </w:r>
      <w:r w:rsidRPr="0001357B">
        <w:rPr>
          <w:bCs/>
        </w:rPr>
        <w:t>。</w:t>
      </w:r>
    </w:p>
    <w:p w14:paraId="390A02F0" w14:textId="77777777" w:rsidR="00BE6383" w:rsidRPr="0001357B" w:rsidRDefault="00BE6383" w:rsidP="00BE6383">
      <w:pPr>
        <w:spacing w:line="360" w:lineRule="auto"/>
        <w:ind w:firstLineChars="200" w:firstLine="420"/>
        <w:divId w:val="1122842215"/>
        <w:rPr>
          <w:bCs/>
        </w:rPr>
      </w:pPr>
      <w:r w:rsidRPr="0001357B">
        <w:rPr>
          <w:bCs/>
        </w:rPr>
        <w:t>在开始办理基金份额申购或者赎回后，</w:t>
      </w:r>
      <w:r w:rsidRPr="00B21DF0">
        <w:rPr>
          <w:bCs/>
        </w:rPr>
        <w:t>基金管理人应当在</w:t>
      </w:r>
      <w:r w:rsidRPr="00B21DF0">
        <w:rPr>
          <w:rFonts w:hint="eastAsia"/>
          <w:bCs/>
        </w:rPr>
        <w:t>不晚于</w:t>
      </w:r>
      <w:r w:rsidRPr="00B21DF0">
        <w:rPr>
          <w:bCs/>
        </w:rPr>
        <w:t>每个开放日的次日，通过指定网站、基金销售机构网站或</w:t>
      </w:r>
      <w:r>
        <w:rPr>
          <w:bCs/>
        </w:rPr>
        <w:t>者</w:t>
      </w:r>
      <w:r w:rsidRPr="00B21DF0">
        <w:rPr>
          <w:bCs/>
        </w:rPr>
        <w:t>营业网点披露开放日的基金份额净值和基金份额累计净值。</w:t>
      </w:r>
    </w:p>
    <w:p w14:paraId="501F8EEC" w14:textId="77777777" w:rsidR="00BE6383" w:rsidRPr="00190259" w:rsidRDefault="00BE6383" w:rsidP="00BE6383">
      <w:pPr>
        <w:spacing w:line="360" w:lineRule="auto"/>
        <w:ind w:firstLineChars="200" w:firstLine="420"/>
        <w:divId w:val="1122842215"/>
        <w:rPr>
          <w:bCs/>
        </w:rPr>
      </w:pPr>
      <w:r w:rsidRPr="00B21DF0">
        <w:rPr>
          <w:bCs/>
        </w:rPr>
        <w:t>基金管理人应当</w:t>
      </w:r>
      <w:r w:rsidRPr="00B21DF0">
        <w:rPr>
          <w:rFonts w:hint="eastAsia"/>
          <w:bCs/>
        </w:rPr>
        <w:t>在</w:t>
      </w:r>
      <w:r w:rsidRPr="00B21DF0">
        <w:rPr>
          <w:bCs/>
        </w:rPr>
        <w:t>不晚于半年度和年度最后一日</w:t>
      </w:r>
      <w:r w:rsidRPr="00B21DF0">
        <w:rPr>
          <w:rFonts w:hint="eastAsia"/>
          <w:bCs/>
        </w:rPr>
        <w:t>的</w:t>
      </w:r>
      <w:r w:rsidRPr="00B21DF0">
        <w:rPr>
          <w:bCs/>
        </w:rPr>
        <w:t>次日，在指定网站披露半年度和年度最后一日的基金</w:t>
      </w:r>
      <w:r w:rsidRPr="00B21DF0">
        <w:rPr>
          <w:rFonts w:hint="eastAsia"/>
          <w:bCs/>
        </w:rPr>
        <w:t>份额</w:t>
      </w:r>
      <w:r w:rsidRPr="00B21DF0">
        <w:rPr>
          <w:bCs/>
        </w:rPr>
        <w:t>净值和基金份额</w:t>
      </w:r>
      <w:r w:rsidRPr="00B21DF0">
        <w:rPr>
          <w:rFonts w:hint="eastAsia"/>
          <w:bCs/>
        </w:rPr>
        <w:t>累计</w:t>
      </w:r>
      <w:r w:rsidRPr="00B21DF0">
        <w:rPr>
          <w:bCs/>
        </w:rPr>
        <w:t>净值。</w:t>
      </w:r>
    </w:p>
    <w:p w14:paraId="65BAD67D" w14:textId="77777777" w:rsidR="00BE6383" w:rsidRPr="00190259" w:rsidRDefault="00BE6383" w:rsidP="00BE6383">
      <w:pPr>
        <w:spacing w:line="360" w:lineRule="auto"/>
        <w:ind w:firstLineChars="200" w:firstLine="420"/>
        <w:divId w:val="1122842215"/>
        <w:rPr>
          <w:bCs/>
        </w:rPr>
      </w:pPr>
      <w:r w:rsidRPr="00190259">
        <w:rPr>
          <w:bCs/>
        </w:rPr>
        <w:t>（五）基金份额申购、赎回价格</w:t>
      </w:r>
    </w:p>
    <w:p w14:paraId="4BC362AF" w14:textId="77777777" w:rsidR="00BE6383" w:rsidRPr="00190259" w:rsidRDefault="00BE6383" w:rsidP="00BE6383">
      <w:pPr>
        <w:spacing w:line="360" w:lineRule="auto"/>
        <w:ind w:firstLineChars="200" w:firstLine="420"/>
        <w:divId w:val="1122842215"/>
        <w:rPr>
          <w:bCs/>
        </w:rPr>
      </w:pPr>
      <w:r w:rsidRPr="00190259">
        <w:rPr>
          <w:bCs/>
        </w:rPr>
        <w:t>基金管理人应当在《基金合同》、招募说明书等信息披露文件上载明基金份额申购、赎回价格的计算方式及有关申购、赎回费率，</w:t>
      </w:r>
      <w:r w:rsidRPr="00B21DF0">
        <w:rPr>
          <w:bCs/>
        </w:rPr>
        <w:t>并保证投资者能够在基金</w:t>
      </w:r>
      <w:r w:rsidRPr="00B21DF0">
        <w:rPr>
          <w:rFonts w:hint="eastAsia"/>
          <w:bCs/>
        </w:rPr>
        <w:t>销售机构</w:t>
      </w:r>
      <w:r w:rsidRPr="00B21DF0">
        <w:rPr>
          <w:bCs/>
        </w:rPr>
        <w:t>网</w:t>
      </w:r>
      <w:r>
        <w:rPr>
          <w:bCs/>
        </w:rPr>
        <w:t>站</w:t>
      </w:r>
      <w:r w:rsidRPr="00B21DF0">
        <w:rPr>
          <w:bCs/>
        </w:rPr>
        <w:t>或营业网点查阅或者复制前述信息资料。</w:t>
      </w:r>
    </w:p>
    <w:p w14:paraId="21ADB548" w14:textId="77777777" w:rsidR="00BE6383" w:rsidRPr="00190259" w:rsidRDefault="00BE6383" w:rsidP="00BE6383">
      <w:pPr>
        <w:spacing w:line="360" w:lineRule="auto"/>
        <w:ind w:firstLineChars="200" w:firstLine="420"/>
        <w:divId w:val="1122842215"/>
        <w:rPr>
          <w:bCs/>
        </w:rPr>
      </w:pPr>
      <w:r w:rsidRPr="00190259">
        <w:rPr>
          <w:bCs/>
        </w:rPr>
        <w:t>（六）</w:t>
      </w:r>
      <w:r w:rsidRPr="00B21DF0">
        <w:rPr>
          <w:bCs/>
        </w:rPr>
        <w:t>基金定期报告，包括基金年度报告、基金</w:t>
      </w:r>
      <w:r w:rsidRPr="00B21DF0">
        <w:rPr>
          <w:rFonts w:hint="eastAsia"/>
          <w:bCs/>
        </w:rPr>
        <w:t>中期</w:t>
      </w:r>
      <w:r w:rsidRPr="00B21DF0">
        <w:rPr>
          <w:bCs/>
        </w:rPr>
        <w:t>报告和基金季度报告</w:t>
      </w:r>
    </w:p>
    <w:p w14:paraId="20105F9A" w14:textId="77777777" w:rsidR="00BE6383" w:rsidRPr="00B21DF0" w:rsidRDefault="00BE6383" w:rsidP="00BE6383">
      <w:pPr>
        <w:spacing w:line="360" w:lineRule="auto"/>
        <w:ind w:firstLineChars="200" w:firstLine="420"/>
        <w:divId w:val="1122842215"/>
        <w:rPr>
          <w:bCs/>
        </w:rPr>
      </w:pPr>
      <w:r w:rsidRPr="00B21DF0">
        <w:rPr>
          <w:bCs/>
        </w:rPr>
        <w:t>基金管理人应当在每年结束之日起</w:t>
      </w:r>
      <w:r w:rsidRPr="00B21DF0">
        <w:rPr>
          <w:rFonts w:hint="eastAsia"/>
          <w:bCs/>
        </w:rPr>
        <w:t>三个月</w:t>
      </w:r>
      <w:r w:rsidRPr="00B21DF0">
        <w:rPr>
          <w:bCs/>
        </w:rPr>
        <w:t>内，编制完成基金年度报告，将年度报告</w:t>
      </w:r>
      <w:r w:rsidRPr="00B21DF0">
        <w:rPr>
          <w:rFonts w:hint="eastAsia"/>
          <w:bCs/>
        </w:rPr>
        <w:t>登载</w:t>
      </w:r>
      <w:r w:rsidRPr="00B21DF0">
        <w:rPr>
          <w:bCs/>
        </w:rPr>
        <w:t>在指定网站上，</w:t>
      </w:r>
      <w:r w:rsidRPr="00B21DF0">
        <w:rPr>
          <w:rFonts w:hint="eastAsia"/>
          <w:bCs/>
        </w:rPr>
        <w:t>并</w:t>
      </w:r>
      <w:r w:rsidRPr="00B21DF0">
        <w:rPr>
          <w:bCs/>
        </w:rPr>
        <w:t>将年度报告提示性公告登载在指定报刊上。基金年度报告</w:t>
      </w:r>
      <w:r w:rsidRPr="00B21DF0">
        <w:rPr>
          <w:rFonts w:hint="eastAsia"/>
          <w:bCs/>
        </w:rPr>
        <w:t>中</w:t>
      </w:r>
      <w:r w:rsidRPr="00B21DF0">
        <w:rPr>
          <w:bCs/>
        </w:rPr>
        <w:t>的财务会计报告应当经过</w:t>
      </w:r>
      <w:r w:rsidRPr="00B21DF0">
        <w:rPr>
          <w:rFonts w:hint="eastAsia"/>
          <w:bCs/>
        </w:rPr>
        <w:t>具有</w:t>
      </w:r>
      <w:r w:rsidRPr="00B21DF0">
        <w:rPr>
          <w:bCs/>
        </w:rPr>
        <w:t>证券、期货相关业务资格的会计师事务所审计。</w:t>
      </w:r>
    </w:p>
    <w:p w14:paraId="2F30659F" w14:textId="77777777" w:rsidR="00BE6383" w:rsidRPr="00B21DF0" w:rsidRDefault="00BE6383" w:rsidP="00BE6383">
      <w:pPr>
        <w:spacing w:line="360" w:lineRule="auto"/>
        <w:ind w:firstLineChars="200" w:firstLine="420"/>
        <w:divId w:val="1122842215"/>
        <w:rPr>
          <w:bCs/>
        </w:rPr>
      </w:pPr>
      <w:r w:rsidRPr="00B21DF0">
        <w:rPr>
          <w:bCs/>
        </w:rPr>
        <w:t>基金管理人应当在上半年结束之日起</w:t>
      </w:r>
      <w:r w:rsidRPr="00B21DF0">
        <w:rPr>
          <w:rFonts w:hint="eastAsia"/>
          <w:bCs/>
        </w:rPr>
        <w:t>两个月</w:t>
      </w:r>
      <w:r w:rsidRPr="00B21DF0">
        <w:rPr>
          <w:bCs/>
        </w:rPr>
        <w:t>内，编制完成基金</w:t>
      </w:r>
      <w:r w:rsidRPr="00B21DF0">
        <w:rPr>
          <w:rFonts w:hint="eastAsia"/>
          <w:bCs/>
        </w:rPr>
        <w:t>中期</w:t>
      </w:r>
      <w:r w:rsidRPr="00B21DF0">
        <w:rPr>
          <w:bCs/>
        </w:rPr>
        <w:t>报告，将</w:t>
      </w:r>
      <w:r w:rsidRPr="00B21DF0">
        <w:rPr>
          <w:rFonts w:hint="eastAsia"/>
          <w:bCs/>
        </w:rPr>
        <w:t>中期</w:t>
      </w:r>
      <w:r w:rsidRPr="00B21DF0">
        <w:rPr>
          <w:bCs/>
        </w:rPr>
        <w:t>报告登载在</w:t>
      </w:r>
      <w:r w:rsidRPr="00B21DF0">
        <w:rPr>
          <w:rFonts w:hint="eastAsia"/>
          <w:bCs/>
        </w:rPr>
        <w:t>指定</w:t>
      </w:r>
      <w:r w:rsidRPr="00B21DF0">
        <w:rPr>
          <w:bCs/>
        </w:rPr>
        <w:t>网站上，</w:t>
      </w:r>
      <w:r w:rsidRPr="00B21DF0">
        <w:rPr>
          <w:rFonts w:hint="eastAsia"/>
          <w:bCs/>
        </w:rPr>
        <w:t>并</w:t>
      </w:r>
      <w:r w:rsidRPr="00B21DF0">
        <w:rPr>
          <w:bCs/>
        </w:rPr>
        <w:t>将</w:t>
      </w:r>
      <w:r w:rsidRPr="00B21DF0">
        <w:rPr>
          <w:rFonts w:hint="eastAsia"/>
          <w:bCs/>
        </w:rPr>
        <w:t>中期</w:t>
      </w:r>
      <w:r w:rsidRPr="00B21DF0">
        <w:rPr>
          <w:bCs/>
        </w:rPr>
        <w:t>报告</w:t>
      </w:r>
      <w:r w:rsidRPr="00B21DF0">
        <w:rPr>
          <w:rFonts w:hint="eastAsia"/>
          <w:bCs/>
        </w:rPr>
        <w:t>提示性</w:t>
      </w:r>
      <w:r w:rsidRPr="00B21DF0">
        <w:rPr>
          <w:bCs/>
        </w:rPr>
        <w:t>公告登载在指定</w:t>
      </w:r>
      <w:r w:rsidRPr="00B21DF0">
        <w:rPr>
          <w:rFonts w:hint="eastAsia"/>
          <w:bCs/>
        </w:rPr>
        <w:t>报刊</w:t>
      </w:r>
      <w:r w:rsidRPr="00B21DF0">
        <w:rPr>
          <w:bCs/>
        </w:rPr>
        <w:t>上。</w:t>
      </w:r>
    </w:p>
    <w:p w14:paraId="6EB753F5" w14:textId="77777777" w:rsidR="00BE6383" w:rsidRPr="00B21DF0" w:rsidRDefault="00BE6383" w:rsidP="00BE6383">
      <w:pPr>
        <w:spacing w:line="360" w:lineRule="auto"/>
        <w:ind w:firstLineChars="200" w:firstLine="420"/>
        <w:divId w:val="1122842215"/>
        <w:rPr>
          <w:bCs/>
        </w:rPr>
      </w:pPr>
      <w:r w:rsidRPr="00B21DF0">
        <w:rPr>
          <w:bCs/>
        </w:rPr>
        <w:t>基金管理人应当在季度结束之日起</w:t>
      </w:r>
      <w:r w:rsidRPr="00B21DF0">
        <w:rPr>
          <w:bCs/>
        </w:rPr>
        <w:t>15</w:t>
      </w:r>
      <w:r w:rsidRPr="00B21DF0">
        <w:rPr>
          <w:bCs/>
        </w:rPr>
        <w:t>个工作日内，编制完成基金季度报告，</w:t>
      </w:r>
      <w:r w:rsidRPr="00B21DF0">
        <w:rPr>
          <w:rFonts w:hint="eastAsia"/>
          <w:bCs/>
        </w:rPr>
        <w:t>将</w:t>
      </w:r>
      <w:r w:rsidRPr="00B21DF0">
        <w:rPr>
          <w:bCs/>
        </w:rPr>
        <w:t>季度报告登载在指定网站上，并将季度报告</w:t>
      </w:r>
      <w:r w:rsidRPr="00B21DF0">
        <w:rPr>
          <w:rFonts w:hint="eastAsia"/>
          <w:bCs/>
        </w:rPr>
        <w:t>提示性</w:t>
      </w:r>
      <w:r w:rsidRPr="00B21DF0">
        <w:rPr>
          <w:bCs/>
        </w:rPr>
        <w:t>公告登载在指定</w:t>
      </w:r>
      <w:r w:rsidRPr="00B21DF0">
        <w:rPr>
          <w:rFonts w:hint="eastAsia"/>
          <w:bCs/>
        </w:rPr>
        <w:t>报刊</w:t>
      </w:r>
      <w:r w:rsidRPr="00B21DF0">
        <w:rPr>
          <w:bCs/>
        </w:rPr>
        <w:t>上。</w:t>
      </w:r>
    </w:p>
    <w:p w14:paraId="0A1CDDFC" w14:textId="77777777" w:rsidR="00BE6383" w:rsidRPr="00B21DF0" w:rsidRDefault="00BE6383" w:rsidP="00BE6383">
      <w:pPr>
        <w:spacing w:line="360" w:lineRule="auto"/>
        <w:ind w:firstLineChars="200" w:firstLine="420"/>
        <w:divId w:val="1122842215"/>
        <w:rPr>
          <w:bCs/>
        </w:rPr>
      </w:pPr>
      <w:r w:rsidRPr="00B21DF0">
        <w:rPr>
          <w:bCs/>
        </w:rPr>
        <w:t>《基金合同》生效不足</w:t>
      </w:r>
      <w:r w:rsidRPr="00B21DF0">
        <w:rPr>
          <w:bCs/>
        </w:rPr>
        <w:t>2</w:t>
      </w:r>
      <w:r w:rsidRPr="00B21DF0">
        <w:rPr>
          <w:bCs/>
        </w:rPr>
        <w:t>个月的，基金管理人可以不编制当期季度报告、</w:t>
      </w:r>
      <w:r w:rsidRPr="00B21DF0">
        <w:rPr>
          <w:rFonts w:hint="eastAsia"/>
          <w:bCs/>
        </w:rPr>
        <w:t>中期</w:t>
      </w:r>
      <w:r w:rsidRPr="00B21DF0">
        <w:rPr>
          <w:bCs/>
        </w:rPr>
        <w:t>报告或者年度报告。</w:t>
      </w:r>
    </w:p>
    <w:p w14:paraId="107CC951" w14:textId="7BE97386" w:rsidR="00BE6383" w:rsidRPr="00B21DF0" w:rsidRDefault="00462AB3" w:rsidP="00BE6383">
      <w:pPr>
        <w:spacing w:line="360" w:lineRule="auto"/>
        <w:ind w:firstLineChars="200" w:firstLine="420"/>
        <w:divId w:val="1122842215"/>
        <w:rPr>
          <w:bCs/>
        </w:rPr>
      </w:pPr>
      <w:r w:rsidRPr="00462AB3">
        <w:rPr>
          <w:rFonts w:hint="eastAsia"/>
          <w:bCs/>
        </w:rPr>
        <w:t>报告期内出现单一投资者持有基金份额达到或超过基金总份额</w:t>
      </w:r>
      <w:r w:rsidRPr="00462AB3">
        <w:rPr>
          <w:rFonts w:hint="eastAsia"/>
          <w:bCs/>
        </w:rPr>
        <w:t>20%</w:t>
      </w:r>
      <w:r w:rsidRPr="00462AB3">
        <w:rPr>
          <w:rFonts w:hint="eastAsia"/>
          <w:bCs/>
        </w:rPr>
        <w:t>的情形，为保障其他投资者的权益，基金管理人至少应当在基金定期报告“影响投资者决策的其他重要信息”项下披露该投资者的类别、报告期末持有份额及占比、报告期内持有份额变化情况及产品的特有风险</w:t>
      </w:r>
      <w:r w:rsidR="00BE6383" w:rsidRPr="00B21DF0">
        <w:rPr>
          <w:bCs/>
        </w:rPr>
        <w:t>。</w:t>
      </w:r>
    </w:p>
    <w:p w14:paraId="1E43E7D1" w14:textId="77777777" w:rsidR="00BE6383" w:rsidRPr="00190259" w:rsidRDefault="00BE6383" w:rsidP="00BE6383">
      <w:pPr>
        <w:spacing w:line="360" w:lineRule="auto"/>
        <w:ind w:firstLineChars="200" w:firstLine="420"/>
        <w:divId w:val="1122842215"/>
        <w:rPr>
          <w:bCs/>
        </w:rPr>
      </w:pPr>
      <w:r w:rsidRPr="00B21DF0">
        <w:rPr>
          <w:bCs/>
        </w:rPr>
        <w:t>基金管理人应当在基金年度报告和</w:t>
      </w:r>
      <w:r w:rsidRPr="00B21DF0">
        <w:rPr>
          <w:rFonts w:hint="eastAsia"/>
          <w:bCs/>
        </w:rPr>
        <w:t>中期</w:t>
      </w:r>
      <w:r w:rsidRPr="00B21DF0">
        <w:rPr>
          <w:bCs/>
        </w:rPr>
        <w:t>报告中披露基金组合资产情况及其流动性风险分析等。</w:t>
      </w:r>
    </w:p>
    <w:p w14:paraId="2E210A07" w14:textId="77777777" w:rsidR="00BE6383" w:rsidRPr="00190259" w:rsidRDefault="00BE6383" w:rsidP="00BE6383">
      <w:pPr>
        <w:spacing w:line="360" w:lineRule="auto"/>
        <w:ind w:firstLineChars="200" w:firstLine="420"/>
        <w:divId w:val="1122842215"/>
        <w:rPr>
          <w:bCs/>
        </w:rPr>
      </w:pPr>
      <w:r w:rsidRPr="00190259">
        <w:rPr>
          <w:bCs/>
        </w:rPr>
        <w:t>（七）临时报告</w:t>
      </w:r>
    </w:p>
    <w:p w14:paraId="448A84DC" w14:textId="77777777" w:rsidR="00BE6383" w:rsidRPr="0001357B" w:rsidRDefault="00BE6383" w:rsidP="00BE6383">
      <w:pPr>
        <w:spacing w:line="360" w:lineRule="auto"/>
        <w:ind w:firstLineChars="200" w:firstLine="420"/>
        <w:divId w:val="1122842215"/>
        <w:rPr>
          <w:bCs/>
        </w:rPr>
      </w:pPr>
      <w:r w:rsidRPr="0001357B">
        <w:rPr>
          <w:bCs/>
        </w:rPr>
        <w:t>本基金发生重大事件，有关信息披露义务人应当在</w:t>
      </w:r>
      <w:r w:rsidRPr="0001357B">
        <w:rPr>
          <w:bCs/>
        </w:rPr>
        <w:t>2</w:t>
      </w:r>
      <w:r w:rsidRPr="0001357B">
        <w:rPr>
          <w:bCs/>
        </w:rPr>
        <w:t>日内编制临时报告书，</w:t>
      </w:r>
      <w:r w:rsidRPr="00B21DF0">
        <w:rPr>
          <w:rFonts w:hint="eastAsia"/>
          <w:bCs/>
        </w:rPr>
        <w:t>并登载</w:t>
      </w:r>
      <w:r w:rsidRPr="00B21DF0">
        <w:rPr>
          <w:bCs/>
        </w:rPr>
        <w:t>在指定报刊和指定网站上。</w:t>
      </w:r>
    </w:p>
    <w:p w14:paraId="1117CF5B" w14:textId="77777777" w:rsidR="00BE6383" w:rsidRPr="0001357B" w:rsidRDefault="00BE6383" w:rsidP="00BE6383">
      <w:pPr>
        <w:spacing w:line="360" w:lineRule="auto"/>
        <w:ind w:firstLineChars="200" w:firstLine="420"/>
        <w:divId w:val="1122842215"/>
        <w:rPr>
          <w:bCs/>
        </w:rPr>
      </w:pPr>
      <w:r w:rsidRPr="0001357B">
        <w:rPr>
          <w:bCs/>
        </w:rPr>
        <w:lastRenderedPageBreak/>
        <w:t>前款所称重大事件，是指可能对基金份额持有人权益或者基金份额的价格产生重大影响的下列事件：</w:t>
      </w:r>
    </w:p>
    <w:p w14:paraId="597A8AF5" w14:textId="77777777" w:rsidR="00BE6383" w:rsidRPr="00B21DF0" w:rsidRDefault="00BE6383" w:rsidP="00BE6383">
      <w:pPr>
        <w:spacing w:line="360" w:lineRule="auto"/>
        <w:ind w:firstLineChars="200" w:firstLine="420"/>
        <w:divId w:val="1122842215"/>
        <w:rPr>
          <w:bCs/>
        </w:rPr>
      </w:pPr>
      <w:r w:rsidRPr="00B21DF0">
        <w:rPr>
          <w:bCs/>
        </w:rPr>
        <w:t>1</w:t>
      </w:r>
      <w:r w:rsidRPr="00B21DF0">
        <w:rPr>
          <w:bCs/>
        </w:rPr>
        <w:t>、基金份额持有人大会的召开</w:t>
      </w:r>
      <w:r w:rsidRPr="00B21DF0">
        <w:rPr>
          <w:rFonts w:hint="eastAsia"/>
          <w:bCs/>
        </w:rPr>
        <w:t>及</w:t>
      </w:r>
      <w:r w:rsidRPr="00B21DF0">
        <w:rPr>
          <w:bCs/>
        </w:rPr>
        <w:t>决定的事项；</w:t>
      </w:r>
    </w:p>
    <w:p w14:paraId="4D31BBFC" w14:textId="77777777" w:rsidR="00BE6383" w:rsidRPr="00B21DF0" w:rsidRDefault="00BE6383" w:rsidP="00BE6383">
      <w:pPr>
        <w:spacing w:line="360" w:lineRule="auto"/>
        <w:ind w:firstLineChars="200" w:firstLine="420"/>
        <w:divId w:val="1122842215"/>
        <w:rPr>
          <w:bCs/>
        </w:rPr>
      </w:pPr>
      <w:r w:rsidRPr="00B21DF0">
        <w:rPr>
          <w:bCs/>
        </w:rPr>
        <w:t>2</w:t>
      </w:r>
      <w:r w:rsidRPr="00B21DF0">
        <w:rPr>
          <w:bCs/>
        </w:rPr>
        <w:t>、</w:t>
      </w:r>
      <w:r w:rsidRPr="00B21DF0">
        <w:rPr>
          <w:rFonts w:hint="eastAsia"/>
          <w:bCs/>
        </w:rPr>
        <w:t>基金合同</w:t>
      </w:r>
      <w:r w:rsidRPr="00B21DF0">
        <w:rPr>
          <w:bCs/>
        </w:rPr>
        <w:t>终止、基金清算；</w:t>
      </w:r>
    </w:p>
    <w:p w14:paraId="08058A5E" w14:textId="77777777" w:rsidR="00BE6383" w:rsidRPr="00B21DF0" w:rsidRDefault="00BE6383" w:rsidP="00BE6383">
      <w:pPr>
        <w:spacing w:line="360" w:lineRule="auto"/>
        <w:ind w:firstLineChars="200" w:firstLine="420"/>
        <w:divId w:val="1122842215"/>
        <w:rPr>
          <w:bCs/>
        </w:rPr>
      </w:pPr>
      <w:r w:rsidRPr="00B21DF0">
        <w:rPr>
          <w:bCs/>
        </w:rPr>
        <w:t>3</w:t>
      </w:r>
      <w:r w:rsidRPr="00B21DF0">
        <w:rPr>
          <w:bCs/>
        </w:rPr>
        <w:t>、转换基金运作方式</w:t>
      </w:r>
      <w:r w:rsidRPr="00B21DF0">
        <w:rPr>
          <w:rFonts w:hint="eastAsia"/>
          <w:bCs/>
        </w:rPr>
        <w:t>、</w:t>
      </w:r>
      <w:r w:rsidRPr="00B21DF0">
        <w:rPr>
          <w:bCs/>
        </w:rPr>
        <w:t>基金合并；</w:t>
      </w:r>
    </w:p>
    <w:p w14:paraId="5799E721" w14:textId="77777777" w:rsidR="00BE6383" w:rsidRPr="00B21DF0" w:rsidRDefault="00BE6383" w:rsidP="00BE6383">
      <w:pPr>
        <w:spacing w:line="360" w:lineRule="auto"/>
        <w:ind w:firstLineChars="200" w:firstLine="420"/>
        <w:divId w:val="1122842215"/>
        <w:rPr>
          <w:bCs/>
        </w:rPr>
      </w:pPr>
      <w:r w:rsidRPr="00B21DF0">
        <w:rPr>
          <w:bCs/>
        </w:rPr>
        <w:t>4</w:t>
      </w:r>
      <w:r w:rsidRPr="00B21DF0">
        <w:rPr>
          <w:bCs/>
        </w:rPr>
        <w:t>、更换基金管理人、基金托管人</w:t>
      </w:r>
      <w:r w:rsidRPr="00B21DF0">
        <w:rPr>
          <w:rFonts w:hint="eastAsia"/>
          <w:bCs/>
        </w:rPr>
        <w:t>、基金份额登记机构，基金改聘会计师事务所</w:t>
      </w:r>
      <w:r w:rsidRPr="00B21DF0">
        <w:rPr>
          <w:bCs/>
        </w:rPr>
        <w:t>；</w:t>
      </w:r>
    </w:p>
    <w:p w14:paraId="4644B28E" w14:textId="77777777" w:rsidR="00BE6383" w:rsidRPr="00B21DF0" w:rsidRDefault="00BE6383" w:rsidP="00BE6383">
      <w:pPr>
        <w:spacing w:line="360" w:lineRule="auto"/>
        <w:ind w:firstLineChars="200" w:firstLine="420"/>
        <w:divId w:val="1122842215"/>
        <w:rPr>
          <w:bCs/>
        </w:rPr>
      </w:pPr>
      <w:r w:rsidRPr="00B21DF0">
        <w:rPr>
          <w:rFonts w:hint="eastAsia"/>
          <w:bCs/>
        </w:rPr>
        <w:t>5</w:t>
      </w:r>
      <w:r w:rsidRPr="00B21DF0">
        <w:rPr>
          <w:rFonts w:hint="eastAsia"/>
          <w:bCs/>
        </w:rPr>
        <w:t>、基金管理人委托基金服务机构代为办理基金的份额登记、核算、估值等事项，基金托管人委托基金服务机构代为办理基金的核算、估值、复核等事项；</w:t>
      </w:r>
    </w:p>
    <w:p w14:paraId="5482DC0F" w14:textId="77777777" w:rsidR="00BE6383" w:rsidRPr="00B21DF0" w:rsidRDefault="00BE6383" w:rsidP="00BE6383">
      <w:pPr>
        <w:spacing w:line="360" w:lineRule="auto"/>
        <w:ind w:firstLineChars="200" w:firstLine="420"/>
        <w:divId w:val="1122842215"/>
        <w:rPr>
          <w:bCs/>
        </w:rPr>
      </w:pPr>
      <w:r w:rsidRPr="00B21DF0">
        <w:rPr>
          <w:bCs/>
        </w:rPr>
        <w:t>6</w:t>
      </w:r>
      <w:r w:rsidRPr="00B21DF0">
        <w:rPr>
          <w:bCs/>
        </w:rPr>
        <w:t>、基金管理人、基金托管人的法定名称、住所发生变更；</w:t>
      </w:r>
    </w:p>
    <w:p w14:paraId="3B41098F" w14:textId="77777777" w:rsidR="00BE6383" w:rsidRPr="00B21DF0" w:rsidRDefault="00BE6383" w:rsidP="00BE6383">
      <w:pPr>
        <w:spacing w:line="360" w:lineRule="auto"/>
        <w:ind w:firstLineChars="200" w:firstLine="420"/>
        <w:divId w:val="1122842215"/>
        <w:rPr>
          <w:bCs/>
        </w:rPr>
      </w:pPr>
      <w:r w:rsidRPr="00B21DF0">
        <w:rPr>
          <w:rFonts w:hint="eastAsia"/>
          <w:bCs/>
        </w:rPr>
        <w:t>7</w:t>
      </w:r>
      <w:r w:rsidRPr="00B21DF0">
        <w:rPr>
          <w:rFonts w:hint="eastAsia"/>
          <w:bCs/>
        </w:rPr>
        <w:t>、基金管理人变更持有百分之五以上股权的股东、基金管理人的实际控制人变更；</w:t>
      </w:r>
    </w:p>
    <w:p w14:paraId="4918922F" w14:textId="77777777" w:rsidR="00BE6383" w:rsidRPr="00B21DF0" w:rsidRDefault="00BE6383" w:rsidP="00BE6383">
      <w:pPr>
        <w:spacing w:line="360" w:lineRule="auto"/>
        <w:ind w:firstLineChars="200" w:firstLine="420"/>
        <w:divId w:val="1122842215"/>
        <w:rPr>
          <w:bCs/>
        </w:rPr>
      </w:pPr>
      <w:r w:rsidRPr="00B21DF0">
        <w:rPr>
          <w:rFonts w:hint="eastAsia"/>
          <w:bCs/>
        </w:rPr>
        <w:t>8</w:t>
      </w:r>
      <w:r w:rsidRPr="00B21DF0">
        <w:rPr>
          <w:rFonts w:hint="eastAsia"/>
          <w:bCs/>
        </w:rPr>
        <w:t>、基金募集期延长或提前结束募集；</w:t>
      </w:r>
    </w:p>
    <w:p w14:paraId="4EACE9BE" w14:textId="77777777" w:rsidR="00BE6383" w:rsidRPr="00B21DF0" w:rsidRDefault="00BE6383" w:rsidP="00BE6383">
      <w:pPr>
        <w:spacing w:line="360" w:lineRule="auto"/>
        <w:ind w:firstLineChars="200" w:firstLine="420"/>
        <w:divId w:val="1122842215"/>
        <w:rPr>
          <w:bCs/>
        </w:rPr>
      </w:pPr>
      <w:r w:rsidRPr="00B21DF0">
        <w:rPr>
          <w:rFonts w:hint="eastAsia"/>
          <w:bCs/>
        </w:rPr>
        <w:t>9</w:t>
      </w:r>
      <w:r w:rsidRPr="00B21DF0">
        <w:rPr>
          <w:rFonts w:hint="eastAsia"/>
          <w:bCs/>
        </w:rPr>
        <w:t>、基金管理人高级管理人员、基金经理和基金托管人专门基金托管部门负责人发生变动；</w:t>
      </w:r>
    </w:p>
    <w:p w14:paraId="5A90019A" w14:textId="77777777" w:rsidR="00BE6383" w:rsidRPr="00B21DF0" w:rsidRDefault="00BE6383" w:rsidP="00BE6383">
      <w:pPr>
        <w:spacing w:line="360" w:lineRule="auto"/>
        <w:ind w:firstLineChars="200" w:firstLine="420"/>
        <w:divId w:val="1122842215"/>
        <w:rPr>
          <w:bCs/>
        </w:rPr>
      </w:pPr>
      <w:r w:rsidRPr="00B21DF0">
        <w:rPr>
          <w:bCs/>
        </w:rPr>
        <w:t>10</w:t>
      </w:r>
      <w:r w:rsidRPr="00B21DF0">
        <w:rPr>
          <w:bCs/>
        </w:rPr>
        <w:t>、基金管理人的董事在</w:t>
      </w:r>
      <w:r w:rsidRPr="00B21DF0">
        <w:rPr>
          <w:rFonts w:hint="eastAsia"/>
          <w:bCs/>
        </w:rPr>
        <w:t>最近</w:t>
      </w:r>
      <w:r w:rsidRPr="00B21DF0">
        <w:rPr>
          <w:rFonts w:hint="eastAsia"/>
          <w:bCs/>
        </w:rPr>
        <w:t>12</w:t>
      </w:r>
      <w:r w:rsidRPr="00B21DF0">
        <w:rPr>
          <w:rFonts w:hint="eastAsia"/>
          <w:bCs/>
        </w:rPr>
        <w:t>个月</w:t>
      </w:r>
      <w:r w:rsidRPr="00B21DF0">
        <w:rPr>
          <w:bCs/>
        </w:rPr>
        <w:t>内变更超过百分之五十</w:t>
      </w:r>
      <w:r w:rsidRPr="00B21DF0">
        <w:rPr>
          <w:rFonts w:hint="eastAsia"/>
          <w:bCs/>
        </w:rPr>
        <w:t>，</w:t>
      </w:r>
      <w:r w:rsidRPr="00B21DF0">
        <w:rPr>
          <w:bCs/>
        </w:rPr>
        <w:t>基金管理人、基金托管人</w:t>
      </w:r>
      <w:r w:rsidRPr="00B21DF0">
        <w:rPr>
          <w:rFonts w:hint="eastAsia"/>
          <w:bCs/>
        </w:rPr>
        <w:t>专门</w:t>
      </w:r>
      <w:r w:rsidRPr="00B21DF0">
        <w:rPr>
          <w:bCs/>
        </w:rPr>
        <w:t>基金托管部门的主要业务人员在</w:t>
      </w:r>
      <w:r w:rsidRPr="00B21DF0">
        <w:rPr>
          <w:rFonts w:hint="eastAsia"/>
          <w:bCs/>
        </w:rPr>
        <w:t>最近</w:t>
      </w:r>
      <w:r w:rsidRPr="00B21DF0">
        <w:rPr>
          <w:rFonts w:hint="eastAsia"/>
          <w:bCs/>
        </w:rPr>
        <w:t>12</w:t>
      </w:r>
      <w:r w:rsidRPr="00B21DF0">
        <w:rPr>
          <w:rFonts w:hint="eastAsia"/>
          <w:bCs/>
        </w:rPr>
        <w:t>个月</w:t>
      </w:r>
      <w:r w:rsidRPr="00B21DF0">
        <w:rPr>
          <w:bCs/>
        </w:rPr>
        <w:t>内变动超过百分之三十；</w:t>
      </w:r>
    </w:p>
    <w:p w14:paraId="619A5A25" w14:textId="77777777" w:rsidR="00BE6383" w:rsidRPr="00B21DF0" w:rsidRDefault="00BE6383" w:rsidP="00BE6383">
      <w:pPr>
        <w:spacing w:line="360" w:lineRule="auto"/>
        <w:ind w:firstLineChars="200" w:firstLine="420"/>
        <w:divId w:val="1122842215"/>
        <w:rPr>
          <w:bCs/>
        </w:rPr>
      </w:pPr>
      <w:r w:rsidRPr="00B21DF0">
        <w:rPr>
          <w:bCs/>
        </w:rPr>
        <w:t>11</w:t>
      </w:r>
      <w:r w:rsidRPr="00B21DF0">
        <w:rPr>
          <w:bCs/>
        </w:rPr>
        <w:t>、涉及基金财产、</w:t>
      </w:r>
      <w:r w:rsidRPr="00B21DF0">
        <w:rPr>
          <w:rFonts w:hint="eastAsia"/>
          <w:bCs/>
        </w:rPr>
        <w:t>基金</w:t>
      </w:r>
      <w:r w:rsidRPr="00B21DF0">
        <w:rPr>
          <w:bCs/>
        </w:rPr>
        <w:t>管理业务、基金托管业务的诉讼</w:t>
      </w:r>
      <w:r w:rsidRPr="00B21DF0">
        <w:rPr>
          <w:rFonts w:hint="eastAsia"/>
          <w:bCs/>
        </w:rPr>
        <w:t>或</w:t>
      </w:r>
      <w:r>
        <w:rPr>
          <w:rFonts w:hint="eastAsia"/>
          <w:bCs/>
        </w:rPr>
        <w:t>者</w:t>
      </w:r>
      <w:r w:rsidRPr="00B21DF0">
        <w:rPr>
          <w:rFonts w:hint="eastAsia"/>
          <w:bCs/>
        </w:rPr>
        <w:t>仲裁</w:t>
      </w:r>
      <w:r w:rsidRPr="00B21DF0">
        <w:rPr>
          <w:bCs/>
        </w:rPr>
        <w:t>；</w:t>
      </w:r>
    </w:p>
    <w:p w14:paraId="7981182D" w14:textId="77777777" w:rsidR="00BE6383" w:rsidRPr="00B21DF0" w:rsidRDefault="00BE6383" w:rsidP="00BE6383">
      <w:pPr>
        <w:spacing w:line="360" w:lineRule="auto"/>
        <w:ind w:firstLineChars="200" w:firstLine="420"/>
        <w:divId w:val="1122842215"/>
        <w:rPr>
          <w:bCs/>
        </w:rPr>
      </w:pPr>
      <w:r w:rsidRPr="00B21DF0">
        <w:rPr>
          <w:rFonts w:hint="eastAsia"/>
          <w:bCs/>
        </w:rPr>
        <w:t>12</w:t>
      </w:r>
      <w:r w:rsidRPr="00B21DF0">
        <w:rPr>
          <w:rFonts w:hint="eastAsia"/>
          <w:bCs/>
        </w:rPr>
        <w:t>、基金管理人或其高级管理人员、基金经理因基金管理业务相关行为受到重大行政处罚、刑事处罚，基金托管人或其专门基金托管部门负责人因基金托管业务相关行为受到重大行政处罚、刑事处罚；</w:t>
      </w:r>
    </w:p>
    <w:p w14:paraId="68897546" w14:textId="77777777" w:rsidR="00BE6383" w:rsidRPr="00B21DF0" w:rsidRDefault="00BE6383" w:rsidP="00BE6383">
      <w:pPr>
        <w:spacing w:line="360" w:lineRule="auto"/>
        <w:ind w:firstLineChars="200" w:firstLine="420"/>
        <w:divId w:val="1122842215"/>
        <w:rPr>
          <w:bCs/>
        </w:rPr>
      </w:pPr>
      <w:r w:rsidRPr="00B21DF0">
        <w:rPr>
          <w:rFonts w:hint="eastAsia"/>
          <w:bCs/>
        </w:rPr>
        <w:t>13</w:t>
      </w:r>
      <w:r w:rsidRPr="00B21DF0">
        <w:rPr>
          <w:rFonts w:hint="eastAsia"/>
          <w:bCs/>
        </w:rPr>
        <w:t>、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14:paraId="7C64F33D" w14:textId="77777777" w:rsidR="00BE6383" w:rsidRPr="00B21DF0" w:rsidRDefault="00BE6383" w:rsidP="00BE6383">
      <w:pPr>
        <w:spacing w:line="360" w:lineRule="auto"/>
        <w:ind w:firstLineChars="200" w:firstLine="420"/>
        <w:divId w:val="1122842215"/>
        <w:rPr>
          <w:bCs/>
        </w:rPr>
      </w:pPr>
      <w:r w:rsidRPr="00B21DF0">
        <w:rPr>
          <w:bCs/>
        </w:rPr>
        <w:t>14</w:t>
      </w:r>
      <w:r w:rsidRPr="00B21DF0">
        <w:rPr>
          <w:bCs/>
        </w:rPr>
        <w:t>、基金收益分配事项；</w:t>
      </w:r>
    </w:p>
    <w:p w14:paraId="47D4722E" w14:textId="77777777" w:rsidR="00BE6383" w:rsidRPr="00B21DF0" w:rsidRDefault="00BE6383" w:rsidP="00BE6383">
      <w:pPr>
        <w:spacing w:line="360" w:lineRule="auto"/>
        <w:ind w:firstLineChars="200" w:firstLine="420"/>
        <w:divId w:val="1122842215"/>
        <w:rPr>
          <w:bCs/>
        </w:rPr>
      </w:pPr>
      <w:r w:rsidRPr="00B21DF0">
        <w:rPr>
          <w:bCs/>
        </w:rPr>
        <w:t>15</w:t>
      </w:r>
      <w:r w:rsidRPr="00B21DF0">
        <w:rPr>
          <w:bCs/>
        </w:rPr>
        <w:t>、管理费、托管费</w:t>
      </w:r>
      <w:r w:rsidRPr="00B21DF0">
        <w:rPr>
          <w:rFonts w:hint="eastAsia"/>
          <w:bCs/>
        </w:rPr>
        <w:t>、</w:t>
      </w:r>
      <w:r w:rsidRPr="00B21DF0">
        <w:rPr>
          <w:bCs/>
        </w:rPr>
        <w:t>申购费、赎回费等费用计提标准、计提方式和费率发生变更；</w:t>
      </w:r>
    </w:p>
    <w:p w14:paraId="3C2D34D7" w14:textId="77777777" w:rsidR="00BE6383" w:rsidRPr="00B21DF0" w:rsidRDefault="00BE6383" w:rsidP="00BE6383">
      <w:pPr>
        <w:spacing w:line="360" w:lineRule="auto"/>
        <w:ind w:firstLineChars="200" w:firstLine="420"/>
        <w:divId w:val="1122842215"/>
        <w:rPr>
          <w:bCs/>
        </w:rPr>
      </w:pPr>
      <w:r w:rsidRPr="00B21DF0">
        <w:rPr>
          <w:bCs/>
        </w:rPr>
        <w:t>16</w:t>
      </w:r>
      <w:r w:rsidRPr="00B21DF0">
        <w:rPr>
          <w:bCs/>
        </w:rPr>
        <w:t>、基金份额净值计价错误达基金份额净值百分之零点五；</w:t>
      </w:r>
    </w:p>
    <w:p w14:paraId="2D50E5B0" w14:textId="77777777" w:rsidR="00BE6383" w:rsidRPr="00B21DF0" w:rsidRDefault="00BE6383" w:rsidP="00BE6383">
      <w:pPr>
        <w:spacing w:line="360" w:lineRule="auto"/>
        <w:ind w:firstLineChars="200" w:firstLine="420"/>
        <w:divId w:val="1122842215"/>
        <w:rPr>
          <w:bCs/>
        </w:rPr>
      </w:pPr>
      <w:r w:rsidRPr="00B21DF0">
        <w:rPr>
          <w:bCs/>
        </w:rPr>
        <w:t>17</w:t>
      </w:r>
      <w:r w:rsidRPr="00B21DF0">
        <w:rPr>
          <w:bCs/>
        </w:rPr>
        <w:t>、本基金开始办理申购、赎回；</w:t>
      </w:r>
    </w:p>
    <w:p w14:paraId="138852A7" w14:textId="77777777" w:rsidR="00BE6383" w:rsidRPr="00B21DF0" w:rsidRDefault="00BE6383" w:rsidP="00BE6383">
      <w:pPr>
        <w:spacing w:line="360" w:lineRule="auto"/>
        <w:ind w:firstLineChars="200" w:firstLine="420"/>
        <w:divId w:val="1122842215"/>
        <w:rPr>
          <w:bCs/>
        </w:rPr>
      </w:pPr>
      <w:r w:rsidRPr="00B21DF0">
        <w:rPr>
          <w:bCs/>
        </w:rPr>
        <w:t>18</w:t>
      </w:r>
      <w:r w:rsidRPr="00B21DF0">
        <w:rPr>
          <w:bCs/>
        </w:rPr>
        <w:t>、本基金发生巨额赎回并延期</w:t>
      </w:r>
      <w:r w:rsidRPr="00B21DF0">
        <w:rPr>
          <w:rFonts w:hint="eastAsia"/>
          <w:bCs/>
        </w:rPr>
        <w:t>办理</w:t>
      </w:r>
      <w:r w:rsidRPr="00B21DF0">
        <w:rPr>
          <w:bCs/>
        </w:rPr>
        <w:t>；</w:t>
      </w:r>
    </w:p>
    <w:p w14:paraId="6FD78F9B" w14:textId="77777777" w:rsidR="00BE6383" w:rsidRPr="00B21DF0" w:rsidRDefault="00BE6383" w:rsidP="00BE6383">
      <w:pPr>
        <w:spacing w:line="360" w:lineRule="auto"/>
        <w:ind w:firstLineChars="200" w:firstLine="420"/>
        <w:divId w:val="1122842215"/>
        <w:rPr>
          <w:bCs/>
        </w:rPr>
      </w:pPr>
      <w:r w:rsidRPr="00B21DF0">
        <w:rPr>
          <w:bCs/>
        </w:rPr>
        <w:t>19</w:t>
      </w:r>
      <w:r w:rsidRPr="00B21DF0">
        <w:rPr>
          <w:bCs/>
        </w:rPr>
        <w:t>、本基金连续发生巨额赎回并暂停接受赎回申请或延缓支付赎回款项；</w:t>
      </w:r>
    </w:p>
    <w:p w14:paraId="3BAD1D54" w14:textId="77777777" w:rsidR="00BE6383" w:rsidRDefault="00BE6383" w:rsidP="00BE6383">
      <w:pPr>
        <w:spacing w:line="360" w:lineRule="auto"/>
        <w:ind w:firstLineChars="200" w:firstLine="420"/>
        <w:divId w:val="1122842215"/>
        <w:rPr>
          <w:bCs/>
        </w:rPr>
      </w:pPr>
      <w:r w:rsidRPr="00B21DF0">
        <w:rPr>
          <w:bCs/>
        </w:rPr>
        <w:t>20</w:t>
      </w:r>
      <w:r w:rsidRPr="00B21DF0">
        <w:rPr>
          <w:bCs/>
        </w:rPr>
        <w:t>、本基金暂停接受申购、赎回申请</w:t>
      </w:r>
      <w:r w:rsidRPr="00B21DF0">
        <w:rPr>
          <w:rFonts w:hint="eastAsia"/>
          <w:bCs/>
        </w:rPr>
        <w:t>或</w:t>
      </w:r>
      <w:r w:rsidRPr="00B21DF0">
        <w:rPr>
          <w:bCs/>
        </w:rPr>
        <w:t>重新接受申购、赎回</w:t>
      </w:r>
      <w:r w:rsidRPr="00B21DF0">
        <w:rPr>
          <w:rFonts w:hint="eastAsia"/>
          <w:bCs/>
        </w:rPr>
        <w:t>申请</w:t>
      </w:r>
      <w:r w:rsidRPr="00B21DF0">
        <w:rPr>
          <w:bCs/>
        </w:rPr>
        <w:t>；</w:t>
      </w:r>
    </w:p>
    <w:p w14:paraId="7B4AE845" w14:textId="251EEE12" w:rsidR="00BE6383" w:rsidRPr="00B21DF0" w:rsidRDefault="00BE6383" w:rsidP="00BE6383">
      <w:pPr>
        <w:spacing w:line="360" w:lineRule="auto"/>
        <w:ind w:firstLineChars="200" w:firstLine="420"/>
        <w:divId w:val="1122842215"/>
        <w:rPr>
          <w:bCs/>
        </w:rPr>
      </w:pPr>
      <w:r w:rsidRPr="00B21DF0">
        <w:rPr>
          <w:bCs/>
        </w:rPr>
        <w:t>21</w:t>
      </w:r>
      <w:r w:rsidRPr="00B21DF0">
        <w:rPr>
          <w:bCs/>
        </w:rPr>
        <w:t>、</w:t>
      </w:r>
      <w:r w:rsidR="006D4043">
        <w:rPr>
          <w:bCs/>
        </w:rPr>
        <w:t>本基金</w:t>
      </w:r>
      <w:r w:rsidRPr="00B21DF0">
        <w:rPr>
          <w:bCs/>
        </w:rPr>
        <w:t>发生涉及基金申购、赎回事项调整或潜在影响投资者赎回等重大事项时；</w:t>
      </w:r>
    </w:p>
    <w:p w14:paraId="03BD8739" w14:textId="77777777" w:rsidR="00BE6383" w:rsidRPr="00B21DF0" w:rsidRDefault="00BE6383" w:rsidP="00BE6383">
      <w:pPr>
        <w:spacing w:line="360" w:lineRule="auto"/>
        <w:ind w:firstLineChars="200" w:firstLine="420"/>
        <w:divId w:val="1122842215"/>
        <w:rPr>
          <w:bCs/>
        </w:rPr>
      </w:pPr>
      <w:r w:rsidRPr="00B21DF0">
        <w:rPr>
          <w:bCs/>
        </w:rPr>
        <w:t>22</w:t>
      </w:r>
      <w:r w:rsidRPr="00B21DF0">
        <w:rPr>
          <w:bCs/>
        </w:rPr>
        <w:t>、基金管理人采用摆动定价机制进行估值</w:t>
      </w:r>
      <w:r w:rsidRPr="00B21DF0">
        <w:rPr>
          <w:rFonts w:hint="eastAsia"/>
          <w:bCs/>
        </w:rPr>
        <w:t>；</w:t>
      </w:r>
    </w:p>
    <w:p w14:paraId="18F93568" w14:textId="77777777" w:rsidR="00BE6383" w:rsidRDefault="00BE6383" w:rsidP="00BE6383">
      <w:pPr>
        <w:spacing w:line="360" w:lineRule="auto"/>
        <w:ind w:firstLineChars="200" w:firstLine="420"/>
        <w:divId w:val="1122842215"/>
        <w:rPr>
          <w:bCs/>
        </w:rPr>
      </w:pPr>
      <w:r w:rsidRPr="00B21DF0">
        <w:rPr>
          <w:bCs/>
        </w:rPr>
        <w:t>23</w:t>
      </w:r>
      <w:r w:rsidRPr="00B21DF0">
        <w:rPr>
          <w:bCs/>
        </w:rPr>
        <w:t>、</w:t>
      </w:r>
      <w:r w:rsidRPr="00B21DF0">
        <w:rPr>
          <w:rFonts w:hint="eastAsia"/>
          <w:bCs/>
        </w:rPr>
        <w:t>基金信息披露义务人认为可能对基金份额持有人权益或者基金份额的价格产生重大影响的其他事项或中国证监会规定的其他事项。</w:t>
      </w:r>
    </w:p>
    <w:p w14:paraId="2B8283E4" w14:textId="77777777" w:rsidR="00BE6383" w:rsidRPr="00190259" w:rsidRDefault="00BE6383" w:rsidP="00BE6383">
      <w:pPr>
        <w:spacing w:line="360" w:lineRule="auto"/>
        <w:ind w:firstLineChars="200" w:firstLine="420"/>
        <w:divId w:val="1122842215"/>
        <w:rPr>
          <w:bCs/>
        </w:rPr>
      </w:pPr>
      <w:r w:rsidRPr="00190259">
        <w:rPr>
          <w:bCs/>
        </w:rPr>
        <w:t>（八）澄清公告</w:t>
      </w:r>
    </w:p>
    <w:p w14:paraId="490A82A4" w14:textId="4601DB35" w:rsidR="00BE6383" w:rsidRPr="002F0DA6" w:rsidRDefault="00BE6383" w:rsidP="00BE6383">
      <w:pPr>
        <w:spacing w:line="360" w:lineRule="auto"/>
        <w:ind w:firstLineChars="200" w:firstLine="420"/>
        <w:divId w:val="1122842215"/>
        <w:rPr>
          <w:bCs/>
        </w:rPr>
      </w:pPr>
      <w:r w:rsidRPr="0001357B">
        <w:rPr>
          <w:bCs/>
        </w:rPr>
        <w:lastRenderedPageBreak/>
        <w:t>在《基金合同》期限内，任何公共媒</w:t>
      </w:r>
      <w:r>
        <w:rPr>
          <w:rFonts w:hint="eastAsia"/>
          <w:bCs/>
        </w:rPr>
        <w:t>介</w:t>
      </w:r>
      <w:r w:rsidRPr="0001357B">
        <w:rPr>
          <w:bCs/>
        </w:rPr>
        <w:t>中出现的或者在市场上流传的消息可能对基金份额价格产生误导性影响或者引起较大波动</w:t>
      </w:r>
      <w:r>
        <w:rPr>
          <w:rFonts w:hint="eastAsia"/>
          <w:bCs/>
        </w:rPr>
        <w:t>，</w:t>
      </w:r>
      <w:r w:rsidRPr="00B21DF0">
        <w:rPr>
          <w:rFonts w:hint="eastAsia"/>
          <w:bCs/>
        </w:rPr>
        <w:t>以及</w:t>
      </w:r>
      <w:r w:rsidRPr="00B21DF0">
        <w:rPr>
          <w:bCs/>
        </w:rPr>
        <w:t>可能损害基金份额持有人权益</w:t>
      </w:r>
      <w:r w:rsidRPr="0001357B">
        <w:rPr>
          <w:bCs/>
        </w:rPr>
        <w:t>的，相关信息披露义务人知悉后应当立即对该消息进行公开澄清，并将有关情况立即报告中国证监会。</w:t>
      </w:r>
    </w:p>
    <w:p w14:paraId="3342ABFD" w14:textId="77777777" w:rsidR="00BE6383" w:rsidRPr="002F0DA6" w:rsidRDefault="00BE6383" w:rsidP="00BE6383">
      <w:pPr>
        <w:spacing w:line="360" w:lineRule="auto"/>
        <w:ind w:firstLineChars="200" w:firstLine="420"/>
        <w:divId w:val="1122842215"/>
        <w:rPr>
          <w:bCs/>
        </w:rPr>
      </w:pPr>
      <w:r w:rsidRPr="002F0DA6">
        <w:rPr>
          <w:bCs/>
        </w:rPr>
        <w:t>（九）基金份额持有人大会决议</w:t>
      </w:r>
    </w:p>
    <w:p w14:paraId="1FCCDDA8" w14:textId="77777777" w:rsidR="00BE6383" w:rsidRDefault="00BE6383" w:rsidP="00BE6383">
      <w:pPr>
        <w:spacing w:line="360" w:lineRule="auto"/>
        <w:ind w:firstLineChars="200" w:firstLine="420"/>
        <w:divId w:val="1122842215"/>
        <w:rPr>
          <w:bCs/>
        </w:rPr>
      </w:pPr>
      <w:r w:rsidRPr="002F0DA6">
        <w:rPr>
          <w:bCs/>
        </w:rPr>
        <w:t>基金份额持有人大会决定的事项，应当依法报</w:t>
      </w:r>
      <w:r w:rsidRPr="002F0DA6">
        <w:rPr>
          <w:rFonts w:hint="eastAsia"/>
          <w:bCs/>
        </w:rPr>
        <w:t>中国证监会</w:t>
      </w:r>
      <w:r w:rsidRPr="002F0DA6">
        <w:rPr>
          <w:bCs/>
        </w:rPr>
        <w:t>备案，并予以公告。</w:t>
      </w:r>
    </w:p>
    <w:p w14:paraId="11603A38" w14:textId="77777777" w:rsidR="00BE6383" w:rsidRPr="00B21DF0" w:rsidRDefault="00BE6383" w:rsidP="00BE6383">
      <w:pPr>
        <w:spacing w:line="360" w:lineRule="auto"/>
        <w:ind w:firstLineChars="200" w:firstLine="420"/>
        <w:divId w:val="1122842215"/>
        <w:rPr>
          <w:bCs/>
        </w:rPr>
      </w:pPr>
      <w:r w:rsidRPr="00B21DF0">
        <w:rPr>
          <w:rFonts w:hint="eastAsia"/>
          <w:bCs/>
        </w:rPr>
        <w:t>（十）清算报告</w:t>
      </w:r>
    </w:p>
    <w:p w14:paraId="33A6350F" w14:textId="77777777" w:rsidR="00BE6383" w:rsidRPr="00B04D7C" w:rsidRDefault="00BE6383" w:rsidP="00BE6383">
      <w:pPr>
        <w:spacing w:line="360" w:lineRule="auto"/>
        <w:ind w:firstLineChars="200" w:firstLine="420"/>
        <w:divId w:val="1122842215"/>
        <w:rPr>
          <w:bCs/>
        </w:rPr>
      </w:pPr>
      <w:r w:rsidRPr="00B21DF0">
        <w:rPr>
          <w:rFonts w:hint="eastAsia"/>
          <w:bCs/>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0A4E5B91" w14:textId="77777777" w:rsidR="00BE6383" w:rsidRPr="002F0DA6" w:rsidRDefault="00BE6383" w:rsidP="00BE6383">
      <w:pPr>
        <w:spacing w:line="360" w:lineRule="auto"/>
        <w:ind w:firstLineChars="200" w:firstLine="420"/>
        <w:divId w:val="1122842215"/>
        <w:rPr>
          <w:bCs/>
        </w:rPr>
      </w:pPr>
      <w:r w:rsidRPr="002F0DA6">
        <w:rPr>
          <w:bCs/>
        </w:rPr>
        <w:t>（十</w:t>
      </w:r>
      <w:r>
        <w:rPr>
          <w:bCs/>
        </w:rPr>
        <w:t>一</w:t>
      </w:r>
      <w:r w:rsidRPr="002F0DA6">
        <w:rPr>
          <w:bCs/>
        </w:rPr>
        <w:t>）中国证监会规定的其他信息</w:t>
      </w:r>
    </w:p>
    <w:p w14:paraId="7B1B785A" w14:textId="77777777" w:rsidR="00BE6383" w:rsidRDefault="00BE6383" w:rsidP="00BE6383">
      <w:pPr>
        <w:spacing w:line="360" w:lineRule="auto"/>
        <w:ind w:firstLineChars="200" w:firstLine="420"/>
        <w:divId w:val="1122842215"/>
        <w:rPr>
          <w:bCs/>
        </w:rPr>
      </w:pPr>
      <w:r w:rsidRPr="002F0DA6">
        <w:rPr>
          <w:rFonts w:hint="eastAsia"/>
          <w:bCs/>
        </w:rPr>
        <w:t>基金管理人应在基金招募说明书的显著位置披露投资中小企业私募债券的流动性风险和信用风险，说明投资中小企业私募债券对基金总体风险的影响。本基金投资中小企业私募债券后两个交易日内，基金管理人应在中国证监会指定</w:t>
      </w:r>
      <w:r>
        <w:rPr>
          <w:rFonts w:hint="eastAsia"/>
          <w:bCs/>
        </w:rPr>
        <w:t>媒介</w:t>
      </w:r>
      <w:r w:rsidRPr="002F0DA6">
        <w:rPr>
          <w:rFonts w:hint="eastAsia"/>
          <w:bCs/>
        </w:rPr>
        <w:t>披露所投资中小企业私募债券的名称、数量、期限、收益率等信息，并在季度报告、</w:t>
      </w:r>
      <w:r>
        <w:rPr>
          <w:rFonts w:hint="eastAsia"/>
          <w:bCs/>
        </w:rPr>
        <w:t>中期</w:t>
      </w:r>
      <w:r w:rsidRPr="002F0DA6">
        <w:rPr>
          <w:rFonts w:hint="eastAsia"/>
          <w:bCs/>
        </w:rPr>
        <w:t>报告、年度报告等定期报告和招募说明书（更新）等文件中披露中小企业私募债券的投资情况</w:t>
      </w:r>
      <w:r w:rsidRPr="002F0DA6">
        <w:rPr>
          <w:rFonts w:hint="eastAsia"/>
          <w:bCs/>
        </w:rPr>
        <w:t xml:space="preserve"> </w:t>
      </w:r>
      <w:r w:rsidRPr="002F0DA6">
        <w:rPr>
          <w:rFonts w:hint="eastAsia"/>
          <w:bCs/>
        </w:rPr>
        <w:t>。</w:t>
      </w:r>
    </w:p>
    <w:p w14:paraId="67E51B1D" w14:textId="77777777" w:rsidR="00BE6383" w:rsidRPr="00190259" w:rsidRDefault="00BE6383" w:rsidP="00BE6383">
      <w:pPr>
        <w:spacing w:line="360" w:lineRule="auto"/>
        <w:ind w:firstLineChars="200" w:firstLine="420"/>
        <w:divId w:val="1122842215"/>
        <w:rPr>
          <w:bCs/>
        </w:rPr>
      </w:pPr>
      <w:r w:rsidRPr="000C3ADD">
        <w:rPr>
          <w:rFonts w:hint="eastAsia"/>
          <w:bCs/>
        </w:rPr>
        <w:t>基金管理人应在基金</w:t>
      </w:r>
      <w:r w:rsidRPr="009250FE">
        <w:rPr>
          <w:rFonts w:hint="eastAsia"/>
          <w:bCs/>
        </w:rPr>
        <w:t>年度报告</w:t>
      </w:r>
      <w:r w:rsidRPr="000C3ADD">
        <w:rPr>
          <w:rFonts w:hint="eastAsia"/>
          <w:bCs/>
        </w:rPr>
        <w:t>及</w:t>
      </w:r>
      <w:r>
        <w:rPr>
          <w:rFonts w:hint="eastAsia"/>
          <w:bCs/>
        </w:rPr>
        <w:t>中期</w:t>
      </w:r>
      <w:r w:rsidRPr="00AB11AF">
        <w:rPr>
          <w:rFonts w:hint="eastAsia"/>
          <w:bCs/>
        </w:rPr>
        <w:t>报告</w:t>
      </w:r>
      <w:r w:rsidRPr="000C3ADD">
        <w:rPr>
          <w:rFonts w:hint="eastAsia"/>
          <w:bCs/>
        </w:rPr>
        <w:t>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w:t>
      </w:r>
      <w:r w:rsidRPr="000C3ADD">
        <w:rPr>
          <w:rFonts w:hint="eastAsia"/>
          <w:bCs/>
        </w:rPr>
        <w:t>10</w:t>
      </w:r>
      <w:r w:rsidRPr="000C3ADD">
        <w:rPr>
          <w:rFonts w:hint="eastAsia"/>
          <w:bCs/>
        </w:rPr>
        <w:t>名资产支持证券明细。</w:t>
      </w:r>
    </w:p>
    <w:p w14:paraId="5B4E22A4" w14:textId="77777777" w:rsidR="00BE6383" w:rsidRPr="00190259" w:rsidRDefault="00BE6383" w:rsidP="00BE6383">
      <w:pPr>
        <w:spacing w:line="360" w:lineRule="auto"/>
        <w:ind w:firstLineChars="200" w:firstLine="420"/>
        <w:divId w:val="1122842215"/>
        <w:rPr>
          <w:bCs/>
        </w:rPr>
      </w:pPr>
      <w:r w:rsidRPr="00190259">
        <w:rPr>
          <w:bCs/>
        </w:rPr>
        <w:t>六、信息披露事务管理</w:t>
      </w:r>
    </w:p>
    <w:p w14:paraId="5F93D820" w14:textId="77777777" w:rsidR="00BE6383" w:rsidRPr="00B21DF0" w:rsidRDefault="00BE6383" w:rsidP="00BE6383">
      <w:pPr>
        <w:spacing w:line="360" w:lineRule="auto"/>
        <w:ind w:firstLineChars="200" w:firstLine="420"/>
        <w:divId w:val="1122842215"/>
        <w:rPr>
          <w:bCs/>
        </w:rPr>
      </w:pPr>
      <w:r w:rsidRPr="00B21DF0">
        <w:rPr>
          <w:bCs/>
        </w:rPr>
        <w:t>基金管理人、基金托管人应当建立健全信息披露管理制度，指定</w:t>
      </w:r>
      <w:r w:rsidRPr="00B21DF0">
        <w:rPr>
          <w:rFonts w:hint="eastAsia"/>
          <w:bCs/>
        </w:rPr>
        <w:t>专门</w:t>
      </w:r>
      <w:r w:rsidRPr="00B21DF0">
        <w:rPr>
          <w:bCs/>
        </w:rPr>
        <w:t>部门及高级管理人员负责管理信息披露事务。</w:t>
      </w:r>
    </w:p>
    <w:p w14:paraId="45D728B4" w14:textId="77777777" w:rsidR="00BE6383" w:rsidRPr="00B21DF0" w:rsidRDefault="00BE6383" w:rsidP="00BE6383">
      <w:pPr>
        <w:spacing w:line="360" w:lineRule="auto"/>
        <w:ind w:firstLineChars="200" w:firstLine="420"/>
        <w:divId w:val="1122842215"/>
        <w:rPr>
          <w:bCs/>
        </w:rPr>
      </w:pPr>
      <w:r w:rsidRPr="00B21DF0">
        <w:rPr>
          <w:bCs/>
        </w:rPr>
        <w:t>基金信息披露义务人公开披露基金信息，应当符合中国证监会相关基金信息披露内容与格式准则</w:t>
      </w:r>
      <w:r w:rsidRPr="00B21DF0">
        <w:rPr>
          <w:rFonts w:hint="eastAsia"/>
          <w:bCs/>
        </w:rPr>
        <w:t>等</w:t>
      </w:r>
      <w:r w:rsidRPr="00B21DF0">
        <w:rPr>
          <w:bCs/>
        </w:rPr>
        <w:t>法规的规定。</w:t>
      </w:r>
    </w:p>
    <w:p w14:paraId="6A415C80" w14:textId="77777777" w:rsidR="00BE6383" w:rsidRPr="00B21DF0" w:rsidRDefault="00BE6383" w:rsidP="00BE6383">
      <w:pPr>
        <w:spacing w:line="360" w:lineRule="auto"/>
        <w:ind w:firstLineChars="200" w:firstLine="420"/>
        <w:divId w:val="1122842215"/>
        <w:rPr>
          <w:bCs/>
        </w:rPr>
      </w:pPr>
      <w:r w:rsidRPr="00B21DF0">
        <w:rPr>
          <w:bCs/>
        </w:rPr>
        <w:t>基金托管人应当按照相关法律法规、中国证监会的规定和《基金合同》的约定，对基金管理人编制的基金资产净值、基金份额净值、基金份额申购赎回价格、基金定期报告</w:t>
      </w:r>
      <w:r w:rsidRPr="00B21DF0">
        <w:rPr>
          <w:rFonts w:hint="eastAsia"/>
          <w:bCs/>
        </w:rPr>
        <w:t>、</w:t>
      </w:r>
      <w:r w:rsidRPr="00B21DF0">
        <w:rPr>
          <w:bCs/>
        </w:rPr>
        <w:t>更新的招募说明书</w:t>
      </w:r>
      <w:r w:rsidRPr="00B21DF0">
        <w:rPr>
          <w:rFonts w:hint="eastAsia"/>
          <w:bCs/>
        </w:rPr>
        <w:t>、</w:t>
      </w:r>
      <w:r w:rsidRPr="00B21DF0">
        <w:rPr>
          <w:bCs/>
        </w:rPr>
        <w:t>基金产品资料概要、基金清算报告等公开披露的相关基金信息进行复核、审查，并向基金管理人</w:t>
      </w:r>
      <w:r w:rsidRPr="00B21DF0">
        <w:rPr>
          <w:rFonts w:hint="eastAsia"/>
          <w:bCs/>
        </w:rPr>
        <w:t>进行书面</w:t>
      </w:r>
      <w:r w:rsidRPr="00B21DF0">
        <w:rPr>
          <w:bCs/>
        </w:rPr>
        <w:t>或电子确认。</w:t>
      </w:r>
    </w:p>
    <w:p w14:paraId="688695E8" w14:textId="77777777" w:rsidR="00BE6383" w:rsidRPr="00B21DF0" w:rsidRDefault="00BE6383" w:rsidP="00BE6383">
      <w:pPr>
        <w:spacing w:line="360" w:lineRule="auto"/>
        <w:ind w:firstLineChars="200" w:firstLine="420"/>
        <w:divId w:val="1122842215"/>
        <w:rPr>
          <w:bCs/>
        </w:rPr>
      </w:pPr>
      <w:r w:rsidRPr="00B21DF0">
        <w:rPr>
          <w:bCs/>
        </w:rPr>
        <w:t>基金管理人、基金托管人应当在指定</w:t>
      </w:r>
      <w:r w:rsidRPr="00B21DF0">
        <w:rPr>
          <w:rFonts w:hint="eastAsia"/>
          <w:bCs/>
        </w:rPr>
        <w:t>报刊</w:t>
      </w:r>
      <w:r w:rsidRPr="00B21DF0">
        <w:rPr>
          <w:bCs/>
        </w:rPr>
        <w:t>中选择一家报刊披露本基金信息。基金</w:t>
      </w:r>
      <w:r w:rsidRPr="00B21DF0">
        <w:rPr>
          <w:rFonts w:hint="eastAsia"/>
          <w:bCs/>
        </w:rPr>
        <w:t>管理人</w:t>
      </w:r>
      <w:r w:rsidRPr="00B21DF0">
        <w:rPr>
          <w:bCs/>
        </w:rPr>
        <w:t>、基金托管人应当向中国证监会基金电子披露网站报送拟披露的基金信息，并保证相关报送信息的真实、准确、完整、及时。</w:t>
      </w:r>
    </w:p>
    <w:p w14:paraId="0E31C558" w14:textId="77777777" w:rsidR="00BE6383" w:rsidRPr="00B21DF0" w:rsidRDefault="00BE6383" w:rsidP="00BE6383">
      <w:pPr>
        <w:spacing w:line="360" w:lineRule="auto"/>
        <w:ind w:firstLineChars="200" w:firstLine="420"/>
        <w:divId w:val="1122842215"/>
        <w:rPr>
          <w:bCs/>
        </w:rPr>
      </w:pPr>
      <w:r w:rsidRPr="00B21DF0">
        <w:rPr>
          <w:bCs/>
        </w:rPr>
        <w:lastRenderedPageBreak/>
        <w:t>基金管理人、基金托管人除依法在指定</w:t>
      </w:r>
      <w:r w:rsidRPr="00B21DF0">
        <w:rPr>
          <w:rFonts w:hint="eastAsia"/>
          <w:bCs/>
        </w:rPr>
        <w:t>媒介</w:t>
      </w:r>
      <w:r w:rsidRPr="00B21DF0">
        <w:rPr>
          <w:bCs/>
        </w:rPr>
        <w:t>上披露信息外，还可以根据需要在其他公共</w:t>
      </w:r>
      <w:r w:rsidRPr="00B21DF0">
        <w:rPr>
          <w:rFonts w:hint="eastAsia"/>
          <w:bCs/>
        </w:rPr>
        <w:t>媒介</w:t>
      </w:r>
      <w:r w:rsidRPr="00B21DF0">
        <w:rPr>
          <w:bCs/>
        </w:rPr>
        <w:t>披露信息，但是其他公共</w:t>
      </w:r>
      <w:r w:rsidRPr="00B21DF0">
        <w:rPr>
          <w:rFonts w:hint="eastAsia"/>
          <w:bCs/>
        </w:rPr>
        <w:t>媒介</w:t>
      </w:r>
      <w:r w:rsidRPr="00B21DF0">
        <w:rPr>
          <w:bCs/>
        </w:rPr>
        <w:t>不得早于指定</w:t>
      </w:r>
      <w:r w:rsidRPr="00B21DF0">
        <w:rPr>
          <w:rFonts w:hint="eastAsia"/>
          <w:bCs/>
        </w:rPr>
        <w:t>媒介</w:t>
      </w:r>
      <w:r w:rsidRPr="00B21DF0">
        <w:rPr>
          <w:bCs/>
        </w:rPr>
        <w:t>披露信息，并且在不同媒介上披露同一信息的内容应当一致。</w:t>
      </w:r>
    </w:p>
    <w:p w14:paraId="266C6F34" w14:textId="77777777" w:rsidR="00BE6383" w:rsidRPr="00B21DF0" w:rsidRDefault="00BE6383" w:rsidP="00BE6383">
      <w:pPr>
        <w:spacing w:line="360" w:lineRule="auto"/>
        <w:ind w:firstLineChars="200" w:firstLine="420"/>
        <w:divId w:val="1122842215"/>
        <w:rPr>
          <w:bCs/>
        </w:rPr>
      </w:pPr>
      <w:r w:rsidRPr="00B21DF0">
        <w:rPr>
          <w:rFonts w:hint="eastAsia"/>
          <w:bCs/>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28F2D424" w14:textId="77777777" w:rsidR="00BE6383" w:rsidRPr="00190259" w:rsidRDefault="00BE6383" w:rsidP="00BE6383">
      <w:pPr>
        <w:spacing w:line="360" w:lineRule="auto"/>
        <w:ind w:firstLineChars="200" w:firstLine="420"/>
        <w:divId w:val="1122842215"/>
        <w:rPr>
          <w:bCs/>
        </w:rPr>
      </w:pPr>
      <w:r w:rsidRPr="00B21DF0">
        <w:rPr>
          <w:bCs/>
        </w:rPr>
        <w:t>为基金信息披露义务人公开披露的基金信息出具审计报告、法律意见书的专业机构，应当制作工作底稿，并将相关档案至少保存到《基金合同》终止后</w:t>
      </w:r>
      <w:r w:rsidRPr="00B21DF0">
        <w:rPr>
          <w:rFonts w:hint="eastAsia"/>
          <w:bCs/>
        </w:rPr>
        <w:t>10</w:t>
      </w:r>
      <w:r w:rsidRPr="00B21DF0">
        <w:rPr>
          <w:bCs/>
        </w:rPr>
        <w:t>年。</w:t>
      </w:r>
    </w:p>
    <w:p w14:paraId="06C1300A" w14:textId="77777777" w:rsidR="00BE6383" w:rsidRPr="00190259" w:rsidRDefault="00BE6383" w:rsidP="00BE6383">
      <w:pPr>
        <w:spacing w:line="360" w:lineRule="auto"/>
        <w:ind w:firstLineChars="200" w:firstLine="420"/>
        <w:divId w:val="1122842215"/>
        <w:rPr>
          <w:bCs/>
        </w:rPr>
      </w:pPr>
      <w:r w:rsidRPr="00190259">
        <w:rPr>
          <w:bCs/>
        </w:rPr>
        <w:t>七、信息披露文件的存放与查阅</w:t>
      </w:r>
    </w:p>
    <w:p w14:paraId="3C5CA3A2" w14:textId="77777777" w:rsidR="00BE6383" w:rsidRDefault="00BE6383" w:rsidP="00BE6383">
      <w:pPr>
        <w:spacing w:line="360" w:lineRule="auto"/>
        <w:ind w:firstLineChars="200" w:firstLine="420"/>
        <w:divId w:val="1122842215"/>
        <w:rPr>
          <w:bCs/>
        </w:rPr>
      </w:pPr>
      <w:r w:rsidRPr="00F83A6F">
        <w:rPr>
          <w:rFonts w:hint="eastAsia"/>
          <w:bCs/>
        </w:rPr>
        <w:t>依法必须披露的信息发布后，基金管理人、基金托管人应当按照相关法律法规规定将信息置备于公司住所，供社会公众查阅、复制。</w:t>
      </w:r>
    </w:p>
    <w:p w14:paraId="17D2F52D" w14:textId="078D8985" w:rsidR="00D0083C" w:rsidRDefault="00BE6383">
      <w:pPr>
        <w:pStyle w:val="a3"/>
        <w:spacing w:before="0" w:beforeAutospacing="0" w:after="0" w:afterAutospacing="0" w:line="360" w:lineRule="auto"/>
        <w:ind w:firstLine="420"/>
        <w:jc w:val="both"/>
        <w:divId w:val="1122842215"/>
        <w:rPr>
          <w:sz w:val="21"/>
          <w:szCs w:val="21"/>
        </w:rPr>
      </w:pPr>
      <w:r w:rsidRPr="008E28FA">
        <w:rPr>
          <w:rFonts w:hint="eastAsia"/>
          <w:bCs/>
        </w:rPr>
        <w:t>八、本基金信息披露事项以法律法规规定及本章节约定的内容为准。</w:t>
      </w:r>
    </w:p>
    <w:p w14:paraId="13147154" w14:textId="77777777" w:rsidR="00D0083C" w:rsidRDefault="00854AE5">
      <w:pPr>
        <w:pStyle w:val="1"/>
        <w:spacing w:before="240" w:line="360" w:lineRule="auto"/>
        <w:jc w:val="center"/>
        <w:divId w:val="1122842215"/>
        <w:rPr>
          <w:sz w:val="24"/>
          <w:szCs w:val="24"/>
        </w:rPr>
      </w:pPr>
      <w:bookmarkStart w:id="93" w:name="_Toc387824882"/>
      <w:r>
        <w:rPr>
          <w:rFonts w:hint="eastAsia"/>
          <w:sz w:val="24"/>
          <w:szCs w:val="24"/>
        </w:rPr>
        <w:t>第十六部分</w:t>
      </w:r>
      <w:r>
        <w:rPr>
          <w:rFonts w:hint="eastAsia"/>
          <w:sz w:val="24"/>
          <w:szCs w:val="24"/>
        </w:rPr>
        <w:t xml:space="preserve"> </w:t>
      </w:r>
      <w:r>
        <w:rPr>
          <w:rFonts w:hint="eastAsia"/>
          <w:sz w:val="24"/>
          <w:szCs w:val="24"/>
        </w:rPr>
        <w:t>风险揭示</w:t>
      </w:r>
      <w:bookmarkEnd w:id="93"/>
    </w:p>
    <w:p w14:paraId="124C5CE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本基金的风险主要包括：系统性风险、非系统性风险、管理风险、流动性风险、本基金特定风险及其他风险等。</w:t>
      </w:r>
    </w:p>
    <w:p w14:paraId="169535B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一、系统性风险 </w:t>
      </w:r>
    </w:p>
    <w:p w14:paraId="753B0DA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本基金投资于证券市场，系统性风险是指因整体政治、经济、社会等环境因素对证券价格产生影响而形成的风险，主要包括政策风险、经济周期风险、利率风险和购买力风险等。 </w:t>
      </w:r>
    </w:p>
    <w:p w14:paraId="75881E9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 xml:space="preserve">、政策风险 </w:t>
      </w:r>
    </w:p>
    <w:p w14:paraId="0209FC4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政策风险是指政府有关证券市场的政策发生重大变化或是有重要的举措、法规出台，引起债券价格的波动，从而给投资带来的风险。 </w:t>
      </w:r>
    </w:p>
    <w:p w14:paraId="54208BB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 xml:space="preserve">、经济周期风险 </w:t>
      </w:r>
    </w:p>
    <w:p w14:paraId="7F9C7D0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经济运行具有周期性的特点，经济运行周期性的变化会对基金所投资的证券的基本面产生影响，从而影响证券的价格而产生风险。 </w:t>
      </w:r>
    </w:p>
    <w:p w14:paraId="3174E04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 xml:space="preserve">、利率风险 </w:t>
      </w:r>
    </w:p>
    <w:p w14:paraId="6BCC541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金融市场利率的波动会导致证券市场价格和收益率的变动。利率的变化直接影响着债券的价格和收益率，影响着企业的融资成本，并在一定程度上影响上市公司的盈利水平。基金投资于债券和股票，其收益水平会受到利率变化的影响。</w:t>
      </w:r>
    </w:p>
    <w:p w14:paraId="18C1CEF8"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 xml:space="preserve">、购买力风险 </w:t>
      </w:r>
    </w:p>
    <w:p w14:paraId="5E2DBBF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 xml:space="preserve">基金收益的一部分将通过现金形式来分配，而现金的购买力可能因为通货膨胀的影响而下降，从而使基金的实际投资收益下降。 </w:t>
      </w:r>
    </w:p>
    <w:p w14:paraId="1B90AB3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 xml:space="preserve">、再投资风险 </w:t>
      </w:r>
    </w:p>
    <w:p w14:paraId="1805A84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市场利率下降将影响固定收益类证券利息收入的再投资收益率，这与利率上升带来的价格风险互为消长。在利率走低时，再投资收益率就会降低，再投资的风险加大。当利率上升时，债券价格会下降，但是利息的再投资收益会上升。 </w:t>
      </w:r>
    </w:p>
    <w:p w14:paraId="2C14E42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二、非系统性风险 </w:t>
      </w:r>
    </w:p>
    <w:p w14:paraId="3881E03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非系统性风险是指个别证券特有的风险，包括公司经营风险、信用风险等。 </w:t>
      </w:r>
    </w:p>
    <w:p w14:paraId="6983B0B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 xml:space="preserve">、公司经营风险 </w:t>
      </w:r>
    </w:p>
    <w:p w14:paraId="7C1E42C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上市公司的经营好坏受多种因素影响，如管理能力、财务状况、市场前景、行业竞争、人员素质等，这些都会导致企业的盈利发生变化。如果基金所投资的上市公司经营不善，其股票价格可能下跌，或者能够用于分配的利润减少，使基金投资收益下降。基金可通过投资多样化来分散这种非系统风险，但不能完全规避。</w:t>
      </w:r>
    </w:p>
    <w:p w14:paraId="2FF59DC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 xml:space="preserve">、信用风险 </w:t>
      </w:r>
    </w:p>
    <w:p w14:paraId="7CB26C9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债券发行人无法按时还本付息，而使投资遭受损失的风险为信用风险。这种风险主要表现在公司债券中，公司如果因为某种原因不能完全履约支付本金和利息，则债券投资就会承受较大的亏损。广义的信用风险不仅指企业的违约风险，还包括市场信用利差扩大及企业信用评级下降的风险。 </w:t>
      </w:r>
    </w:p>
    <w:p w14:paraId="63FD283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三、管理风险 </w:t>
      </w:r>
    </w:p>
    <w:p w14:paraId="01FC789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在基金管理运作过程中基金管理人的知识、经验、判断、决策、技能等，会影响其对信息的占有和对经济形势、证券价格走势的判断，从而影响基金收益水平。因此，基金的收益水平与基金管理人的管理水平、管理手段和管理技术等相关性较大。因此基金可能因为基金管理人的因素而影响基金收益水平。 </w:t>
      </w:r>
    </w:p>
    <w:p w14:paraId="4DA9D0B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四、流动性风险 </w:t>
      </w:r>
    </w:p>
    <w:p w14:paraId="06B9540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可能面临基金资产不能迅速、低成本地转变成现金，或者不能应付可能出现的投资人大额赎回的风险。前者是指金融资产不能及时变现或无法按照正常的市场价格交易而引起损失的可能性。为应付投资人的赎回，基金资产需保持一定的流动性，从而在收益性方面可能会有些损失，影响基金投资目标的实现。后者是指在开放式基金交易过程中，可能会发生巨额赎回的情形，巨额赎回可能会产生基金仓位调整的困难，导致流动性风险，甚至影响基金单位净值。</w:t>
      </w:r>
    </w:p>
    <w:p w14:paraId="0EDA577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）基金申购、赎回安排</w:t>
      </w:r>
    </w:p>
    <w:p w14:paraId="6959EA1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投资人具体请参见招募说明书第七部分的相关约定。</w:t>
      </w:r>
    </w:p>
    <w:p w14:paraId="39762BE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 xml:space="preserve">）拟投资市场、行业及资产的流动性风险评估 </w:t>
      </w:r>
    </w:p>
    <w:p w14:paraId="057E211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本基金的投资范围主要为具有良好流动性的固定收益类品种，包括国债、金融债、企业债、公司债、央行票据、地方政府债、中期票据、短期融资券、可分离交易可转债的纯债部分、资产支持证券、中小企业私募债、次级债、同业存单、债券回购、银行存款等法律法规或中国证监会允许基金投资的其他固定收益类金融工具（但须符合中国证监会的相关规定）。本基金不投资于股票、权证等权益类资产，也不投资于可转换债券（可分离交易可转债的纯债部分除外）、可交换债券。</w:t>
      </w:r>
    </w:p>
    <w:p w14:paraId="52C76A3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本基金的标的资产大部分为标准化金融工具，一般情况下具有较好的流动性，同时，本基金严格控制投资于流动受限资产和不存在活跃市场需要采用估值技术确定公允价值的投资品种的比例。</w:t>
      </w:r>
    </w:p>
    <w:p w14:paraId="474255B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 xml:space="preserve">）巨额赎回情形下的流动性风险管理措施 </w:t>
      </w:r>
    </w:p>
    <w:p w14:paraId="56DEF48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为应对巨额赎回情形下可能发生的流动性风险，基金管理人可以根据基金当时的资产组合状况决定全额赎回或部分延期赎回，详细规则参见招募说明书第七部分的相关约定。未赎回的基金份额持有人仍有可能承担短期内变现而带来的冲击成本对基金净资产产生的负面影响。</w:t>
      </w:r>
    </w:p>
    <w:p w14:paraId="42575E2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 xml:space="preserve">）实施备用的流动性风险管理工具的情形、程序及对投资者的潜在影响 </w:t>
      </w:r>
    </w:p>
    <w:p w14:paraId="2CC3846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经与基金托管人协商一致，在确保投资者得到公平对待的前提下，可依照法律法规及基金合同的约定，综合运用各类流动性风险管理工具，对赎回申请进行适度调整。基金管理人可以采取备用的流动性风险管理应对措施，包括但不限于延期办理巨额赎回申请、暂停接受赎回申请、延缓支付赎回款项、收取短期赎回费、暂停基金估值、摆动定价机制及中国证监会认定的其他措施。基金管理人实施前述备用流动性风险管理工具时，投资者可能面临无法及时赎回、无法全部赎回、赎回款项无法及时获得、或申购、赎回成本相对较高的风险。</w:t>
      </w:r>
    </w:p>
    <w:p w14:paraId="63BAA6B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五、本基金特定风险 </w:t>
      </w:r>
    </w:p>
    <w:p w14:paraId="0A9B027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本基金对债券的投资比例不低于基金资产的</w:t>
      </w:r>
      <w:r>
        <w:rPr>
          <w:rFonts w:ascii="Times New Roman" w:hAnsi="Times New Roman" w:cs="Times New Roman"/>
          <w:sz w:val="21"/>
          <w:szCs w:val="21"/>
        </w:rPr>
        <w:t>80%</w:t>
      </w:r>
      <w:r>
        <w:rPr>
          <w:rFonts w:hint="eastAsia"/>
          <w:sz w:val="21"/>
          <w:szCs w:val="21"/>
        </w:rPr>
        <w:t>，因此，如果债券市场出现整体下跌，本基金将无法完全避免债券市场系统性风险。</w:t>
      </w:r>
    </w:p>
    <w:p w14:paraId="77BA615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投资范围包括中小企业私募债，中小企业私募债券的流动性风险在于该类债券采取非公开方式发行和交易，由于不公开资料，外部评级机构一般不对这类债券进行外部评级，可能会降低市场对该类债券的认可度，从而影响该类债券的市场流动性。中小企业私募债券的信用风险在于该类债券发行主体的资产规模较小、经营的波动性较大，同时，各类材料（包括招募说明书、审计报告）不公开发布，也大大提高了分析并跟踪发债主体信用基本面的难度。</w:t>
      </w:r>
    </w:p>
    <w:p w14:paraId="4435968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六、其他风险 </w:t>
      </w:r>
    </w:p>
    <w:p w14:paraId="56DCBB58"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 xml:space="preserve">、因技术因素而产生的风险，如电脑系统出现故障产生的风险； </w:t>
      </w:r>
    </w:p>
    <w:p w14:paraId="6D0BF3EF"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lastRenderedPageBreak/>
        <w:t>2</w:t>
      </w:r>
      <w:r>
        <w:rPr>
          <w:rFonts w:hint="eastAsia"/>
          <w:sz w:val="21"/>
          <w:szCs w:val="21"/>
        </w:rPr>
        <w:t xml:space="preserve">、战争、自然灾害等不可抗力可能导致基金资产的损失，影响基金收益水平，从而带来风险； </w:t>
      </w:r>
    </w:p>
    <w:p w14:paraId="7E9A1746"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、其他意外导致的风险。</w:t>
      </w:r>
    </w:p>
    <w:p w14:paraId="787BD794" w14:textId="77777777" w:rsidR="00D0083C" w:rsidRDefault="00854AE5">
      <w:pPr>
        <w:pStyle w:val="1"/>
        <w:spacing w:before="240" w:line="360" w:lineRule="auto"/>
        <w:jc w:val="center"/>
        <w:divId w:val="1122842215"/>
        <w:rPr>
          <w:sz w:val="24"/>
          <w:szCs w:val="24"/>
        </w:rPr>
      </w:pPr>
      <w:bookmarkStart w:id="94" w:name="_Toc387824883"/>
      <w:r>
        <w:rPr>
          <w:rFonts w:hint="eastAsia"/>
          <w:sz w:val="24"/>
          <w:szCs w:val="24"/>
        </w:rPr>
        <w:t>第十七部分</w:t>
      </w:r>
      <w:r>
        <w:rPr>
          <w:rFonts w:hint="eastAsia"/>
          <w:sz w:val="24"/>
          <w:szCs w:val="24"/>
        </w:rPr>
        <w:t xml:space="preserve"> </w:t>
      </w:r>
      <w:r>
        <w:rPr>
          <w:rFonts w:hint="eastAsia"/>
          <w:sz w:val="24"/>
          <w:szCs w:val="24"/>
        </w:rPr>
        <w:t>基金的终止与清算</w:t>
      </w:r>
      <w:bookmarkEnd w:id="94"/>
    </w:p>
    <w:p w14:paraId="420A526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一、《基金合同》的变更</w:t>
      </w:r>
    </w:p>
    <w:p w14:paraId="2108538C"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5779EDB0" w14:textId="5BE1739A"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、关于《基金合同》变更的基金份额持有人大会决议生效后方可执行，并自决议生效后两日内在指定媒介公告。</w:t>
      </w:r>
    </w:p>
    <w:p w14:paraId="7BA04BE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二、《基金合同》的终止事由</w:t>
      </w:r>
    </w:p>
    <w:p w14:paraId="4F8BF9D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有下列情形之一的，《基金合同》应当终止：</w:t>
      </w:r>
    </w:p>
    <w:p w14:paraId="47FD685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、基金份额持有人大会决定终止的；</w:t>
      </w:r>
    </w:p>
    <w:p w14:paraId="5F983E9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、基金管理人、基金托管人职责终止，在</w:t>
      </w:r>
      <w:r>
        <w:rPr>
          <w:rFonts w:ascii="Times New Roman" w:hAnsi="Times New Roman" w:cs="Times New Roman"/>
          <w:sz w:val="21"/>
          <w:szCs w:val="21"/>
        </w:rPr>
        <w:t>6</w:t>
      </w:r>
      <w:r>
        <w:rPr>
          <w:rFonts w:hint="eastAsia"/>
          <w:sz w:val="21"/>
          <w:szCs w:val="21"/>
        </w:rPr>
        <w:t>个月内没有新基金管理人、新基金托管人承接的；</w:t>
      </w:r>
    </w:p>
    <w:p w14:paraId="6EA561FE"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、《基金合同》约定的其他情形；</w:t>
      </w:r>
    </w:p>
    <w:p w14:paraId="59AD503F"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、相关法律法规和中国证监会规定的其他情况。</w:t>
      </w:r>
    </w:p>
    <w:p w14:paraId="68EC6E3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三、基金财产的清算</w:t>
      </w:r>
    </w:p>
    <w:p w14:paraId="514CC19E"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、基金财产清算小组：自出现《基金合同》终止事由之日起</w:t>
      </w:r>
      <w:r>
        <w:rPr>
          <w:rFonts w:ascii="Times New Roman" w:hAnsi="Times New Roman" w:cs="Times New Roman"/>
          <w:sz w:val="21"/>
          <w:szCs w:val="21"/>
        </w:rPr>
        <w:t>30</w:t>
      </w:r>
      <w:r>
        <w:rPr>
          <w:rFonts w:hint="eastAsia"/>
          <w:sz w:val="21"/>
          <w:szCs w:val="21"/>
        </w:rPr>
        <w:t>个工作日内成立清算小组，基金管理人组织基金财产清算小组并在中国证监会的监督下进行基金清算。</w:t>
      </w:r>
    </w:p>
    <w:p w14:paraId="08ACA67D"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627BC5F3"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、基金财产清算小组职责：基金财产清算小组负责基金财产的保管、清理、估价、变现和分配。基金财产清算小组可以依法进行必要的民事活动。</w:t>
      </w:r>
    </w:p>
    <w:p w14:paraId="4165F27D"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、基金财产清算程序：</w:t>
      </w:r>
    </w:p>
    <w:p w14:paraId="7F147ED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）《基金合同》终止情形出现时，由基金财产清算小组统一接管基金；</w:t>
      </w:r>
    </w:p>
    <w:p w14:paraId="50542C9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）对基金财产和债权债务进行清理和确认；</w:t>
      </w:r>
    </w:p>
    <w:p w14:paraId="483EA4B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）对基金财产进行估值和变现；</w:t>
      </w:r>
    </w:p>
    <w:p w14:paraId="264306B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）制作清算报告；</w:t>
      </w:r>
    </w:p>
    <w:p w14:paraId="746526F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）聘请会计师事务所对清算报告进行外部审计，聘请律师事务所对清算报告出具法律意见书；</w:t>
      </w:r>
    </w:p>
    <w:p w14:paraId="6795C4E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w:t>
      </w:r>
      <w:r>
        <w:rPr>
          <w:rFonts w:ascii="Times New Roman" w:hAnsi="Times New Roman" w:cs="Times New Roman"/>
          <w:sz w:val="21"/>
          <w:szCs w:val="21"/>
        </w:rPr>
        <w:t>6</w:t>
      </w:r>
      <w:r>
        <w:rPr>
          <w:rFonts w:hint="eastAsia"/>
          <w:sz w:val="21"/>
          <w:szCs w:val="21"/>
        </w:rPr>
        <w:t>）将清算报告报中国证监会备案并公告；</w:t>
      </w:r>
    </w:p>
    <w:p w14:paraId="77B08C3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）对基金财产进行分配。</w:t>
      </w:r>
    </w:p>
    <w:p w14:paraId="4B00FFB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、基金财产清算的期限为</w:t>
      </w:r>
      <w:r>
        <w:rPr>
          <w:rFonts w:ascii="Times New Roman" w:hAnsi="Times New Roman" w:cs="Times New Roman"/>
          <w:sz w:val="21"/>
          <w:szCs w:val="21"/>
        </w:rPr>
        <w:t>6</w:t>
      </w:r>
      <w:r>
        <w:rPr>
          <w:rFonts w:hint="eastAsia"/>
          <w:sz w:val="21"/>
          <w:szCs w:val="21"/>
        </w:rPr>
        <w:t>个月。</w:t>
      </w:r>
    </w:p>
    <w:p w14:paraId="005DE2C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四、清算费用</w:t>
      </w:r>
    </w:p>
    <w:p w14:paraId="2CD1859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清算费用是指基金财产清算小组在进行基金清算过程中发生的所有合理费用，清算费用由基金财产清算小组优先从基金财产中支付。</w:t>
      </w:r>
    </w:p>
    <w:p w14:paraId="7CFFE75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五、基金财产清算剩余资产的分配</w:t>
      </w:r>
    </w:p>
    <w:p w14:paraId="005C221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依据基金财产清算的分配方案，将基金财产清算后的全部剩余资产扣除基金财产清算费用、交纳所欠税款并清偿基金债务后，按基金份额持有人持有的基金份额比例进行分配。</w:t>
      </w:r>
    </w:p>
    <w:p w14:paraId="6994D2D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六、基金财产清算的公告</w:t>
      </w:r>
    </w:p>
    <w:p w14:paraId="0D69D0C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Pr>
          <w:rFonts w:ascii="Times New Roman" w:hAnsi="Times New Roman" w:cs="Times New Roman"/>
          <w:sz w:val="21"/>
          <w:szCs w:val="21"/>
        </w:rPr>
        <w:t>5</w:t>
      </w:r>
      <w:r>
        <w:rPr>
          <w:rFonts w:hint="eastAsia"/>
          <w:sz w:val="21"/>
          <w:szCs w:val="21"/>
        </w:rPr>
        <w:t>个工作日内由基金财产清算小组进行公告。</w:t>
      </w:r>
    </w:p>
    <w:p w14:paraId="2F7A895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七、基金财产清算账册及文件的保存</w:t>
      </w:r>
    </w:p>
    <w:p w14:paraId="0AF42A9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基金财产清算账册及有关文件由基金托管人保存</w:t>
      </w:r>
      <w:r>
        <w:rPr>
          <w:rFonts w:ascii="Times New Roman" w:hAnsi="Times New Roman" w:cs="Times New Roman"/>
          <w:sz w:val="21"/>
          <w:szCs w:val="21"/>
        </w:rPr>
        <w:t>15</w:t>
      </w:r>
      <w:r>
        <w:rPr>
          <w:rFonts w:hint="eastAsia"/>
          <w:sz w:val="21"/>
          <w:szCs w:val="21"/>
        </w:rPr>
        <w:t>年以上。</w:t>
      </w:r>
    </w:p>
    <w:p w14:paraId="5412EE72" w14:textId="77777777" w:rsidR="00D0083C" w:rsidRDefault="00854AE5">
      <w:pPr>
        <w:pStyle w:val="1"/>
        <w:spacing w:before="240" w:line="360" w:lineRule="auto"/>
        <w:jc w:val="center"/>
        <w:divId w:val="1122842215"/>
        <w:rPr>
          <w:sz w:val="24"/>
          <w:szCs w:val="24"/>
        </w:rPr>
      </w:pPr>
      <w:bookmarkStart w:id="95" w:name="_Toc387824884"/>
      <w:r>
        <w:rPr>
          <w:rFonts w:hint="eastAsia"/>
          <w:sz w:val="24"/>
          <w:szCs w:val="24"/>
        </w:rPr>
        <w:t>第十八部分</w:t>
      </w:r>
      <w:r>
        <w:rPr>
          <w:rFonts w:hint="eastAsia"/>
          <w:sz w:val="24"/>
          <w:szCs w:val="24"/>
        </w:rPr>
        <w:t xml:space="preserve"> </w:t>
      </w:r>
      <w:r>
        <w:rPr>
          <w:rFonts w:hint="eastAsia"/>
          <w:sz w:val="24"/>
          <w:szCs w:val="24"/>
        </w:rPr>
        <w:t>基金合同的内容摘要</w:t>
      </w:r>
      <w:bookmarkEnd w:id="95"/>
    </w:p>
    <w:p w14:paraId="7552747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一、基金份额持有人、基金管理人和基金托管人的权利、义务 </w:t>
      </w:r>
    </w:p>
    <w:p w14:paraId="774AC60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（一）基金份额持有人的权利、义务</w:t>
      </w:r>
    </w:p>
    <w:p w14:paraId="0A9C01C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、根据《基金法》、《运作办法》及其他有关规定，基金份额持有人的权利包括但不限于：</w:t>
      </w:r>
    </w:p>
    <w:p w14:paraId="1DFD76F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）分享基金财产收益；</w:t>
      </w:r>
    </w:p>
    <w:p w14:paraId="1FCA316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）参与分配清算后的剩余基金财产；</w:t>
      </w:r>
    </w:p>
    <w:p w14:paraId="2AD7364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）依法转让或申请赎回其持有的基金份额；</w:t>
      </w:r>
    </w:p>
    <w:p w14:paraId="1D4A428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）按照规定要求召开基金份额持有人大会或者召集基金份额持有人大会；</w:t>
      </w:r>
    </w:p>
    <w:p w14:paraId="44E6C46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）出席或者委派代表出席基金份额持有人大会，对基金份额持有人大会审议事项行使表决权；</w:t>
      </w:r>
    </w:p>
    <w:p w14:paraId="6409865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）查阅或者复制公开披露的基金信息资料；</w:t>
      </w:r>
    </w:p>
    <w:p w14:paraId="5C72EF0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）监督基金管理人的投资运作；</w:t>
      </w:r>
    </w:p>
    <w:p w14:paraId="4047AC7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）对基金管理人、基金托管人、基金服务机构损害其合法权益的行为依法提起诉讼或仲裁；</w:t>
      </w:r>
    </w:p>
    <w:p w14:paraId="18B0266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）法律法规及中国证监会规定的和《基金合同》约定的其他权利。</w:t>
      </w:r>
    </w:p>
    <w:p w14:paraId="38BEEB3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lastRenderedPageBreak/>
        <w:t>2</w:t>
      </w:r>
      <w:r>
        <w:rPr>
          <w:rFonts w:hint="eastAsia"/>
          <w:sz w:val="21"/>
          <w:szCs w:val="21"/>
        </w:rPr>
        <w:t>、根据《基金法》、《运作办法》及其他有关规定，基金份额持有人的义务包括但不限于：</w:t>
      </w:r>
    </w:p>
    <w:p w14:paraId="0F5302C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）认真阅读并遵守《基金合同》、招募说明书等信息披露文件；</w:t>
      </w:r>
    </w:p>
    <w:p w14:paraId="7E9EB66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）了解所投资基金产品，了解自身风险承受能力，自主判断基金的投资价值，自主做出投资决策，自行承担投资风险；</w:t>
      </w:r>
    </w:p>
    <w:p w14:paraId="29C78D8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）关注基金信息披露，及时行使权利和履行义务；</w:t>
      </w:r>
    </w:p>
    <w:p w14:paraId="678CD88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）交纳基金认购、申购款项及法律法规和《基金合同》所规定的费用；</w:t>
      </w:r>
    </w:p>
    <w:p w14:paraId="215C334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）在其持有的基金份额范围内，承担基金亏损或者《基金合同》终止的有限责任；</w:t>
      </w:r>
    </w:p>
    <w:p w14:paraId="6928CC8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）不从事任何有损基金及其他《基金合同》当事人合法权益的活动；</w:t>
      </w:r>
    </w:p>
    <w:p w14:paraId="5D3BB37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）执行生效的基金份额持有人大会的决定；</w:t>
      </w:r>
    </w:p>
    <w:p w14:paraId="56615E5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）返还在基金交易过程中因任何原因获得的不当得利；</w:t>
      </w:r>
    </w:p>
    <w:p w14:paraId="706DBFB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）法律法规及中国证监会规定的和《基金合同》约定的其他义务。</w:t>
      </w:r>
    </w:p>
    <w:p w14:paraId="3D61D17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（二）基金管理人的权利、义务</w:t>
      </w:r>
    </w:p>
    <w:p w14:paraId="6CAC817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、根据《基金法》、《运作办法》及其他有关规定，基金管理人的权利包括但不限于：</w:t>
      </w:r>
    </w:p>
    <w:p w14:paraId="30EE980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）依法募集资金；</w:t>
      </w:r>
    </w:p>
    <w:p w14:paraId="4C4B259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）自《基金合同》生效之日起，根据法律法规和《基金合同》独立运用并管理基金财产；</w:t>
      </w:r>
    </w:p>
    <w:p w14:paraId="79ED5AD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）依照《基金合同》收取基金管理费以及法律法规规定或中国证监会批准的其他费用；</w:t>
      </w:r>
    </w:p>
    <w:p w14:paraId="21C3775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）销售基金份额；</w:t>
      </w:r>
    </w:p>
    <w:p w14:paraId="62C5770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）按照规定召集基金份额持有人大会；</w:t>
      </w:r>
    </w:p>
    <w:p w14:paraId="4C752E0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）依据《基金合同》及有关法律规定监督基金托管人，如认为基金托管人违反了《基金合同》及国家有关法律规定，应呈报中国证监会和其他监管部门，并采取必要措施保护基金投资者的利益；</w:t>
      </w:r>
    </w:p>
    <w:p w14:paraId="46728EA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）在基金托管人更换时，提名新的基金托管人；</w:t>
      </w:r>
    </w:p>
    <w:p w14:paraId="33D6FED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 xml:space="preserve">）选择、更换基金销售机构，对基金销售机构的相关行为进行监督和处理； </w:t>
      </w:r>
    </w:p>
    <w:p w14:paraId="59FB996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 xml:space="preserve">）担任或委托其他符合条件的机构担任基金登记机构办理基金登记业务并获得《基金合同》规定的费用； </w:t>
      </w:r>
    </w:p>
    <w:p w14:paraId="2439FF8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）依据《基金合同》及有关法律规定决定基金收益的分配方案；</w:t>
      </w:r>
    </w:p>
    <w:p w14:paraId="600DC85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）在《基金合同》约定的范围内，拒绝或暂停受理申购与赎回申请；</w:t>
      </w:r>
    </w:p>
    <w:p w14:paraId="0BCAD48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）依照法律法规为基金的利益对被投资公司行使股东权利，为基金的利益行使因基金财产投资于证券所产生的权利；</w:t>
      </w:r>
    </w:p>
    <w:p w14:paraId="7F48C1C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 xml:space="preserve">）在法律法规允许的前提下，为基金的利益依法为基金进行融资； </w:t>
      </w:r>
    </w:p>
    <w:p w14:paraId="253E844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w:t>
      </w:r>
      <w:r>
        <w:rPr>
          <w:rFonts w:ascii="Times New Roman" w:hAnsi="Times New Roman" w:cs="Times New Roman"/>
          <w:sz w:val="21"/>
          <w:szCs w:val="21"/>
        </w:rPr>
        <w:t>14</w:t>
      </w:r>
      <w:r>
        <w:rPr>
          <w:rFonts w:hint="eastAsia"/>
          <w:sz w:val="21"/>
          <w:szCs w:val="21"/>
        </w:rPr>
        <w:t>）以基金管理人的名义，代表基金份额持有人的利益行使诉讼权利或者实施其他法律行为；</w:t>
      </w:r>
    </w:p>
    <w:p w14:paraId="6A6545D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15</w:t>
      </w:r>
      <w:r>
        <w:rPr>
          <w:rFonts w:hint="eastAsia"/>
          <w:sz w:val="21"/>
          <w:szCs w:val="21"/>
        </w:rPr>
        <w:t>）选择、更换律师事务所、会计师事务所、证券经纪商或其他为基金提供服务的外部机构；</w:t>
      </w:r>
    </w:p>
    <w:p w14:paraId="4A36710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16</w:t>
      </w:r>
      <w:r>
        <w:rPr>
          <w:rFonts w:hint="eastAsia"/>
          <w:sz w:val="21"/>
          <w:szCs w:val="21"/>
        </w:rPr>
        <w:t>）在符合有关法律、法规的前提下，制订和调整有关基金认购、申购、赎回、转换和非交易过户等业务规则；</w:t>
      </w:r>
    </w:p>
    <w:p w14:paraId="259BCEE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17</w:t>
      </w:r>
      <w:r>
        <w:rPr>
          <w:rFonts w:hint="eastAsia"/>
          <w:sz w:val="21"/>
          <w:szCs w:val="21"/>
        </w:rPr>
        <w:t>）法律法规及中国证监会规定的和《基金合同》约定的其他权利。</w:t>
      </w:r>
    </w:p>
    <w:p w14:paraId="655E0D59"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、根据《基金法》、《运作办法》及其他有关规定，基金管理人的义务包括但不限于：</w:t>
      </w:r>
    </w:p>
    <w:p w14:paraId="6432F27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）依法募集资金，办理或者委托经中国证监会认定的其他机构代为办理基金份额的发售、申购、赎回和登记事宜；</w:t>
      </w:r>
    </w:p>
    <w:p w14:paraId="118C7E9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）办理基金备案手续；</w:t>
      </w:r>
    </w:p>
    <w:p w14:paraId="55E266D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）自《基金合同》生效之日起，以诚实信用、谨慎勤勉的原则管理和运用基金财产；</w:t>
      </w:r>
    </w:p>
    <w:p w14:paraId="6991029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）配备足够的具有专业资格的人员进行基金投资分析、决策，以专业化的经营方式管理和运作基金财产；</w:t>
      </w:r>
    </w:p>
    <w:p w14:paraId="7B1DB15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）建立健全内部风险控制、监察与稽核、财务管理及人事管理等制度，保证所管理的基金财产和基金管理人的财产相互独立，对所管理的不同基金分别管理，分别记账，进行证券投资；</w:t>
      </w:r>
    </w:p>
    <w:p w14:paraId="3D2A8B2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）除依据《基金法》、《基金合同》及其他有关规定外，不得利用基金财产为自己及任何第三人谋取利益，不得委托第三人运作基金财产；</w:t>
      </w:r>
    </w:p>
    <w:p w14:paraId="2428A0D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）依法接受基金托管人的监督；</w:t>
      </w:r>
    </w:p>
    <w:p w14:paraId="45AF6439" w14:textId="731CD54D"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）采取适当合理的措施使计算基金份额认购、申购、赎回和注销价格的方法符合《基金合同》等法律文件的规定，按有关规定计算并公告</w:t>
      </w:r>
      <w:r w:rsidR="00BE6383" w:rsidRPr="00BE6383">
        <w:rPr>
          <w:rFonts w:hint="eastAsia"/>
          <w:bCs/>
          <w:sz w:val="21"/>
          <w:szCs w:val="21"/>
        </w:rPr>
        <w:t>基金净值</w:t>
      </w:r>
      <w:r w:rsidR="00BE6383" w:rsidRPr="00BE6383">
        <w:rPr>
          <w:bCs/>
          <w:sz w:val="21"/>
          <w:szCs w:val="21"/>
        </w:rPr>
        <w:t>信息</w:t>
      </w:r>
      <w:r>
        <w:rPr>
          <w:rFonts w:hint="eastAsia"/>
          <w:sz w:val="21"/>
          <w:szCs w:val="21"/>
        </w:rPr>
        <w:t>，确定基金份额申购、赎回的价格；</w:t>
      </w:r>
    </w:p>
    <w:p w14:paraId="74A4ABC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）进行基金会计核算并编制基金财务会计报告；</w:t>
      </w:r>
    </w:p>
    <w:p w14:paraId="6C5FFA84" w14:textId="342FDC91"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w:t>
      </w:r>
      <w:r w:rsidR="00BE6383" w:rsidRPr="00BE6383">
        <w:rPr>
          <w:bCs/>
          <w:sz w:val="21"/>
          <w:szCs w:val="21"/>
        </w:rPr>
        <w:t>编制</w:t>
      </w:r>
      <w:r w:rsidR="00BE6383" w:rsidRPr="00BE6383">
        <w:rPr>
          <w:rFonts w:hint="eastAsia"/>
          <w:bCs/>
          <w:sz w:val="21"/>
          <w:szCs w:val="21"/>
        </w:rPr>
        <w:t>季度报告</w:t>
      </w:r>
      <w:r w:rsidR="00BE6383" w:rsidRPr="00BE6383">
        <w:rPr>
          <w:bCs/>
          <w:sz w:val="21"/>
          <w:szCs w:val="21"/>
        </w:rPr>
        <w:t>、</w:t>
      </w:r>
      <w:r w:rsidR="00BE6383" w:rsidRPr="00BE6383">
        <w:rPr>
          <w:rFonts w:hint="eastAsia"/>
          <w:bCs/>
          <w:sz w:val="21"/>
          <w:szCs w:val="21"/>
        </w:rPr>
        <w:t>中期报告</w:t>
      </w:r>
      <w:r w:rsidR="00BE6383" w:rsidRPr="00BE6383">
        <w:rPr>
          <w:bCs/>
          <w:sz w:val="21"/>
          <w:szCs w:val="21"/>
        </w:rPr>
        <w:t>和年度报告</w:t>
      </w:r>
      <w:r>
        <w:rPr>
          <w:rFonts w:hint="eastAsia"/>
          <w:sz w:val="21"/>
          <w:szCs w:val="21"/>
        </w:rPr>
        <w:t>；</w:t>
      </w:r>
    </w:p>
    <w:p w14:paraId="391A7D6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）严格按照《基金法》、《基金合同》及其他有关规定，履行信息披露及报告义务；</w:t>
      </w:r>
    </w:p>
    <w:p w14:paraId="4848F3F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）保守基金商业秘密，不泄露基金投资计划、投资意向等。除《基金法》、《基金合同》及其他有关规定另有规定外，在基金信息公开披露前应予保密，不向他人泄露；</w:t>
      </w:r>
    </w:p>
    <w:p w14:paraId="31C3282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）按《基金合同》的约定确定基金收益分配方案，及时向基金份额持有人分配基金收益；</w:t>
      </w:r>
    </w:p>
    <w:p w14:paraId="26E79A6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14</w:t>
      </w:r>
      <w:r>
        <w:rPr>
          <w:rFonts w:hint="eastAsia"/>
          <w:sz w:val="21"/>
          <w:szCs w:val="21"/>
        </w:rPr>
        <w:t>）按规定受理申购与赎回申请，及时、足额支付赎回款项；</w:t>
      </w:r>
    </w:p>
    <w:p w14:paraId="1E1B83D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15</w:t>
      </w:r>
      <w:r>
        <w:rPr>
          <w:rFonts w:hint="eastAsia"/>
          <w:sz w:val="21"/>
          <w:szCs w:val="21"/>
        </w:rPr>
        <w:t>）依据《基金法》、《基金合同》及其他有关规定召集基金份额持有人大会或配合基金托管人、基金份额持有人依法召集基金份额持有人大会；</w:t>
      </w:r>
    </w:p>
    <w:p w14:paraId="209E875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w:t>
      </w:r>
      <w:r>
        <w:rPr>
          <w:rFonts w:ascii="Times New Roman" w:hAnsi="Times New Roman" w:cs="Times New Roman"/>
          <w:sz w:val="21"/>
          <w:szCs w:val="21"/>
        </w:rPr>
        <w:t>16</w:t>
      </w:r>
      <w:r>
        <w:rPr>
          <w:rFonts w:hint="eastAsia"/>
          <w:sz w:val="21"/>
          <w:szCs w:val="21"/>
        </w:rPr>
        <w:t>）按规定保存基金财产管理业务活动的会计账册、报表、记录和其他相关资料</w:t>
      </w:r>
      <w:r>
        <w:rPr>
          <w:rFonts w:ascii="Times New Roman" w:hAnsi="Times New Roman" w:cs="Times New Roman"/>
          <w:sz w:val="21"/>
          <w:szCs w:val="21"/>
        </w:rPr>
        <w:t>15</w:t>
      </w:r>
      <w:r>
        <w:rPr>
          <w:rFonts w:hint="eastAsia"/>
          <w:sz w:val="21"/>
          <w:szCs w:val="21"/>
        </w:rPr>
        <w:t>年以上；</w:t>
      </w:r>
    </w:p>
    <w:p w14:paraId="7CBA9DB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17</w:t>
      </w:r>
      <w:r>
        <w:rPr>
          <w:rFonts w:hint="eastAsia"/>
          <w:sz w:val="21"/>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1E42885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18</w:t>
      </w:r>
      <w:r>
        <w:rPr>
          <w:rFonts w:hint="eastAsia"/>
          <w:sz w:val="21"/>
          <w:szCs w:val="21"/>
        </w:rPr>
        <w:t>）组织并参加基金财产清算小组，参与基金财产的保管、清理、估价、变现和分配；</w:t>
      </w:r>
    </w:p>
    <w:p w14:paraId="7976723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19</w:t>
      </w:r>
      <w:r>
        <w:rPr>
          <w:rFonts w:hint="eastAsia"/>
          <w:sz w:val="21"/>
          <w:szCs w:val="21"/>
        </w:rPr>
        <w:t>）面临解散、依法被撤销或者被依法宣告破产时，及时报告中国证监会并通知基金托管人；</w:t>
      </w:r>
    </w:p>
    <w:p w14:paraId="5008695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20</w:t>
      </w:r>
      <w:r>
        <w:rPr>
          <w:rFonts w:hint="eastAsia"/>
          <w:sz w:val="21"/>
          <w:szCs w:val="21"/>
        </w:rPr>
        <w:t>）因违反《基金合同》导致基金财产的损失或损害基金份额持有人合法权益时，应当承担赔偿责任，其赔偿责任不因其退任而免除；</w:t>
      </w:r>
    </w:p>
    <w:p w14:paraId="6DBD313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21</w:t>
      </w:r>
      <w:r>
        <w:rPr>
          <w:rFonts w:hint="eastAsia"/>
          <w:sz w:val="21"/>
          <w:szCs w:val="21"/>
        </w:rPr>
        <w:t>）监督基金托管人按法律法规和《基金合同》规定履行自己的义务，基金托管人违反《基金合同》造成基金财产损失时，基金管理人应为基金份额持有人利益向基金托管人追偿；</w:t>
      </w:r>
    </w:p>
    <w:p w14:paraId="0E17428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22</w:t>
      </w:r>
      <w:r>
        <w:rPr>
          <w:rFonts w:hint="eastAsia"/>
          <w:sz w:val="21"/>
          <w:szCs w:val="21"/>
        </w:rPr>
        <w:t>）当基金管理人将其义务委托第三方处理时，应当对第三方处理有关基金事务的行为承担责任；</w:t>
      </w:r>
    </w:p>
    <w:p w14:paraId="2D5F628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23</w:t>
      </w:r>
      <w:r>
        <w:rPr>
          <w:rFonts w:hint="eastAsia"/>
          <w:sz w:val="21"/>
          <w:szCs w:val="21"/>
        </w:rPr>
        <w:t>）以基金管理人名义，代表基金份额持有人利益行使诉讼权利或实施其他法律行为；</w:t>
      </w:r>
    </w:p>
    <w:p w14:paraId="3F546F3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24</w:t>
      </w:r>
      <w:r>
        <w:rPr>
          <w:rFonts w:hint="eastAsia"/>
          <w:sz w:val="21"/>
          <w:szCs w:val="21"/>
        </w:rPr>
        <w:t>）基金管理人在募集期间未能达到基金的备案条件，《基金合同》不能生效，基金管理人承担全部募集费用，将已募集资金并加计银行同期存款利息在基金募集期结束后</w:t>
      </w:r>
      <w:r>
        <w:rPr>
          <w:rFonts w:ascii="Times New Roman" w:hAnsi="Times New Roman" w:cs="Times New Roman"/>
          <w:sz w:val="21"/>
          <w:szCs w:val="21"/>
        </w:rPr>
        <w:t>30</w:t>
      </w:r>
      <w:r>
        <w:rPr>
          <w:rFonts w:hint="eastAsia"/>
          <w:sz w:val="21"/>
          <w:szCs w:val="21"/>
        </w:rPr>
        <w:t>日内退还基金认购人；</w:t>
      </w:r>
    </w:p>
    <w:p w14:paraId="253BB9C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25</w:t>
      </w:r>
      <w:r>
        <w:rPr>
          <w:rFonts w:hint="eastAsia"/>
          <w:sz w:val="21"/>
          <w:szCs w:val="21"/>
        </w:rPr>
        <w:t>）执行生效的基金份额持有人大会的决议；</w:t>
      </w:r>
    </w:p>
    <w:p w14:paraId="7F5383A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26</w:t>
      </w:r>
      <w:r>
        <w:rPr>
          <w:rFonts w:hint="eastAsia"/>
          <w:sz w:val="21"/>
          <w:szCs w:val="21"/>
        </w:rPr>
        <w:t>）建立并保存基金份额持有人名册；</w:t>
      </w:r>
    </w:p>
    <w:p w14:paraId="41EE6E8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27</w:t>
      </w:r>
      <w:r>
        <w:rPr>
          <w:rFonts w:hint="eastAsia"/>
          <w:sz w:val="21"/>
          <w:szCs w:val="21"/>
        </w:rPr>
        <w:t>）法律法规及中国证监会规定的和《基金合同》约定的其他义务。</w:t>
      </w:r>
    </w:p>
    <w:p w14:paraId="7312977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（三）基金托管人的权利、义务</w:t>
      </w:r>
    </w:p>
    <w:p w14:paraId="2B4A98F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、根据《基金法》、《运作办法》及其他有关规定，基金托管人的权利包括但不限于：</w:t>
      </w:r>
    </w:p>
    <w:p w14:paraId="67D9F2D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）自《基金合同》生效之日起，依法律法规和《基金合同》的规定安全保管基金财产；</w:t>
      </w:r>
    </w:p>
    <w:p w14:paraId="2F46497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）依《基金合同》约定获得基金托管费以及法律法规规定或监管部门批准的其他费用；</w:t>
      </w:r>
    </w:p>
    <w:p w14:paraId="367E5EB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290524B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）根据相关市场规则，为基金开设证券账户、为基金办理证券交易资金清算；</w:t>
      </w:r>
    </w:p>
    <w:p w14:paraId="455E793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w:t>
      </w:r>
      <w:r>
        <w:rPr>
          <w:rFonts w:ascii="Times New Roman" w:hAnsi="Times New Roman" w:cs="Times New Roman"/>
          <w:sz w:val="21"/>
          <w:szCs w:val="21"/>
        </w:rPr>
        <w:t>5</w:t>
      </w:r>
      <w:r>
        <w:rPr>
          <w:rFonts w:hint="eastAsia"/>
          <w:sz w:val="21"/>
          <w:szCs w:val="21"/>
        </w:rPr>
        <w:t>）提议召开或召集基金份额持有人大会；</w:t>
      </w:r>
    </w:p>
    <w:p w14:paraId="545C182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）在基金管理人更换时，提名新的基金管理人；</w:t>
      </w:r>
    </w:p>
    <w:p w14:paraId="6C186C3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）法律法规及中国证监会规定的和《基金合同》约定的其他权利。</w:t>
      </w:r>
    </w:p>
    <w:p w14:paraId="7FFC22BD"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、根据《基金法》、《运作办法》及其他有关规定，基金托管人的义务包括但不限于：</w:t>
      </w:r>
    </w:p>
    <w:p w14:paraId="06CDA5A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）以诚实信用、勤勉尽责的原则持有并安全保管基金财产；</w:t>
      </w:r>
    </w:p>
    <w:p w14:paraId="1A59787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）设立专门的基金托管部门，具有符合要求的营业场所，配备足够的、合格的熟悉基金托管业务的专职人员，负责基金财产托管事宜；</w:t>
      </w:r>
    </w:p>
    <w:p w14:paraId="756E99C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2F0D9A5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）除依据《基金法》、《基金合同》及其他有关规定外，不得利用基金财产为自己及任何第三人谋取利益，不得委托第三人托管基金财产；</w:t>
      </w:r>
    </w:p>
    <w:p w14:paraId="37E6E6F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）保管由基金管理人代表基金签订的与基金有关的重大合同及有关凭证；</w:t>
      </w:r>
    </w:p>
    <w:p w14:paraId="3037E9D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）按规定开设基金财产的资金账户和证券账户，按照《基金合同》的约定，根据基金管理人的投资指令，及时办理清算、交割事宜；</w:t>
      </w:r>
    </w:p>
    <w:p w14:paraId="6C1217C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）保守基金商业秘密，除《基金法》、《基金合同》及其他有关规定另有规定外，在基金信息公开披露前予以保密，不得向他人泄露；</w:t>
      </w:r>
    </w:p>
    <w:p w14:paraId="0D27C64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）复核、审查基金管理人计算的基金资产净值、</w:t>
      </w:r>
      <w:r w:rsidR="00BE6383" w:rsidRPr="00BE6383">
        <w:rPr>
          <w:rFonts w:hint="eastAsia"/>
          <w:bCs/>
          <w:sz w:val="21"/>
          <w:szCs w:val="21"/>
        </w:rPr>
        <w:t>基金</w:t>
      </w:r>
      <w:r w:rsidR="00BE6383" w:rsidRPr="00BE6383">
        <w:rPr>
          <w:bCs/>
          <w:sz w:val="21"/>
          <w:szCs w:val="21"/>
        </w:rPr>
        <w:t>份额净值、</w:t>
      </w:r>
      <w:r>
        <w:rPr>
          <w:rFonts w:hint="eastAsia"/>
          <w:sz w:val="21"/>
          <w:szCs w:val="21"/>
        </w:rPr>
        <w:t>基金份额申购、赎回价格；</w:t>
      </w:r>
    </w:p>
    <w:p w14:paraId="49EE4B4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）办理与基金托管业务活动有关的信息披露事项；</w:t>
      </w:r>
    </w:p>
    <w:p w14:paraId="55CA2F64" w14:textId="2B2D683D"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w:t>
      </w:r>
      <w:r w:rsidR="00BE6383" w:rsidRPr="00BE6383">
        <w:rPr>
          <w:rFonts w:hint="eastAsia"/>
          <w:sz w:val="21"/>
          <w:szCs w:val="21"/>
        </w:rPr>
        <w:t>对基金财务会计报告、</w:t>
      </w:r>
      <w:r w:rsidR="00BE6383" w:rsidRPr="00BE6383">
        <w:rPr>
          <w:rFonts w:hint="eastAsia"/>
          <w:bCs/>
          <w:sz w:val="21"/>
          <w:szCs w:val="21"/>
        </w:rPr>
        <w:t>季度报告、中期报告</w:t>
      </w:r>
      <w:r w:rsidR="00BE6383" w:rsidRPr="00BE6383">
        <w:rPr>
          <w:bCs/>
          <w:sz w:val="21"/>
          <w:szCs w:val="21"/>
        </w:rPr>
        <w:t>和年度报告</w:t>
      </w:r>
      <w:r w:rsidR="00BE6383" w:rsidRPr="00BE6383">
        <w:rPr>
          <w:rFonts w:hint="eastAsia"/>
          <w:sz w:val="21"/>
          <w:szCs w:val="21"/>
        </w:rPr>
        <w:t>出具意见</w:t>
      </w:r>
      <w:r>
        <w:rPr>
          <w:rFonts w:hint="eastAsia"/>
          <w:sz w:val="21"/>
          <w:szCs w:val="21"/>
        </w:rPr>
        <w:t>，说明基金管理人在各重要方面的运作是否严格按照《基金合同》的规定进行；如果基金管理人有未执行《基金合同》规定的行为，还应当说明基金托管人是否采取了适当的措施；</w:t>
      </w:r>
    </w:p>
    <w:p w14:paraId="4888F84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）保存基金托管业务活动的记录、账册、报表和其他相关资料</w:t>
      </w:r>
      <w:r>
        <w:rPr>
          <w:rFonts w:ascii="Times New Roman" w:hAnsi="Times New Roman" w:cs="Times New Roman"/>
          <w:sz w:val="21"/>
          <w:szCs w:val="21"/>
        </w:rPr>
        <w:t>15</w:t>
      </w:r>
      <w:r>
        <w:rPr>
          <w:rFonts w:hint="eastAsia"/>
          <w:sz w:val="21"/>
          <w:szCs w:val="21"/>
        </w:rPr>
        <w:t>年以上；</w:t>
      </w:r>
    </w:p>
    <w:p w14:paraId="49AA8E2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）建立并保存基金份额持有人名册；</w:t>
      </w:r>
    </w:p>
    <w:p w14:paraId="2F1CEC8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）按规定制作相关账册并与基金管理人核对；</w:t>
      </w:r>
    </w:p>
    <w:p w14:paraId="03ABAA6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14</w:t>
      </w:r>
      <w:r>
        <w:rPr>
          <w:rFonts w:hint="eastAsia"/>
          <w:sz w:val="21"/>
          <w:szCs w:val="21"/>
        </w:rPr>
        <w:t>）依据基金管理人的指令或有关规定向基金份额持有人支付基金收益和赎回款项；</w:t>
      </w:r>
    </w:p>
    <w:p w14:paraId="6BB4E85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15</w:t>
      </w:r>
      <w:r>
        <w:rPr>
          <w:rFonts w:hint="eastAsia"/>
          <w:sz w:val="21"/>
          <w:szCs w:val="21"/>
        </w:rPr>
        <w:t>）依据《基金法》、《基金合同》及其他有关规定，召集基金份额持有人大会或配合基金份额持有人依法召集基金份额持有人大会；</w:t>
      </w:r>
    </w:p>
    <w:p w14:paraId="164230E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16</w:t>
      </w:r>
      <w:r>
        <w:rPr>
          <w:rFonts w:hint="eastAsia"/>
          <w:sz w:val="21"/>
          <w:szCs w:val="21"/>
        </w:rPr>
        <w:t>）按照法律法规和《基金合同》的规定监督基金管理人的投资运作；</w:t>
      </w:r>
    </w:p>
    <w:p w14:paraId="045B5CA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17</w:t>
      </w:r>
      <w:r>
        <w:rPr>
          <w:rFonts w:hint="eastAsia"/>
          <w:sz w:val="21"/>
          <w:szCs w:val="21"/>
        </w:rPr>
        <w:t>）参加基金财产清算小组，参与基金财产的保管、清理、估价、变现和分配；</w:t>
      </w:r>
    </w:p>
    <w:p w14:paraId="3FFE056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18</w:t>
      </w:r>
      <w:r>
        <w:rPr>
          <w:rFonts w:hint="eastAsia"/>
          <w:sz w:val="21"/>
          <w:szCs w:val="21"/>
        </w:rPr>
        <w:t>）面临解散、依法被撤销或者被依法宣告破产时，及时报告中国证监会和银行监管机构，并通知基金管理人；</w:t>
      </w:r>
    </w:p>
    <w:p w14:paraId="0F2203A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w:t>
      </w:r>
      <w:r>
        <w:rPr>
          <w:rFonts w:ascii="Times New Roman" w:hAnsi="Times New Roman" w:cs="Times New Roman"/>
          <w:sz w:val="21"/>
          <w:szCs w:val="21"/>
        </w:rPr>
        <w:t>19</w:t>
      </w:r>
      <w:r>
        <w:rPr>
          <w:rFonts w:hint="eastAsia"/>
          <w:sz w:val="21"/>
          <w:szCs w:val="21"/>
        </w:rPr>
        <w:t>）因违反《基金合同》导致基金财产损失时，应承担赔偿责任，其赔偿责任不因其退任而免除；</w:t>
      </w:r>
    </w:p>
    <w:p w14:paraId="26F20EB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20</w:t>
      </w:r>
      <w:r>
        <w:rPr>
          <w:rFonts w:hint="eastAsia"/>
          <w:sz w:val="21"/>
          <w:szCs w:val="21"/>
        </w:rPr>
        <w:t>）按规定监督基金管理人按法律法规和《基金合同》规定履行自己的义务，基金管理人因违反《基金合同》造成基金财产损失时，应为基金份额持有人利益向基金管理人追偿；</w:t>
      </w:r>
    </w:p>
    <w:p w14:paraId="2F2AF9B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21</w:t>
      </w:r>
      <w:r>
        <w:rPr>
          <w:rFonts w:hint="eastAsia"/>
          <w:sz w:val="21"/>
          <w:szCs w:val="21"/>
        </w:rPr>
        <w:t>）执行生效的基金份额持有人大会的决定；</w:t>
      </w:r>
    </w:p>
    <w:p w14:paraId="1EBAB1A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22</w:t>
      </w:r>
      <w:r>
        <w:rPr>
          <w:rFonts w:hint="eastAsia"/>
          <w:sz w:val="21"/>
          <w:szCs w:val="21"/>
        </w:rPr>
        <w:t>）法律法规及中国证监会规定的和《基金合同》约定的其他义务。</w:t>
      </w:r>
    </w:p>
    <w:p w14:paraId="7B3E3B2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二、基金份额持有人大会召集、议事及表决的程序和规则 </w:t>
      </w:r>
    </w:p>
    <w:p w14:paraId="1D6FCE5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份额持有人大会由基金份额持有人组成，基金份额持有人的合法授权代表有权代表基金份额持有人出席会议并表决。基金份额持有人持有的每一基金份额拥有平等的投票权。本基金暂不设置日常机构，日常机构的设置和相关规则按照法律法规的有关规定进行。</w:t>
      </w:r>
    </w:p>
    <w:p w14:paraId="654C8A0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（一）召开事由</w:t>
      </w:r>
    </w:p>
    <w:p w14:paraId="4458B40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、当出现或需要决定下列事由之一的，应当召开基金份额持有人大会，法律法规、中国证监会或基金合同另有约定的除外：</w:t>
      </w:r>
    </w:p>
    <w:p w14:paraId="19FFE0F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）终止《基金合同》；</w:t>
      </w:r>
    </w:p>
    <w:p w14:paraId="08671F5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）更换基金管理人；</w:t>
      </w:r>
    </w:p>
    <w:p w14:paraId="7729B60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）更换基金托管人；</w:t>
      </w:r>
    </w:p>
    <w:p w14:paraId="1639F71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）转换基金运作方式；</w:t>
      </w:r>
    </w:p>
    <w:p w14:paraId="48C8728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）提高基金管理人、基金托管人的报酬标准；</w:t>
      </w:r>
    </w:p>
    <w:p w14:paraId="4CDEDB6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）变更基金类别；</w:t>
      </w:r>
    </w:p>
    <w:p w14:paraId="1C94760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）本基金与其他基金的合并；</w:t>
      </w:r>
    </w:p>
    <w:p w14:paraId="0681DD4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）变更基金投资目标、范围或策略；</w:t>
      </w:r>
    </w:p>
    <w:p w14:paraId="3F13306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）变更基金份额持有人大会程序；</w:t>
      </w:r>
    </w:p>
    <w:p w14:paraId="5E35CFE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10</w:t>
      </w:r>
      <w:r>
        <w:rPr>
          <w:rFonts w:hint="eastAsia"/>
          <w:sz w:val="21"/>
          <w:szCs w:val="21"/>
        </w:rPr>
        <w:t>）基金管理人或基金托管人要求召开基金份额持有人大会；</w:t>
      </w:r>
    </w:p>
    <w:p w14:paraId="517629A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11</w:t>
      </w:r>
      <w:r>
        <w:rPr>
          <w:rFonts w:hint="eastAsia"/>
          <w:sz w:val="21"/>
          <w:szCs w:val="21"/>
        </w:rPr>
        <w:t>）单独或合计持有本基金总份额</w:t>
      </w:r>
      <w:r>
        <w:rPr>
          <w:rFonts w:ascii="Times New Roman" w:hAnsi="Times New Roman" w:cs="Times New Roman"/>
          <w:sz w:val="21"/>
          <w:szCs w:val="21"/>
        </w:rPr>
        <w:t>10%</w:t>
      </w:r>
      <w:r>
        <w:rPr>
          <w:rFonts w:hint="eastAsia"/>
          <w:sz w:val="21"/>
          <w:szCs w:val="21"/>
        </w:rPr>
        <w:t>以上（含</w:t>
      </w:r>
      <w:r>
        <w:rPr>
          <w:rFonts w:ascii="Times New Roman" w:hAnsi="Times New Roman" w:cs="Times New Roman"/>
          <w:sz w:val="21"/>
          <w:szCs w:val="21"/>
        </w:rPr>
        <w:t>10%</w:t>
      </w:r>
      <w:r>
        <w:rPr>
          <w:rFonts w:hint="eastAsia"/>
          <w:sz w:val="21"/>
          <w:szCs w:val="21"/>
        </w:rPr>
        <w:t>）基金份额的基金份额持有人（以基金管理人收到提议当日的基金份额计算，下同）就同一事项书面要求召开基金份额持有人大会；</w:t>
      </w:r>
    </w:p>
    <w:p w14:paraId="3D2A0B1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12</w:t>
      </w:r>
      <w:r>
        <w:rPr>
          <w:rFonts w:hint="eastAsia"/>
          <w:sz w:val="21"/>
          <w:szCs w:val="21"/>
        </w:rPr>
        <w:t>）对基金当事人权利和义务产生重大影响的其他事项；</w:t>
      </w:r>
    </w:p>
    <w:p w14:paraId="10F78BF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13</w:t>
      </w:r>
      <w:r>
        <w:rPr>
          <w:rFonts w:hint="eastAsia"/>
          <w:sz w:val="21"/>
          <w:szCs w:val="21"/>
        </w:rPr>
        <w:t>）法律法规、《基金合同》或中国证监会规定的其他应当召开基金份额持有人大会的事项。</w:t>
      </w:r>
    </w:p>
    <w:p w14:paraId="03C1D8E1"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、在法律法规和基金合同规定的范围内，在对基金份额持有人利益无实质性不利影响的情况下，以下情况可由基金管理人和基金托管人协商后修改，不需召开基金份额持有人大会：</w:t>
      </w:r>
    </w:p>
    <w:p w14:paraId="3EA9E82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）调低销售服务费；</w:t>
      </w:r>
    </w:p>
    <w:p w14:paraId="173C3E1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w:t>
      </w:r>
      <w:r>
        <w:rPr>
          <w:rFonts w:ascii="Times New Roman" w:hAnsi="Times New Roman" w:cs="Times New Roman"/>
          <w:sz w:val="21"/>
          <w:szCs w:val="21"/>
        </w:rPr>
        <w:t>2</w:t>
      </w:r>
      <w:r>
        <w:rPr>
          <w:rFonts w:hint="eastAsia"/>
          <w:sz w:val="21"/>
          <w:szCs w:val="21"/>
        </w:rPr>
        <w:t>）法律法规要求增加的基金费用的收取；</w:t>
      </w:r>
    </w:p>
    <w:p w14:paraId="7D27DAD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）调整本基金的申购费率、调低赎回费率或变更收费方式；</w:t>
      </w:r>
    </w:p>
    <w:p w14:paraId="7D03510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）增加、减少、调整基金份额类别设置；</w:t>
      </w:r>
    </w:p>
    <w:p w14:paraId="0349761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）基金管理人、登记机构、基金销售机构调整有关认购、申购、赎回、转换、非交易过户、转托管等业务规则；</w:t>
      </w:r>
    </w:p>
    <w:p w14:paraId="3444B29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）基金推出新业务或服务；</w:t>
      </w:r>
    </w:p>
    <w:p w14:paraId="4A83267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）因相应的法律法规发生变动而应当对《基金合同》进行修改；</w:t>
      </w:r>
    </w:p>
    <w:p w14:paraId="2467802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8</w:t>
      </w:r>
      <w:r>
        <w:rPr>
          <w:rFonts w:hint="eastAsia"/>
          <w:sz w:val="21"/>
          <w:szCs w:val="21"/>
        </w:rPr>
        <w:t>）对《基金合同》的修改对基金份额持有人利益无实质性不利影响或修改不涉及《基金合同》当事人权利义务关系发生重大变化；</w:t>
      </w:r>
    </w:p>
    <w:p w14:paraId="31ABC7E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9</w:t>
      </w:r>
      <w:r>
        <w:rPr>
          <w:rFonts w:hint="eastAsia"/>
          <w:sz w:val="21"/>
          <w:szCs w:val="21"/>
        </w:rPr>
        <w:t>）按照法律法规和《基金合同》规定不需召开基金份额持有人大会的以外的其他情形。</w:t>
      </w:r>
    </w:p>
    <w:p w14:paraId="2620FF8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（二）会议召集人及召集方式</w:t>
      </w:r>
    </w:p>
    <w:p w14:paraId="5AF7954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、除法律法规规定或《基金合同》另有约定外，基金份额持有人大会由基金管理人召集。</w:t>
      </w:r>
    </w:p>
    <w:p w14:paraId="6726268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、基金管理人未按规定召集或不能召开时，由基金托管人召集。</w:t>
      </w:r>
    </w:p>
    <w:p w14:paraId="3DA0ADD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、基金托管人认为有必要召开基金份额持有人大会的，应当向基金管理人提出书面提议。基金管理人应当自收到书面提议之日起</w:t>
      </w:r>
      <w:r>
        <w:rPr>
          <w:rFonts w:ascii="Times New Roman" w:hAnsi="Times New Roman" w:cs="Times New Roman"/>
          <w:sz w:val="21"/>
          <w:szCs w:val="21"/>
        </w:rPr>
        <w:t>10</w:t>
      </w:r>
      <w:r>
        <w:rPr>
          <w:rFonts w:hint="eastAsia"/>
          <w:sz w:val="21"/>
          <w:szCs w:val="21"/>
        </w:rPr>
        <w:t>日内决定是否召集，并书面告知基金托管人。基金管理人决定召集的，应当自出具书面决定之日起</w:t>
      </w:r>
      <w:r>
        <w:rPr>
          <w:rFonts w:ascii="Times New Roman" w:hAnsi="Times New Roman" w:cs="Times New Roman"/>
          <w:sz w:val="21"/>
          <w:szCs w:val="21"/>
        </w:rPr>
        <w:t>60</w:t>
      </w:r>
      <w:r>
        <w:rPr>
          <w:rFonts w:hint="eastAsia"/>
          <w:sz w:val="21"/>
          <w:szCs w:val="21"/>
        </w:rPr>
        <w:t>日内召开；基金管理人决定不召集，基金托管人仍认为有必要召开的，应当由基金托管人自行召集，并自出具书面决定之日起</w:t>
      </w:r>
      <w:r>
        <w:rPr>
          <w:rFonts w:ascii="Times New Roman" w:hAnsi="Times New Roman" w:cs="Times New Roman"/>
          <w:sz w:val="21"/>
          <w:szCs w:val="21"/>
        </w:rPr>
        <w:t>60</w:t>
      </w:r>
      <w:r>
        <w:rPr>
          <w:rFonts w:hint="eastAsia"/>
          <w:sz w:val="21"/>
          <w:szCs w:val="21"/>
        </w:rPr>
        <w:t>日内召开并告知基金管理人，基金管理人应当配合。</w:t>
      </w:r>
    </w:p>
    <w:p w14:paraId="5839A556"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、代表基金份额</w:t>
      </w:r>
      <w:r>
        <w:rPr>
          <w:rFonts w:ascii="Times New Roman" w:hAnsi="Times New Roman" w:cs="Times New Roman"/>
          <w:sz w:val="21"/>
          <w:szCs w:val="21"/>
        </w:rPr>
        <w:t>10%</w:t>
      </w:r>
      <w:r>
        <w:rPr>
          <w:rFonts w:hint="eastAsia"/>
          <w:sz w:val="21"/>
          <w:szCs w:val="21"/>
        </w:rPr>
        <w:t>以上（含</w:t>
      </w:r>
      <w:r>
        <w:rPr>
          <w:rFonts w:ascii="Times New Roman" w:hAnsi="Times New Roman" w:cs="Times New Roman"/>
          <w:sz w:val="21"/>
          <w:szCs w:val="21"/>
        </w:rPr>
        <w:t>10%</w:t>
      </w:r>
      <w:r>
        <w:rPr>
          <w:rFonts w:hint="eastAsia"/>
          <w:sz w:val="21"/>
          <w:szCs w:val="21"/>
        </w:rPr>
        <w:t>）的基金份额持有人就同一事项书面要求召开基金份额持有人大会，应当向基金管理人提出书面提议。基金管理人应当自收到书面提议之日起</w:t>
      </w:r>
      <w:r>
        <w:rPr>
          <w:rFonts w:ascii="Times New Roman" w:hAnsi="Times New Roman" w:cs="Times New Roman"/>
          <w:sz w:val="21"/>
          <w:szCs w:val="21"/>
        </w:rPr>
        <w:t>10</w:t>
      </w:r>
      <w:r>
        <w:rPr>
          <w:rFonts w:hint="eastAsia"/>
          <w:sz w:val="21"/>
          <w:szCs w:val="21"/>
        </w:rPr>
        <w:t>日内决定是否召集，并书面告知提出提议的基金份额持有人代表和基金托管人。基金管理人决定召集的，应当自出具书面决定之日起</w:t>
      </w:r>
      <w:r>
        <w:rPr>
          <w:rFonts w:ascii="Times New Roman" w:hAnsi="Times New Roman" w:cs="Times New Roman"/>
          <w:sz w:val="21"/>
          <w:szCs w:val="21"/>
        </w:rPr>
        <w:t>60</w:t>
      </w:r>
      <w:r>
        <w:rPr>
          <w:rFonts w:hint="eastAsia"/>
          <w:sz w:val="21"/>
          <w:szCs w:val="21"/>
        </w:rPr>
        <w:t>日内召开；基金管理人决定不召集，代表基金份额</w:t>
      </w:r>
      <w:r>
        <w:rPr>
          <w:rFonts w:ascii="Times New Roman" w:hAnsi="Times New Roman" w:cs="Times New Roman"/>
          <w:sz w:val="21"/>
          <w:szCs w:val="21"/>
        </w:rPr>
        <w:t>10%</w:t>
      </w:r>
      <w:r>
        <w:rPr>
          <w:rFonts w:hint="eastAsia"/>
          <w:sz w:val="21"/>
          <w:szCs w:val="21"/>
        </w:rPr>
        <w:t>以上（含</w:t>
      </w:r>
      <w:r>
        <w:rPr>
          <w:rFonts w:ascii="Times New Roman" w:hAnsi="Times New Roman" w:cs="Times New Roman"/>
          <w:sz w:val="21"/>
          <w:szCs w:val="21"/>
        </w:rPr>
        <w:t>10%</w:t>
      </w:r>
      <w:r>
        <w:rPr>
          <w:rFonts w:hint="eastAsia"/>
          <w:sz w:val="21"/>
          <w:szCs w:val="21"/>
        </w:rPr>
        <w:t>）的基金份额持有人仍认为有必要召开的，应当向基金托管人提出书面提议。基金托管人应当自收到书面提议之日起</w:t>
      </w:r>
      <w:r>
        <w:rPr>
          <w:rFonts w:ascii="Times New Roman" w:hAnsi="Times New Roman" w:cs="Times New Roman"/>
          <w:sz w:val="21"/>
          <w:szCs w:val="21"/>
        </w:rPr>
        <w:t>10</w:t>
      </w:r>
      <w:r>
        <w:rPr>
          <w:rFonts w:hint="eastAsia"/>
          <w:sz w:val="21"/>
          <w:szCs w:val="21"/>
        </w:rPr>
        <w:t>日内决定是否召集，并书面告知提出提议的基金份额持有人代表和基金管理人；基金托管人决定召集的，应当自出具书面决定之日起</w:t>
      </w:r>
      <w:r>
        <w:rPr>
          <w:rFonts w:ascii="Times New Roman" w:hAnsi="Times New Roman" w:cs="Times New Roman"/>
          <w:sz w:val="21"/>
          <w:szCs w:val="21"/>
        </w:rPr>
        <w:t>60</w:t>
      </w:r>
      <w:r>
        <w:rPr>
          <w:rFonts w:hint="eastAsia"/>
          <w:sz w:val="21"/>
          <w:szCs w:val="21"/>
        </w:rPr>
        <w:t>日内召开并告知基金管理人，基金管理人应当配合。</w:t>
      </w:r>
    </w:p>
    <w:p w14:paraId="3688AFB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、代表基金份额</w:t>
      </w:r>
      <w:r>
        <w:rPr>
          <w:rFonts w:ascii="Times New Roman" w:hAnsi="Times New Roman" w:cs="Times New Roman"/>
          <w:sz w:val="21"/>
          <w:szCs w:val="21"/>
        </w:rPr>
        <w:t>10%</w:t>
      </w:r>
      <w:r>
        <w:rPr>
          <w:rFonts w:hint="eastAsia"/>
          <w:sz w:val="21"/>
          <w:szCs w:val="21"/>
        </w:rPr>
        <w:t>以上（含</w:t>
      </w:r>
      <w:r>
        <w:rPr>
          <w:rFonts w:ascii="Times New Roman" w:hAnsi="Times New Roman" w:cs="Times New Roman"/>
          <w:sz w:val="21"/>
          <w:szCs w:val="21"/>
        </w:rPr>
        <w:t>10%</w:t>
      </w:r>
      <w:r>
        <w:rPr>
          <w:rFonts w:hint="eastAsia"/>
          <w:sz w:val="21"/>
          <w:szCs w:val="21"/>
        </w:rPr>
        <w:t>）的基金份额持有人就同一事项要求召开基金份额持有人大会，而基金管理人、基金托管人都不召集的，单独或合计代表基金份额</w:t>
      </w:r>
      <w:r>
        <w:rPr>
          <w:rFonts w:ascii="Times New Roman" w:hAnsi="Times New Roman" w:cs="Times New Roman"/>
          <w:sz w:val="21"/>
          <w:szCs w:val="21"/>
        </w:rPr>
        <w:t>10%</w:t>
      </w:r>
      <w:r>
        <w:rPr>
          <w:rFonts w:hint="eastAsia"/>
          <w:sz w:val="21"/>
          <w:szCs w:val="21"/>
        </w:rPr>
        <w:t>以上（含</w:t>
      </w:r>
      <w:r>
        <w:rPr>
          <w:rFonts w:ascii="Times New Roman" w:hAnsi="Times New Roman" w:cs="Times New Roman"/>
          <w:sz w:val="21"/>
          <w:szCs w:val="21"/>
        </w:rPr>
        <w:t>10%</w:t>
      </w:r>
      <w:r>
        <w:rPr>
          <w:rFonts w:hint="eastAsia"/>
          <w:sz w:val="21"/>
          <w:szCs w:val="21"/>
        </w:rPr>
        <w:t>）的基金份额持有人有权自行召集，并至少提前</w:t>
      </w:r>
      <w:r>
        <w:rPr>
          <w:rFonts w:ascii="Times New Roman" w:hAnsi="Times New Roman" w:cs="Times New Roman"/>
          <w:sz w:val="21"/>
          <w:szCs w:val="21"/>
        </w:rPr>
        <w:t>30</w:t>
      </w:r>
      <w:r>
        <w:rPr>
          <w:rFonts w:hint="eastAsia"/>
          <w:sz w:val="21"/>
          <w:szCs w:val="21"/>
        </w:rPr>
        <w:t>日报中国证监会备案。基金份额持有人依法自行召集基金份额持有人大会的，基金管理人、基金托管人应当配合，不得阻碍、干扰。</w:t>
      </w:r>
    </w:p>
    <w:p w14:paraId="34CA6A7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6</w:t>
      </w:r>
      <w:r>
        <w:rPr>
          <w:rFonts w:hint="eastAsia"/>
          <w:sz w:val="21"/>
          <w:szCs w:val="21"/>
        </w:rPr>
        <w:t>、基金份额持有人会议的召集人负责选择确定开会时间、地点、方式和权益登记日。</w:t>
      </w:r>
    </w:p>
    <w:p w14:paraId="5462D5F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（三）召开基金份额持有人大会的通知时间、通知内容、通知方式</w:t>
      </w:r>
    </w:p>
    <w:p w14:paraId="6EB6EE78"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、召开基金份额持有人大会，召集人应于会议召开前</w:t>
      </w:r>
      <w:r>
        <w:rPr>
          <w:rFonts w:ascii="Times New Roman" w:hAnsi="Times New Roman" w:cs="Times New Roman"/>
          <w:sz w:val="21"/>
          <w:szCs w:val="21"/>
        </w:rPr>
        <w:t>30</w:t>
      </w:r>
      <w:r>
        <w:rPr>
          <w:rFonts w:hint="eastAsia"/>
          <w:sz w:val="21"/>
          <w:szCs w:val="21"/>
        </w:rPr>
        <w:t>日，在指定媒介公告。基金份额持有人大会通知应至少载明以下内容：</w:t>
      </w:r>
    </w:p>
    <w:p w14:paraId="7AE762F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）会议召开的时间、地点和会议形式；</w:t>
      </w:r>
    </w:p>
    <w:p w14:paraId="19CC4A7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）会议拟审议的事项、议事程序和表决方式；</w:t>
      </w:r>
    </w:p>
    <w:p w14:paraId="4D517BA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）有权出席基金份额持有人大会的基金份额持有人的权益登记日；</w:t>
      </w:r>
    </w:p>
    <w:p w14:paraId="4A01163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）授权委托证明的内容要求（包括但不限于代理人身份，代理权限和代理有效期限等）、送达时间和地点；</w:t>
      </w:r>
    </w:p>
    <w:p w14:paraId="26BD714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）会务常设联系人姓名及联系电话；</w:t>
      </w:r>
    </w:p>
    <w:p w14:paraId="4CAF86F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）出席会议者必须准备的文件和必须履行的手续；</w:t>
      </w:r>
    </w:p>
    <w:p w14:paraId="04D960D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）召集人需要通知的其他事项。</w:t>
      </w:r>
    </w:p>
    <w:p w14:paraId="2265BB6E"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33D426D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14:paraId="6CE271D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（四）基金份额持有人出席会议的方式</w:t>
      </w:r>
    </w:p>
    <w:p w14:paraId="4637769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基金份额持有人大会可通过现场开会方式、通讯开会方式或法律法规和监管机关允许的其他方式召开，会议的召开方式由会议召集人确定。</w:t>
      </w:r>
    </w:p>
    <w:p w14:paraId="58CC6A9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w:t>
      </w:r>
    </w:p>
    <w:p w14:paraId="3521515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5A3A121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rFonts w:ascii="Times New Roman" w:hAnsi="Times New Roman" w:cs="Times New Roman"/>
          <w:sz w:val="21"/>
          <w:szCs w:val="21"/>
        </w:rPr>
        <w:t>3</w:t>
      </w:r>
      <w:r>
        <w:rPr>
          <w:rFonts w:hint="eastAsia"/>
          <w:sz w:val="21"/>
          <w:szCs w:val="21"/>
        </w:rPr>
        <w:t>个月以后、</w:t>
      </w:r>
      <w:r>
        <w:rPr>
          <w:rFonts w:ascii="Times New Roman" w:hAnsi="Times New Roman" w:cs="Times New Roman"/>
          <w:sz w:val="21"/>
          <w:szCs w:val="21"/>
        </w:rPr>
        <w:t>6</w:t>
      </w:r>
      <w:r>
        <w:rPr>
          <w:rFonts w:hint="eastAsia"/>
          <w:sz w:val="21"/>
          <w:szCs w:val="21"/>
        </w:rPr>
        <w:t>个月以内，就原定审议事项重</w:t>
      </w:r>
      <w:r>
        <w:rPr>
          <w:rFonts w:hint="eastAsia"/>
          <w:sz w:val="21"/>
          <w:szCs w:val="21"/>
        </w:rPr>
        <w:lastRenderedPageBreak/>
        <w:t>新召集基金份额持有人大会。重新召集的基金份额持有人大会到会者在权益登记日代表的有效的基金份额应不少于本基金在权益登记日基金总份额的三分之一（含三分之一）。</w:t>
      </w:r>
    </w:p>
    <w:p w14:paraId="00D562B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、通讯开会。通讯开会系指基金份额持有人将其对表决事项的投票以会议通知载明的形式在表决截至日以前送达至召集人指定的地址。</w:t>
      </w:r>
    </w:p>
    <w:p w14:paraId="1537BB5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在同时符合以下条件时，通讯开会的方式视为有效：</w:t>
      </w:r>
    </w:p>
    <w:p w14:paraId="161B352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）会议召集人按《基金合同》约定公布会议通知后，在</w:t>
      </w:r>
      <w:r>
        <w:rPr>
          <w:rFonts w:ascii="Times New Roman" w:hAnsi="Times New Roman" w:cs="Times New Roman"/>
          <w:sz w:val="21"/>
          <w:szCs w:val="21"/>
        </w:rPr>
        <w:t>2</w:t>
      </w:r>
      <w:r>
        <w:rPr>
          <w:rFonts w:hint="eastAsia"/>
          <w:sz w:val="21"/>
          <w:szCs w:val="21"/>
        </w:rPr>
        <w:t>个工作日内连续公布相关提示性公告；</w:t>
      </w:r>
    </w:p>
    <w:p w14:paraId="2CD1F24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14:paraId="0D47F08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w:t>
      </w:r>
      <w:r>
        <w:rPr>
          <w:rFonts w:ascii="Times New Roman" w:hAnsi="Times New Roman" w:cs="Times New Roman"/>
          <w:sz w:val="21"/>
          <w:szCs w:val="21"/>
        </w:rPr>
        <w:t>3</w:t>
      </w:r>
      <w:r>
        <w:rPr>
          <w:rFonts w:hint="eastAsia"/>
          <w:sz w:val="21"/>
          <w:szCs w:val="21"/>
        </w:rPr>
        <w:t>个月以后、</w:t>
      </w:r>
      <w:r>
        <w:rPr>
          <w:rFonts w:ascii="Times New Roman" w:hAnsi="Times New Roman" w:cs="Times New Roman"/>
          <w:sz w:val="21"/>
          <w:szCs w:val="21"/>
        </w:rPr>
        <w:t>6</w:t>
      </w:r>
      <w:r>
        <w:rPr>
          <w:rFonts w:hint="eastAsia"/>
          <w:sz w:val="21"/>
          <w:szCs w:val="21"/>
        </w:rPr>
        <w:t>个月以内，就原定审议事项重新召集基金份额持有人大会。重新召集的基金份额持有人大会应当有代表三分之一（含三分之一）以上基金份额的持有人直接出具书面意见或授权他人代表出具书面意见；</w:t>
      </w:r>
    </w:p>
    <w:p w14:paraId="1BE3811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）上述第（</w:t>
      </w:r>
      <w:r>
        <w:rPr>
          <w:rFonts w:ascii="Times New Roman" w:hAnsi="Times New Roman" w:cs="Times New Roman"/>
          <w:sz w:val="21"/>
          <w:szCs w:val="21"/>
        </w:rPr>
        <w:t>3</w:t>
      </w:r>
      <w:r>
        <w:rPr>
          <w:rFonts w:hint="eastAsia"/>
          <w:sz w:val="21"/>
          <w:szCs w:val="21"/>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14:paraId="01DC0BDD"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基金份额持有人亦可以采用书面、网络、电话、短信或其他方式进行表决，具体方式由会议召集人确定并在会议通知中列明。</w:t>
      </w:r>
    </w:p>
    <w:p w14:paraId="71BFD77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（五）议事内容与程序</w:t>
      </w:r>
    </w:p>
    <w:p w14:paraId="67B9DEF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、议事内容及提案权</w:t>
      </w:r>
    </w:p>
    <w:p w14:paraId="60AA894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096279A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基金份额持有人大会的召集人发出召集会议的通知后，对原有提案的修改应当在基金份额持有人大会召开前及时公告。</w:t>
      </w:r>
    </w:p>
    <w:p w14:paraId="21E219B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基金份额持有人大会不得对未事先公告的议事内容进行表决。</w:t>
      </w:r>
    </w:p>
    <w:p w14:paraId="7A00783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、议事程序</w:t>
      </w:r>
    </w:p>
    <w:p w14:paraId="7F10927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）现场开会</w:t>
      </w:r>
    </w:p>
    <w:p w14:paraId="39CF0FB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w:t>
      </w:r>
    </w:p>
    <w:p w14:paraId="579B5D9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会议召集人应当制作出席会议人员的签名册。签名册载明参加会议人员姓名（或单位名称）、身份证明文件号码、持有或代表有表决权的基金份额、委托人姓名（或单位名称）和联系方式等事项。</w:t>
      </w:r>
    </w:p>
    <w:p w14:paraId="7E6134F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）通讯开会</w:t>
      </w:r>
    </w:p>
    <w:p w14:paraId="723A489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在通讯开会的情况下，首先由召集人提前</w:t>
      </w:r>
      <w:r>
        <w:rPr>
          <w:rFonts w:ascii="Times New Roman" w:hAnsi="Times New Roman" w:cs="Times New Roman"/>
          <w:sz w:val="21"/>
          <w:szCs w:val="21"/>
        </w:rPr>
        <w:t>30</w:t>
      </w:r>
      <w:r>
        <w:rPr>
          <w:rFonts w:hint="eastAsia"/>
          <w:sz w:val="21"/>
          <w:szCs w:val="21"/>
        </w:rPr>
        <w:t>日公布提案，在所通知的表决截止日期后</w:t>
      </w:r>
      <w:r>
        <w:rPr>
          <w:rFonts w:ascii="Times New Roman" w:hAnsi="Times New Roman" w:cs="Times New Roman"/>
          <w:sz w:val="21"/>
          <w:szCs w:val="21"/>
        </w:rPr>
        <w:t>2</w:t>
      </w:r>
      <w:r>
        <w:rPr>
          <w:rFonts w:hint="eastAsia"/>
          <w:sz w:val="21"/>
          <w:szCs w:val="21"/>
        </w:rPr>
        <w:t>个工作日内在公证机关监督下由召集人统计全部有效表决，在公证机关监督下形成决议。</w:t>
      </w:r>
    </w:p>
    <w:p w14:paraId="40FFA6B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（六）表决</w:t>
      </w:r>
    </w:p>
    <w:p w14:paraId="2AAC916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基金份额持有人所持每份基金份额有一票表决权。</w:t>
      </w:r>
    </w:p>
    <w:p w14:paraId="3953EA9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基金份额持有人大会决议分为一般决议和特别决议：</w:t>
      </w:r>
    </w:p>
    <w:p w14:paraId="635BCDEA"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、一般决议，一般决议须经参加大会的基金份额持有人或其代理人所持表决权的二分之一以上（含二分之一）通过方为有效；除下列第</w:t>
      </w:r>
      <w:r>
        <w:rPr>
          <w:rFonts w:ascii="Times New Roman" w:hAnsi="Times New Roman" w:cs="Times New Roman"/>
          <w:sz w:val="21"/>
          <w:szCs w:val="21"/>
        </w:rPr>
        <w:t>2</w:t>
      </w:r>
      <w:r>
        <w:rPr>
          <w:rFonts w:hint="eastAsia"/>
          <w:sz w:val="21"/>
          <w:szCs w:val="21"/>
        </w:rPr>
        <w:t>项所规定的须以特别决议通过事项以外的其他事项均以一般决议的方式通过。</w:t>
      </w:r>
    </w:p>
    <w:p w14:paraId="53F77E2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特别决议，特别决议应当经参加大会的基金份额持有人或其代理人所持表决权的三分之二以上（含三分之二）通过方可做出。除本基金合同另有约定的，转换基金运作方式、更换基金管理人或者基金托管人、终止《基金合同》以特别决议通过方为有效。</w:t>
      </w:r>
    </w:p>
    <w:p w14:paraId="58AF401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基金份额持有人大会采取记名方式进行投票表决。</w:t>
      </w:r>
    </w:p>
    <w:p w14:paraId="563B56E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3D80AE0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基金份额持有人大会的各项提案或同一项提案内并列的各项议题应当分开审议、逐项表决。</w:t>
      </w:r>
    </w:p>
    <w:p w14:paraId="0CA06C6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（七）计票</w:t>
      </w:r>
    </w:p>
    <w:p w14:paraId="016A7D1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、现场开会</w:t>
      </w:r>
    </w:p>
    <w:p w14:paraId="6D4C8EA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2D096D3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）监票人应当在基金份额持有人表决后立即进行清点并由大会主持人当场公布计票结果。</w:t>
      </w:r>
    </w:p>
    <w:p w14:paraId="5DAFC68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3B60D47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）计票过程应由公证机关予以公证，基金管理人或基金托管人拒不出席大会的，不影响计票的效力。</w:t>
      </w:r>
    </w:p>
    <w:p w14:paraId="0CC3600D"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、通讯开会</w:t>
      </w:r>
    </w:p>
    <w:p w14:paraId="3E489A8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14:paraId="025C212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（八）生效与公告</w:t>
      </w:r>
    </w:p>
    <w:p w14:paraId="2370AA4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基金份额持有人大会的决议，召集人应当自通过之日起</w:t>
      </w:r>
      <w:r>
        <w:rPr>
          <w:rFonts w:ascii="Times New Roman" w:hAnsi="Times New Roman" w:cs="Times New Roman"/>
          <w:sz w:val="21"/>
          <w:szCs w:val="21"/>
        </w:rPr>
        <w:t>5</w:t>
      </w:r>
      <w:r>
        <w:rPr>
          <w:rFonts w:hint="eastAsia"/>
          <w:sz w:val="21"/>
          <w:szCs w:val="21"/>
        </w:rPr>
        <w:t>日内报中国证监会备案。</w:t>
      </w:r>
    </w:p>
    <w:p w14:paraId="3441998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基金份额持有人大会的决议自表决通过之日起生效。</w:t>
      </w:r>
    </w:p>
    <w:p w14:paraId="53AC7756" w14:textId="0804C388"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基金份额持有人大会决议自生效之日起</w:t>
      </w:r>
      <w:r>
        <w:rPr>
          <w:rFonts w:ascii="Times New Roman" w:hAnsi="Times New Roman" w:cs="Times New Roman"/>
          <w:sz w:val="21"/>
          <w:szCs w:val="21"/>
        </w:rPr>
        <w:t>2</w:t>
      </w:r>
      <w:r>
        <w:rPr>
          <w:rFonts w:hint="eastAsia"/>
          <w:sz w:val="21"/>
          <w:szCs w:val="21"/>
        </w:rPr>
        <w:t>日内在指定媒介上公告。如果采用通讯方式进行表决，在公告基金份额持有人大会决议时，必须将公证书全文、公证机构、公证员姓名等一同公告。</w:t>
      </w:r>
    </w:p>
    <w:p w14:paraId="1A6AF22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基金管理人、基金托管人和基金份额持有人应当执行生效的基金份额持有人大会的决议。生效的基金份额持有人大会决议对全体基金份额持有人、基金管理人、基金托管人均有约束力。</w:t>
      </w:r>
    </w:p>
    <w:p w14:paraId="13D8F98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（九）本部分关于基金份额持有人大会召开事由、召开条件、议事程序、表决条件等规定，凡是直接引用法律法规的部分，如将来法律法规修改导致相关内容被取消或变更的，</w:t>
      </w:r>
      <w:r>
        <w:rPr>
          <w:rFonts w:hint="eastAsia"/>
          <w:sz w:val="21"/>
          <w:szCs w:val="21"/>
        </w:rPr>
        <w:lastRenderedPageBreak/>
        <w:t>基金管理人提前公告后，可直接对本部分内容进行修改和调整，无需召开基金份额持有人大会审议。</w:t>
      </w:r>
    </w:p>
    <w:p w14:paraId="05E9290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三、基金合同变更和终止的事由、程序 </w:t>
      </w:r>
    </w:p>
    <w:p w14:paraId="5CD6BBF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（一）《基金合同》的变更</w:t>
      </w:r>
    </w:p>
    <w:p w14:paraId="34F6D4B1"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变更基金合同涉及法律法规规定或本合同约定应经基金份额持有人大会决议通过的事项的，应召开基金份额持有人大会决议通过。对于可不经基金份额持有人大会决议通过的事项，由基金管理人和基金托管人同意后变更并公告，并报中国证监会备案。</w:t>
      </w:r>
    </w:p>
    <w:p w14:paraId="7C4A66D5" w14:textId="39CDE3F1"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、关于《基金合同》变更的基金份额持有人大会决议生效后方可执行，并自决议生效后两日内在指定媒介公告。</w:t>
      </w:r>
    </w:p>
    <w:p w14:paraId="4D58061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（二）《基金合同》的终止事由</w:t>
      </w:r>
    </w:p>
    <w:p w14:paraId="44EEA55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有下列情形之一的，《基金合同》应当终止：</w:t>
      </w:r>
    </w:p>
    <w:p w14:paraId="124A5759"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、基金份额持有人大会决定终止的；</w:t>
      </w:r>
    </w:p>
    <w:p w14:paraId="4905A927"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、基金管理人、基金托管人职责终止，在</w:t>
      </w:r>
      <w:r>
        <w:rPr>
          <w:rFonts w:ascii="Times New Roman" w:hAnsi="Times New Roman" w:cs="Times New Roman"/>
          <w:sz w:val="21"/>
          <w:szCs w:val="21"/>
        </w:rPr>
        <w:t>6</w:t>
      </w:r>
      <w:r>
        <w:rPr>
          <w:rFonts w:hint="eastAsia"/>
          <w:sz w:val="21"/>
          <w:szCs w:val="21"/>
        </w:rPr>
        <w:t>个月内没有新基金管理人、新基金托管人承接的；</w:t>
      </w:r>
    </w:p>
    <w:p w14:paraId="7937235E"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、《基金合同》约定的其他情形；</w:t>
      </w:r>
    </w:p>
    <w:p w14:paraId="5354C40F"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、相关法律法规和中国证监会规定的其他情况。</w:t>
      </w:r>
    </w:p>
    <w:p w14:paraId="75F2577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（三）基金财产的清算</w:t>
      </w:r>
    </w:p>
    <w:p w14:paraId="6D12CFF7"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、基金财产清算小组：自出现《基金合同》终止事由之日起</w:t>
      </w:r>
      <w:r>
        <w:rPr>
          <w:rFonts w:ascii="Times New Roman" w:hAnsi="Times New Roman" w:cs="Times New Roman"/>
          <w:sz w:val="21"/>
          <w:szCs w:val="21"/>
        </w:rPr>
        <w:t>30</w:t>
      </w:r>
      <w:r>
        <w:rPr>
          <w:rFonts w:hint="eastAsia"/>
          <w:sz w:val="21"/>
          <w:szCs w:val="21"/>
        </w:rPr>
        <w:t>个工作日内成立清算小组，基金管理人组织基金财产清算小组并在中国证监会的监督下进行基金清算。</w:t>
      </w:r>
    </w:p>
    <w:p w14:paraId="05C11F4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5CD8E970"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、基金财产清算小组职责：基金财产清算小组负责基金财产的保管、清理、估价、变现和分配。基金财产清算小组可以依法进行必要的民事活动。</w:t>
      </w:r>
    </w:p>
    <w:p w14:paraId="08804BF3"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、基金财产清算程序：</w:t>
      </w:r>
    </w:p>
    <w:p w14:paraId="3CEE701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）《基金合同》终止情形出现时，由基金财产清算小组统一接管基金；</w:t>
      </w:r>
    </w:p>
    <w:p w14:paraId="224EC86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）对基金财产和债权债务进行清理和确认；</w:t>
      </w:r>
    </w:p>
    <w:p w14:paraId="436B953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）对基金财产进行估值和变现；</w:t>
      </w:r>
    </w:p>
    <w:p w14:paraId="1147A7B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）制作清算报告；</w:t>
      </w:r>
    </w:p>
    <w:p w14:paraId="04F8BC7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）聘请会计师事务所对清算报告进行外部审计，聘请律师事务所对清算报告出具法律意见书；</w:t>
      </w:r>
    </w:p>
    <w:p w14:paraId="5562FD8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）将清算报告报中国证监会备案并公告；</w:t>
      </w:r>
    </w:p>
    <w:p w14:paraId="51A58EF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）对基金财产进行分配。</w:t>
      </w:r>
    </w:p>
    <w:p w14:paraId="57699E66"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、基金财产清算的期限为</w:t>
      </w:r>
      <w:r>
        <w:rPr>
          <w:rFonts w:ascii="Times New Roman" w:hAnsi="Times New Roman" w:cs="Times New Roman"/>
          <w:sz w:val="21"/>
          <w:szCs w:val="21"/>
        </w:rPr>
        <w:t>6</w:t>
      </w:r>
      <w:r>
        <w:rPr>
          <w:rFonts w:hint="eastAsia"/>
          <w:sz w:val="21"/>
          <w:szCs w:val="21"/>
        </w:rPr>
        <w:t>个月。</w:t>
      </w:r>
    </w:p>
    <w:p w14:paraId="09EE89A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（四）清算费用</w:t>
      </w:r>
    </w:p>
    <w:p w14:paraId="1F23499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清算费用是指基金财产清算小组在进行基金清算过程中发生的所有合理费用，清算费用由基金财产清算小组优先从基金财产中支付。</w:t>
      </w:r>
    </w:p>
    <w:p w14:paraId="27CA3C9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（五）基金财产清算剩余资产的分配</w:t>
      </w:r>
    </w:p>
    <w:p w14:paraId="1482F21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依据基金财产清算的分配方案，将基金财产清算后的全部剩余资产扣除基金财产清算费用、交纳所欠税款并清偿基金债务后，按基金份额持有人持有的基金份额比例进行分配。</w:t>
      </w:r>
    </w:p>
    <w:p w14:paraId="7E8E9E5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（六）基金财产清算的公告</w:t>
      </w:r>
    </w:p>
    <w:p w14:paraId="405D7A1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Pr>
          <w:rFonts w:ascii="Times New Roman" w:hAnsi="Times New Roman" w:cs="Times New Roman"/>
          <w:sz w:val="21"/>
          <w:szCs w:val="21"/>
        </w:rPr>
        <w:t>5</w:t>
      </w:r>
      <w:r>
        <w:rPr>
          <w:rFonts w:hint="eastAsia"/>
          <w:sz w:val="21"/>
          <w:szCs w:val="21"/>
        </w:rPr>
        <w:t>个工作日内由基金财产清算小组进行公告。</w:t>
      </w:r>
    </w:p>
    <w:p w14:paraId="5D20F82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（七）基金财产清算账册及文件的保存</w:t>
      </w:r>
    </w:p>
    <w:p w14:paraId="54DCD46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基金财产清算账册及有关文件由基金托管人保存</w:t>
      </w:r>
      <w:r>
        <w:rPr>
          <w:rFonts w:ascii="Times New Roman" w:hAnsi="Times New Roman" w:cs="Times New Roman"/>
          <w:sz w:val="21"/>
          <w:szCs w:val="21"/>
        </w:rPr>
        <w:t>15</w:t>
      </w:r>
      <w:r>
        <w:rPr>
          <w:rFonts w:hint="eastAsia"/>
          <w:sz w:val="21"/>
          <w:szCs w:val="21"/>
        </w:rPr>
        <w:t>年以上。</w:t>
      </w:r>
    </w:p>
    <w:p w14:paraId="36CE0E6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四、争议解决方式 </w:t>
      </w:r>
    </w:p>
    <w:p w14:paraId="1A0C214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各方当事人同意，因《基金合同》而产生的或与《基金合同》有关的一切争议，如经友好协商未能解决的，任何一方均有权将争议提交上海国际经济贸易仲裁委员会，按照上海国际经济贸易仲裁委员会届时有效的仲裁规则进行仲裁。仲裁地点为上海市。仲裁裁决是终局的，对各方当事人均有约束力，仲裁费用由败诉方承担。</w:t>
      </w:r>
    </w:p>
    <w:p w14:paraId="5E6449D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争议处理期间，基金合同当事人应恪守各自的职责，继续忠实、勤勉、尽责地履行基金合同规定的义务，维护基金份额持有人的合法权益。</w:t>
      </w:r>
    </w:p>
    <w:p w14:paraId="4870F89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《基金合同》受中国法律管辖。</w:t>
      </w:r>
    </w:p>
    <w:p w14:paraId="30FEC4D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五、基金合同存放地和投资人取得基金合同的方式 </w:t>
      </w:r>
    </w:p>
    <w:p w14:paraId="38D2B7E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《基金合同》可印制成册，供投资者在基金管理人、基金托管人、销售机构的办公场所和营业场所查阅。</w:t>
      </w:r>
    </w:p>
    <w:p w14:paraId="06E641E3" w14:textId="77777777" w:rsidR="00D0083C" w:rsidRDefault="00854AE5">
      <w:pPr>
        <w:pStyle w:val="1"/>
        <w:spacing w:before="240" w:line="360" w:lineRule="auto"/>
        <w:jc w:val="center"/>
        <w:divId w:val="1122842215"/>
        <w:rPr>
          <w:sz w:val="24"/>
          <w:szCs w:val="24"/>
        </w:rPr>
      </w:pPr>
      <w:bookmarkStart w:id="96" w:name="_Toc387824885"/>
      <w:r>
        <w:rPr>
          <w:rFonts w:hint="eastAsia"/>
          <w:sz w:val="24"/>
          <w:szCs w:val="24"/>
        </w:rPr>
        <w:t>第十九部分</w:t>
      </w:r>
      <w:r>
        <w:rPr>
          <w:rFonts w:hint="eastAsia"/>
          <w:sz w:val="24"/>
          <w:szCs w:val="24"/>
        </w:rPr>
        <w:t xml:space="preserve"> </w:t>
      </w:r>
      <w:r>
        <w:rPr>
          <w:rFonts w:hint="eastAsia"/>
          <w:sz w:val="24"/>
          <w:szCs w:val="24"/>
        </w:rPr>
        <w:t>基金托管协议的内容摘要</w:t>
      </w:r>
      <w:bookmarkEnd w:id="96"/>
    </w:p>
    <w:p w14:paraId="4A7A459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一、基金托管协议当事人 </w:t>
      </w:r>
    </w:p>
    <w:p w14:paraId="4FCC2DB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基金管理人：鹏华基金管理有限公司</w:t>
      </w:r>
    </w:p>
    <w:p w14:paraId="67035F8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注册地址：广东省深圳市福田区福华三路</w:t>
      </w:r>
      <w:r>
        <w:rPr>
          <w:rFonts w:ascii="Times New Roman" w:hAnsi="Times New Roman" w:cs="Times New Roman"/>
          <w:sz w:val="21"/>
          <w:szCs w:val="21"/>
        </w:rPr>
        <w:t>168</w:t>
      </w:r>
      <w:r>
        <w:rPr>
          <w:rFonts w:hint="eastAsia"/>
          <w:sz w:val="21"/>
          <w:szCs w:val="21"/>
        </w:rPr>
        <w:t>号国际商会中心</w:t>
      </w:r>
      <w:r>
        <w:rPr>
          <w:rFonts w:ascii="Times New Roman" w:hAnsi="Times New Roman" w:cs="Times New Roman"/>
          <w:sz w:val="21"/>
          <w:szCs w:val="21"/>
        </w:rPr>
        <w:t>43</w:t>
      </w:r>
      <w:r>
        <w:rPr>
          <w:rFonts w:hint="eastAsia"/>
          <w:sz w:val="21"/>
          <w:szCs w:val="21"/>
        </w:rPr>
        <w:t>层</w:t>
      </w:r>
    </w:p>
    <w:p w14:paraId="0773F2B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办公地址：广东省深圳市福田区福华三路</w:t>
      </w:r>
      <w:r>
        <w:rPr>
          <w:rFonts w:ascii="Times New Roman" w:hAnsi="Times New Roman" w:cs="Times New Roman"/>
          <w:sz w:val="21"/>
          <w:szCs w:val="21"/>
        </w:rPr>
        <w:t>168</w:t>
      </w:r>
      <w:r>
        <w:rPr>
          <w:rFonts w:hint="eastAsia"/>
          <w:sz w:val="21"/>
          <w:szCs w:val="21"/>
        </w:rPr>
        <w:t>号国际商会中心</w:t>
      </w:r>
      <w:r>
        <w:rPr>
          <w:rFonts w:ascii="Times New Roman" w:hAnsi="Times New Roman" w:cs="Times New Roman"/>
          <w:sz w:val="21"/>
          <w:szCs w:val="21"/>
        </w:rPr>
        <w:t>43</w:t>
      </w:r>
      <w:r>
        <w:rPr>
          <w:rFonts w:hint="eastAsia"/>
          <w:sz w:val="21"/>
          <w:szCs w:val="21"/>
        </w:rPr>
        <w:t>层</w:t>
      </w:r>
    </w:p>
    <w:p w14:paraId="063427D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邮政编码：</w:t>
      </w:r>
      <w:r>
        <w:rPr>
          <w:rFonts w:ascii="Times New Roman" w:hAnsi="Times New Roman" w:cs="Times New Roman"/>
          <w:sz w:val="21"/>
          <w:szCs w:val="21"/>
        </w:rPr>
        <w:t>518048</w:t>
      </w:r>
    </w:p>
    <w:p w14:paraId="19E8004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法定代表人：何如</w:t>
      </w:r>
    </w:p>
    <w:p w14:paraId="7460441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成立时间：</w:t>
      </w:r>
      <w:r>
        <w:rPr>
          <w:rFonts w:ascii="Times New Roman" w:hAnsi="Times New Roman" w:cs="Times New Roman"/>
          <w:sz w:val="21"/>
          <w:szCs w:val="21"/>
        </w:rPr>
        <w:t>1998</w:t>
      </w:r>
      <w:r>
        <w:rPr>
          <w:rFonts w:hint="eastAsia"/>
          <w:sz w:val="21"/>
          <w:szCs w:val="21"/>
        </w:rPr>
        <w:t>年</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22</w:t>
      </w:r>
      <w:r>
        <w:rPr>
          <w:rFonts w:hint="eastAsia"/>
          <w:sz w:val="21"/>
          <w:szCs w:val="21"/>
        </w:rPr>
        <w:t>日</w:t>
      </w:r>
    </w:p>
    <w:p w14:paraId="2C220AF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批准设立机关：中国证券监督管理委员会</w:t>
      </w:r>
    </w:p>
    <w:p w14:paraId="310A838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批准设立文号：中国证监会证监基金字</w:t>
      </w:r>
      <w:r>
        <w:rPr>
          <w:rFonts w:ascii="Times New Roman" w:hAnsi="Times New Roman" w:cs="Times New Roman"/>
          <w:sz w:val="21"/>
          <w:szCs w:val="21"/>
        </w:rPr>
        <w:t>[1998]31</w:t>
      </w:r>
      <w:r>
        <w:rPr>
          <w:rFonts w:hint="eastAsia"/>
          <w:sz w:val="21"/>
          <w:szCs w:val="21"/>
        </w:rPr>
        <w:t>号</w:t>
      </w:r>
    </w:p>
    <w:p w14:paraId="7B6408C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组织形式：有限责任公司</w:t>
      </w:r>
    </w:p>
    <w:p w14:paraId="47B1085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注册资本：壹亿伍仟万元人民币</w:t>
      </w:r>
    </w:p>
    <w:p w14:paraId="6D98DF6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存续期间：持续经营</w:t>
      </w:r>
    </w:p>
    <w:p w14:paraId="1CBFFD7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经营范围：基金募集；基金销售；资产管理和中国证监会许可的其他业务</w:t>
      </w:r>
    </w:p>
    <w:p w14:paraId="0C6B7FCC"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 </w:t>
      </w:r>
    </w:p>
    <w:p w14:paraId="1312661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基金托管人：上海浦东发展银行股份有限公司</w:t>
      </w:r>
    </w:p>
    <w:p w14:paraId="43E4386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办公地址：上海市北京东路</w:t>
      </w:r>
      <w:r>
        <w:rPr>
          <w:rFonts w:ascii="Times New Roman" w:hAnsi="Times New Roman" w:cs="Times New Roman"/>
          <w:sz w:val="21"/>
          <w:szCs w:val="21"/>
        </w:rPr>
        <w:t>689</w:t>
      </w:r>
      <w:r>
        <w:rPr>
          <w:rFonts w:hint="eastAsia"/>
          <w:sz w:val="21"/>
          <w:szCs w:val="21"/>
        </w:rPr>
        <w:t>号</w:t>
      </w:r>
    </w:p>
    <w:p w14:paraId="2555C24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法定代表人：吉晓辉</w:t>
      </w:r>
    </w:p>
    <w:p w14:paraId="660A1FD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成立日期：</w:t>
      </w:r>
      <w:r>
        <w:rPr>
          <w:rFonts w:ascii="Times New Roman" w:hAnsi="Times New Roman" w:cs="Times New Roman"/>
          <w:sz w:val="21"/>
          <w:szCs w:val="21"/>
        </w:rPr>
        <w:t>1992</w:t>
      </w:r>
      <w:r>
        <w:rPr>
          <w:rFonts w:hint="eastAsia"/>
          <w:sz w:val="21"/>
          <w:szCs w:val="21"/>
        </w:rPr>
        <w:t>年</w:t>
      </w:r>
      <w:r>
        <w:rPr>
          <w:rFonts w:ascii="Times New Roman" w:hAnsi="Times New Roman" w:cs="Times New Roman"/>
          <w:sz w:val="21"/>
          <w:szCs w:val="21"/>
        </w:rPr>
        <w:t>10</w:t>
      </w:r>
      <w:r>
        <w:rPr>
          <w:rFonts w:hint="eastAsia"/>
          <w:sz w:val="21"/>
          <w:szCs w:val="21"/>
        </w:rPr>
        <w:t>月</w:t>
      </w:r>
      <w:r>
        <w:rPr>
          <w:rFonts w:ascii="Times New Roman" w:hAnsi="Times New Roman" w:cs="Times New Roman"/>
          <w:sz w:val="21"/>
          <w:szCs w:val="21"/>
        </w:rPr>
        <w:t>19</w:t>
      </w:r>
      <w:r>
        <w:rPr>
          <w:rFonts w:hint="eastAsia"/>
          <w:sz w:val="21"/>
          <w:szCs w:val="21"/>
        </w:rPr>
        <w:t>日</w:t>
      </w:r>
    </w:p>
    <w:p w14:paraId="2D7447F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基金托管业务资格批准机关：中国证监会</w:t>
      </w:r>
    </w:p>
    <w:p w14:paraId="60FA4FF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基金托管业务资格文号：证监基金字</w:t>
      </w:r>
      <w:r>
        <w:rPr>
          <w:rFonts w:ascii="Times New Roman" w:hAnsi="Times New Roman" w:cs="Times New Roman"/>
          <w:sz w:val="21"/>
          <w:szCs w:val="21"/>
        </w:rPr>
        <w:t>[2003]105</w:t>
      </w:r>
      <w:r>
        <w:rPr>
          <w:rFonts w:hint="eastAsia"/>
          <w:sz w:val="21"/>
          <w:szCs w:val="21"/>
        </w:rPr>
        <w:t>号</w:t>
      </w:r>
    </w:p>
    <w:p w14:paraId="7DDA59C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组织形式：股份有限公司（上市）</w:t>
      </w:r>
    </w:p>
    <w:p w14:paraId="3CB3C14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注册资本：人民币</w:t>
      </w:r>
      <w:r>
        <w:rPr>
          <w:rFonts w:ascii="Times New Roman" w:hAnsi="Times New Roman" w:cs="Times New Roman"/>
          <w:sz w:val="21"/>
          <w:szCs w:val="21"/>
        </w:rPr>
        <w:t>186.5347</w:t>
      </w:r>
      <w:r>
        <w:rPr>
          <w:rFonts w:hint="eastAsia"/>
          <w:sz w:val="21"/>
          <w:szCs w:val="21"/>
        </w:rPr>
        <w:t>亿元</w:t>
      </w:r>
    </w:p>
    <w:p w14:paraId="57097B8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经营期限：永久存续</w:t>
      </w:r>
    </w:p>
    <w:p w14:paraId="21D3FA1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二、基金托管人对基金管理人的业务监督和核查 </w:t>
      </w:r>
    </w:p>
    <w:p w14:paraId="5C2E830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（一）基金托管人对基金管理人的投资行为行使监督权</w:t>
      </w:r>
    </w:p>
    <w:p w14:paraId="7F6647C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基金托管人根据有关法律法规的规定和《基金合同》的约定，对下述基金投资范围、投资对象进行监督。</w:t>
      </w:r>
    </w:p>
    <w:p w14:paraId="11DBECF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本基金将投资于以下金融工具：</w:t>
      </w:r>
    </w:p>
    <w:p w14:paraId="3D1E939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的投资范围主要为具有良好流动性的固定收益类品种，包括国债、金融债、企业债、公司债、央行票据、地方政府债、中期票据、短期融资券、可分离交易可转债的纯债部分、资产支持证券、中小企业私募债、次级债、同业存单、债券回购、银行存款等法律法规或中国证监会允许基金投资的其他固定收益类金融工具（但须符合中国证监会的相关规定）。本基金不投资于股票、权证等权益类资产，也不投资于可转换债券（可分离交易可转债的纯债部分除外）、可交换债券。</w:t>
      </w:r>
    </w:p>
    <w:p w14:paraId="5910520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上述投资范围中，对于投资同业存单，基金管理人与基金托管人协商确定相应的准备时间。</w:t>
      </w:r>
    </w:p>
    <w:p w14:paraId="6228D34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如法律法规或监管机构以后允许基金投资其他品种，基金管理人在履行适当程序后，可以将其纳入投资范围。</w:t>
      </w:r>
    </w:p>
    <w:p w14:paraId="533D3B3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合同》已明确约定基金投资风格或证券选择标准的，基金管理人应按照基金托管人要求的格式提供投资品种，以便基金托管人运用相关技术系统，对基金实际投资是否符合《基金合同》关于证券选择标准的约定进行监督，对存在疑义的事项进行核查。</w:t>
      </w:r>
    </w:p>
    <w:p w14:paraId="6F161F5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本基金不得投资于相关法律、法规、部门规章及《基金合同》禁止投资的投资工具。</w:t>
      </w:r>
    </w:p>
    <w:p w14:paraId="3EBE70A7"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lastRenderedPageBreak/>
        <w:t>2.</w:t>
      </w:r>
      <w:r>
        <w:rPr>
          <w:rFonts w:hint="eastAsia"/>
          <w:sz w:val="21"/>
          <w:szCs w:val="21"/>
        </w:rPr>
        <w:t>基金托管人根据有关法律法规的规定及《基金合同》的约定对下述基金投融资比例进行监督：</w:t>
      </w:r>
    </w:p>
    <w:p w14:paraId="2AF49B4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）按法律法规的规定及《基金合同》的约定，本基金的投资资产配置比例为：</w:t>
      </w:r>
    </w:p>
    <w:p w14:paraId="04F68A4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本基金对债券的投资比例不低于基金资产的</w:t>
      </w:r>
      <w:r>
        <w:rPr>
          <w:rFonts w:ascii="Times New Roman" w:hAnsi="Times New Roman" w:cs="Times New Roman"/>
          <w:sz w:val="21"/>
          <w:szCs w:val="21"/>
        </w:rPr>
        <w:t>80%</w:t>
      </w:r>
      <w:r>
        <w:rPr>
          <w:rFonts w:hint="eastAsia"/>
          <w:sz w:val="21"/>
          <w:szCs w:val="21"/>
        </w:rPr>
        <w:t>，现金或到期日在一年以内的政府债券的投资比例不低于基金资产净值的</w:t>
      </w:r>
      <w:r>
        <w:rPr>
          <w:rFonts w:ascii="Times New Roman" w:hAnsi="Times New Roman" w:cs="Times New Roman"/>
          <w:sz w:val="21"/>
          <w:szCs w:val="21"/>
        </w:rPr>
        <w:t>5%</w:t>
      </w:r>
      <w:r>
        <w:rPr>
          <w:rFonts w:hint="eastAsia"/>
          <w:sz w:val="21"/>
          <w:szCs w:val="21"/>
        </w:rPr>
        <w:t>，其中现金不包括结算备付金、存出保证金、应收申购款等。</w:t>
      </w:r>
    </w:p>
    <w:p w14:paraId="01238D3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因基金规模或市场变化等因素导致投资组合不符合上述规定的，基金管理人应在合理的期限内调整基金的投资组合，以符合上述比例限定。法律法规另有规定时，从其规定。</w:t>
      </w:r>
    </w:p>
    <w:p w14:paraId="4BECBB5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如法律法规或监管机构以后允许本基金投资其他品种，基金管理人在履行适当程序后，可以将其纳入投资范围，并可依据届时有效的法律法规适时合理地调整投资范围。</w:t>
      </w:r>
    </w:p>
    <w:p w14:paraId="53DBBBF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 xml:space="preserve">）根据法律法规的规定及《基金合同》的约定，本基金投资组合遵循以下投资限制： </w:t>
      </w:r>
    </w:p>
    <w:p w14:paraId="2FC6E359"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）本基金对债券的投资比例不低于基金资产的</w:t>
      </w:r>
      <w:r>
        <w:rPr>
          <w:rFonts w:ascii="Times New Roman" w:hAnsi="Times New Roman" w:cs="Times New Roman"/>
          <w:sz w:val="21"/>
          <w:szCs w:val="21"/>
        </w:rPr>
        <w:t>80%</w:t>
      </w:r>
      <w:r>
        <w:rPr>
          <w:rFonts w:hint="eastAsia"/>
          <w:sz w:val="21"/>
          <w:szCs w:val="21"/>
        </w:rPr>
        <w:t>；</w:t>
      </w:r>
    </w:p>
    <w:p w14:paraId="7C0CA76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）保持不低于基金资产净值</w:t>
      </w:r>
      <w:r>
        <w:rPr>
          <w:rFonts w:ascii="Times New Roman" w:hAnsi="Times New Roman" w:cs="Times New Roman"/>
          <w:sz w:val="21"/>
          <w:szCs w:val="21"/>
        </w:rPr>
        <w:t>5%</w:t>
      </w:r>
      <w:r>
        <w:rPr>
          <w:rFonts w:hint="eastAsia"/>
          <w:sz w:val="21"/>
          <w:szCs w:val="21"/>
        </w:rPr>
        <w:t>的现金或者到期日在一年以内的政府债券，其中现金不包括结算备付金、存出保证金、应收申购款等；</w:t>
      </w:r>
    </w:p>
    <w:p w14:paraId="0C7EB446"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）本基金持有一家公司发行的证券，其市值不超过基金资产净值的</w:t>
      </w:r>
      <w:r>
        <w:rPr>
          <w:rFonts w:ascii="Times New Roman" w:hAnsi="Times New Roman" w:cs="Times New Roman"/>
          <w:sz w:val="21"/>
          <w:szCs w:val="21"/>
        </w:rPr>
        <w:t>10%</w:t>
      </w:r>
      <w:r>
        <w:rPr>
          <w:rFonts w:hint="eastAsia"/>
          <w:sz w:val="21"/>
          <w:szCs w:val="21"/>
        </w:rPr>
        <w:t>；</w:t>
      </w:r>
    </w:p>
    <w:p w14:paraId="73D6882A"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）本基金管理人管理的全部基金持有一家公司发行的证券，不超过该证券的</w:t>
      </w:r>
      <w:r>
        <w:rPr>
          <w:rFonts w:ascii="Times New Roman" w:hAnsi="Times New Roman" w:cs="Times New Roman"/>
          <w:sz w:val="21"/>
          <w:szCs w:val="21"/>
        </w:rPr>
        <w:t>10%</w:t>
      </w:r>
      <w:r>
        <w:rPr>
          <w:rFonts w:hint="eastAsia"/>
          <w:sz w:val="21"/>
          <w:szCs w:val="21"/>
        </w:rPr>
        <w:t>；</w:t>
      </w:r>
    </w:p>
    <w:p w14:paraId="0832AFF1"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）本基金投资于同一原始权益人的各类资产支持证券的比例，不得超过基金资产净值的</w:t>
      </w:r>
      <w:r>
        <w:rPr>
          <w:rFonts w:ascii="Times New Roman" w:hAnsi="Times New Roman" w:cs="Times New Roman"/>
          <w:sz w:val="21"/>
          <w:szCs w:val="21"/>
        </w:rPr>
        <w:t>10%</w:t>
      </w:r>
      <w:r>
        <w:rPr>
          <w:rFonts w:hint="eastAsia"/>
          <w:sz w:val="21"/>
          <w:szCs w:val="21"/>
        </w:rPr>
        <w:t>；</w:t>
      </w:r>
    </w:p>
    <w:p w14:paraId="1B946D9F"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6</w:t>
      </w:r>
      <w:r>
        <w:rPr>
          <w:rFonts w:hint="eastAsia"/>
          <w:sz w:val="21"/>
          <w:szCs w:val="21"/>
        </w:rPr>
        <w:t>）本基金持有的全部资产支持证券，其市值不得超过基金资产净值的</w:t>
      </w:r>
      <w:r>
        <w:rPr>
          <w:rFonts w:ascii="Times New Roman" w:hAnsi="Times New Roman" w:cs="Times New Roman"/>
          <w:sz w:val="21"/>
          <w:szCs w:val="21"/>
        </w:rPr>
        <w:t>20%</w:t>
      </w:r>
      <w:r>
        <w:rPr>
          <w:rFonts w:hint="eastAsia"/>
          <w:sz w:val="21"/>
          <w:szCs w:val="21"/>
        </w:rPr>
        <w:t>，中国证监会规定的特殊品种除外；</w:t>
      </w:r>
    </w:p>
    <w:p w14:paraId="283E21AA"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7</w:t>
      </w:r>
      <w:r>
        <w:rPr>
          <w:rFonts w:hint="eastAsia"/>
          <w:sz w:val="21"/>
          <w:szCs w:val="21"/>
        </w:rPr>
        <w:t>）本基金持有的同一（指同一信用级别）资产支持证券的比例，不得超过该资产支持证券规模的</w:t>
      </w:r>
      <w:r>
        <w:rPr>
          <w:rFonts w:ascii="Times New Roman" w:hAnsi="Times New Roman" w:cs="Times New Roman"/>
          <w:sz w:val="21"/>
          <w:szCs w:val="21"/>
        </w:rPr>
        <w:t>10%</w:t>
      </w:r>
      <w:r>
        <w:rPr>
          <w:rFonts w:hint="eastAsia"/>
          <w:sz w:val="21"/>
          <w:szCs w:val="21"/>
        </w:rPr>
        <w:t>；</w:t>
      </w:r>
    </w:p>
    <w:p w14:paraId="729E335F"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8</w:t>
      </w:r>
      <w:r>
        <w:rPr>
          <w:rFonts w:hint="eastAsia"/>
          <w:sz w:val="21"/>
          <w:szCs w:val="21"/>
        </w:rPr>
        <w:t>）本基金管理人管理的全部基金投资于同一原始权益人的各类资产支持证券，不得超过其各类资产支持证券合计规模的</w:t>
      </w:r>
      <w:r>
        <w:rPr>
          <w:rFonts w:ascii="Times New Roman" w:hAnsi="Times New Roman" w:cs="Times New Roman"/>
          <w:sz w:val="21"/>
          <w:szCs w:val="21"/>
        </w:rPr>
        <w:t>10%</w:t>
      </w:r>
      <w:r>
        <w:rPr>
          <w:rFonts w:hint="eastAsia"/>
          <w:sz w:val="21"/>
          <w:szCs w:val="21"/>
        </w:rPr>
        <w:t>；</w:t>
      </w:r>
    </w:p>
    <w:p w14:paraId="3A25C1B1"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9</w:t>
      </w:r>
      <w:r>
        <w:rPr>
          <w:rFonts w:hint="eastAsia"/>
          <w:sz w:val="21"/>
          <w:szCs w:val="21"/>
        </w:rPr>
        <w:t>）本基金应投资于信用级别评级为</w:t>
      </w:r>
      <w:r>
        <w:rPr>
          <w:rFonts w:ascii="Times New Roman" w:hAnsi="Times New Roman" w:cs="Times New Roman"/>
          <w:sz w:val="21"/>
          <w:szCs w:val="21"/>
        </w:rPr>
        <w:t>BBB</w:t>
      </w:r>
      <w:r>
        <w:rPr>
          <w:rFonts w:hint="eastAsia"/>
          <w:sz w:val="21"/>
          <w:szCs w:val="21"/>
        </w:rPr>
        <w:t>以上（含</w:t>
      </w:r>
      <w:r>
        <w:rPr>
          <w:rFonts w:ascii="Times New Roman" w:hAnsi="Times New Roman" w:cs="Times New Roman"/>
          <w:sz w:val="21"/>
          <w:szCs w:val="21"/>
        </w:rPr>
        <w:t>BBB</w:t>
      </w:r>
      <w:r>
        <w:rPr>
          <w:rFonts w:hint="eastAsia"/>
          <w:sz w:val="21"/>
          <w:szCs w:val="21"/>
        </w:rPr>
        <w:t>）的资产支持证券。基金持有资产支持证券期间，如果其信用等级下降、不再符合投资标准，应在评级报告发布之日起</w:t>
      </w:r>
      <w:r>
        <w:rPr>
          <w:rFonts w:ascii="Times New Roman" w:hAnsi="Times New Roman" w:cs="Times New Roman"/>
          <w:sz w:val="21"/>
          <w:szCs w:val="21"/>
        </w:rPr>
        <w:t>3</w:t>
      </w:r>
      <w:r>
        <w:rPr>
          <w:rFonts w:hint="eastAsia"/>
          <w:sz w:val="21"/>
          <w:szCs w:val="21"/>
        </w:rPr>
        <w:t>个月内予以全部卖出；</w:t>
      </w:r>
    </w:p>
    <w:p w14:paraId="558478A5"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10</w:t>
      </w:r>
      <w:r>
        <w:rPr>
          <w:rFonts w:hint="eastAsia"/>
          <w:sz w:val="21"/>
          <w:szCs w:val="21"/>
        </w:rPr>
        <w:t>）本基金进入全国银行间同业市场进行债券回购的资金余额不得超过基金资产净值的</w:t>
      </w:r>
      <w:r>
        <w:rPr>
          <w:rFonts w:ascii="Times New Roman" w:hAnsi="Times New Roman" w:cs="Times New Roman"/>
          <w:sz w:val="21"/>
          <w:szCs w:val="21"/>
        </w:rPr>
        <w:t>40%</w:t>
      </w:r>
      <w:r>
        <w:rPr>
          <w:rFonts w:hint="eastAsia"/>
          <w:sz w:val="21"/>
          <w:szCs w:val="21"/>
        </w:rPr>
        <w:t>；在全国银行间同业市场的债券回购最长期限为</w:t>
      </w:r>
      <w:r>
        <w:rPr>
          <w:rFonts w:ascii="Times New Roman" w:hAnsi="Times New Roman" w:cs="Times New Roman"/>
          <w:sz w:val="21"/>
          <w:szCs w:val="21"/>
        </w:rPr>
        <w:t>1</w:t>
      </w:r>
      <w:r>
        <w:rPr>
          <w:rFonts w:hint="eastAsia"/>
          <w:sz w:val="21"/>
          <w:szCs w:val="21"/>
        </w:rPr>
        <w:t>年，债券回购到期后不得展期；</w:t>
      </w:r>
    </w:p>
    <w:p w14:paraId="5615278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11</w:t>
      </w:r>
      <w:r>
        <w:rPr>
          <w:rFonts w:hint="eastAsia"/>
          <w:sz w:val="21"/>
          <w:szCs w:val="21"/>
        </w:rPr>
        <w:t>）本基金持有单只中小企业私募债券，其市值不得超过基金资产净值的</w:t>
      </w:r>
      <w:r>
        <w:rPr>
          <w:rFonts w:ascii="Times New Roman" w:hAnsi="Times New Roman" w:cs="Times New Roman"/>
          <w:sz w:val="21"/>
          <w:szCs w:val="21"/>
        </w:rPr>
        <w:t>10%</w:t>
      </w:r>
      <w:r>
        <w:rPr>
          <w:rFonts w:hint="eastAsia"/>
          <w:sz w:val="21"/>
          <w:szCs w:val="21"/>
        </w:rPr>
        <w:t>；</w:t>
      </w:r>
    </w:p>
    <w:p w14:paraId="049990B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12</w:t>
      </w:r>
      <w:r>
        <w:rPr>
          <w:rFonts w:hint="eastAsia"/>
          <w:sz w:val="21"/>
          <w:szCs w:val="21"/>
        </w:rPr>
        <w:t>）本基金总资产不得超过基金净资产的</w:t>
      </w:r>
      <w:r>
        <w:rPr>
          <w:rFonts w:ascii="Times New Roman" w:hAnsi="Times New Roman" w:cs="Times New Roman"/>
          <w:sz w:val="21"/>
          <w:szCs w:val="21"/>
        </w:rPr>
        <w:t>140%</w:t>
      </w:r>
      <w:r>
        <w:rPr>
          <w:rFonts w:hint="eastAsia"/>
          <w:sz w:val="21"/>
          <w:szCs w:val="21"/>
        </w:rPr>
        <w:t>；</w:t>
      </w:r>
    </w:p>
    <w:p w14:paraId="1251012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13</w:t>
      </w:r>
      <w:r>
        <w:rPr>
          <w:rFonts w:hint="eastAsia"/>
          <w:sz w:val="21"/>
          <w:szCs w:val="21"/>
        </w:rPr>
        <w:t>）本基金主动投资于流动性受限资产的市值合计不得超过该基金资产净值的</w:t>
      </w:r>
      <w:r>
        <w:rPr>
          <w:rFonts w:ascii="Times New Roman" w:hAnsi="Times New Roman" w:cs="Times New Roman"/>
          <w:sz w:val="21"/>
          <w:szCs w:val="21"/>
        </w:rPr>
        <w:t>15%</w:t>
      </w:r>
      <w:r>
        <w:rPr>
          <w:rFonts w:hint="eastAsia"/>
          <w:sz w:val="21"/>
          <w:szCs w:val="21"/>
        </w:rPr>
        <w:t>。因证券市场波动、基金规模变动等基金管理人之外的因素致使基金不符合前述所规定比例限制的，基金管理人不得主动新增流动性受限资产的投资；</w:t>
      </w:r>
    </w:p>
    <w:p w14:paraId="48A57AF3"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lastRenderedPageBreak/>
        <w:t>14</w:t>
      </w:r>
      <w:r>
        <w:rPr>
          <w:rFonts w:hint="eastAsia"/>
          <w:sz w:val="21"/>
          <w:szCs w:val="21"/>
        </w:rPr>
        <w:t>）本基金与私募类证券资管产品及中国证监会认定的其他主体为交易对手开展逆回购交易的，可接受质押品的资质要求应当与基金合同约定的投资范围保持一致；</w:t>
      </w:r>
    </w:p>
    <w:p w14:paraId="0F6A90F3"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15</w:t>
      </w:r>
      <w:r>
        <w:rPr>
          <w:rFonts w:hint="eastAsia"/>
          <w:sz w:val="21"/>
          <w:szCs w:val="21"/>
        </w:rPr>
        <w:t xml:space="preserve">）法律法规及中国证监会规定的和《基金合同》约定的其他投资限制。 </w:t>
      </w:r>
    </w:p>
    <w:p w14:paraId="0647777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托管人对上述指标的监督义务，仅限于监督由基金管理人管理且由托管人托管的全部公募基金是否符合上述比例限制。《基金法》及其他有关法律法规或监管部门取消上述限制的，履行适当程序后，基金不受上述限制。</w:t>
      </w:r>
    </w:p>
    <w:p w14:paraId="7EC005F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除投资资产配置外，基金托管人对基金投资的监督和检查自本托管协议生效之日起开始。</w:t>
      </w:r>
    </w:p>
    <w:p w14:paraId="27B1FC3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）法律法规允许的基金投资比例调整期限</w:t>
      </w:r>
    </w:p>
    <w:p w14:paraId="7224E2C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除上述第</w:t>
      </w:r>
      <w:r>
        <w:rPr>
          <w:rFonts w:ascii="Times New Roman" w:hAnsi="Times New Roman" w:cs="Times New Roman"/>
          <w:sz w:val="21"/>
          <w:szCs w:val="21"/>
        </w:rPr>
        <w:t>2</w:t>
      </w:r>
      <w:r>
        <w:rPr>
          <w:rFonts w:hint="eastAsia"/>
          <w:sz w:val="21"/>
          <w:szCs w:val="21"/>
        </w:rPr>
        <w:t>）、</w:t>
      </w:r>
      <w:r>
        <w:rPr>
          <w:rFonts w:ascii="Times New Roman" w:hAnsi="Times New Roman" w:cs="Times New Roman"/>
          <w:sz w:val="21"/>
          <w:szCs w:val="21"/>
        </w:rPr>
        <w:t>9</w:t>
      </w:r>
      <w:r>
        <w:rPr>
          <w:rFonts w:hint="eastAsia"/>
          <w:sz w:val="21"/>
          <w:szCs w:val="21"/>
        </w:rPr>
        <w:t>）、</w:t>
      </w:r>
      <w:r>
        <w:rPr>
          <w:rFonts w:ascii="Times New Roman" w:hAnsi="Times New Roman" w:cs="Times New Roman"/>
          <w:sz w:val="21"/>
          <w:szCs w:val="21"/>
        </w:rPr>
        <w:t>13</w:t>
      </w:r>
      <w:r>
        <w:rPr>
          <w:rFonts w:hint="eastAsia"/>
          <w:sz w:val="21"/>
          <w:szCs w:val="21"/>
        </w:rPr>
        <w:t>）、</w:t>
      </w:r>
      <w:r>
        <w:rPr>
          <w:rFonts w:ascii="Times New Roman" w:hAnsi="Times New Roman" w:cs="Times New Roman"/>
          <w:sz w:val="21"/>
          <w:szCs w:val="21"/>
        </w:rPr>
        <w:t>14</w:t>
      </w:r>
      <w:r>
        <w:rPr>
          <w:rFonts w:hint="eastAsia"/>
          <w:sz w:val="21"/>
          <w:szCs w:val="21"/>
        </w:rPr>
        <w:t>）条外，由于证券市场波动、上市公司合并或基金规模变动等基金管理人之外的原因导致的投资组合不符合上述约定的比例，不在限制之内，但基金管理人应在</w:t>
      </w:r>
      <w:r>
        <w:rPr>
          <w:rFonts w:ascii="Times New Roman" w:hAnsi="Times New Roman" w:cs="Times New Roman"/>
          <w:sz w:val="21"/>
          <w:szCs w:val="21"/>
        </w:rPr>
        <w:t>10</w:t>
      </w:r>
      <w:r>
        <w:rPr>
          <w:rFonts w:hint="eastAsia"/>
          <w:sz w:val="21"/>
          <w:szCs w:val="21"/>
        </w:rPr>
        <w:t>个交易日内进行调整，以达到规定的投资比例限制要求。法律法规另有规定的从其规定。</w:t>
      </w:r>
    </w:p>
    <w:p w14:paraId="0C1DCE1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基金管理人应在出现可预见资产规模大幅变动的情况下，至少提前</w:t>
      </w:r>
      <w:r>
        <w:rPr>
          <w:rFonts w:ascii="Times New Roman" w:hAnsi="Times New Roman" w:cs="Times New Roman"/>
          <w:sz w:val="21"/>
          <w:szCs w:val="21"/>
        </w:rPr>
        <w:t>2</w:t>
      </w:r>
      <w:r>
        <w:rPr>
          <w:rFonts w:hint="eastAsia"/>
          <w:sz w:val="21"/>
          <w:szCs w:val="21"/>
        </w:rPr>
        <w:t>个工作日正式向基金托管人发函说明基金可能的变动规模和公司应对措施，便于基金托管人实施交易监督。</w:t>
      </w:r>
    </w:p>
    <w:p w14:paraId="6E78B08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）本基金可以按照国家的有关规定进行融资融券及转融通。</w:t>
      </w:r>
    </w:p>
    <w:p w14:paraId="271A341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基金托管人对基金投资的监督和检查自本托管协议生效之日起开始。</w:t>
      </w:r>
    </w:p>
    <w:p w14:paraId="334E388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 xml:space="preserve">基金托管人根据有关法律法规的规定及《基金合同》的约定对下述基金投资禁止行为进行监督： </w:t>
      </w:r>
    </w:p>
    <w:p w14:paraId="5ADBF79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根据法律法规的规定及《基金合同》的约定，本基金禁止从事下列行为：</w:t>
      </w:r>
    </w:p>
    <w:p w14:paraId="43B59C6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）承销证券；</w:t>
      </w:r>
    </w:p>
    <w:p w14:paraId="293D87F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）违反规定向他人贷款或者提供担保；</w:t>
      </w:r>
    </w:p>
    <w:p w14:paraId="3894D35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）从事承担无限责任的投资；</w:t>
      </w:r>
    </w:p>
    <w:p w14:paraId="407C593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）买卖其他基金份额，但是中国证监会另有规定的除外；</w:t>
      </w:r>
    </w:p>
    <w:p w14:paraId="7D777E0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5</w:t>
      </w:r>
      <w:r>
        <w:rPr>
          <w:rFonts w:hint="eastAsia"/>
          <w:sz w:val="21"/>
          <w:szCs w:val="21"/>
        </w:rPr>
        <w:t>）向其基金管理人、基金托管人出资；</w:t>
      </w:r>
    </w:p>
    <w:p w14:paraId="6C2BA83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6</w:t>
      </w:r>
      <w:r>
        <w:rPr>
          <w:rFonts w:hint="eastAsia"/>
          <w:sz w:val="21"/>
          <w:szCs w:val="21"/>
        </w:rPr>
        <w:t>）从事内幕交易、操纵证券交易价格及其他不正当的证券交易活动；</w:t>
      </w:r>
    </w:p>
    <w:p w14:paraId="61E12A9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7</w:t>
      </w:r>
      <w:r>
        <w:rPr>
          <w:rFonts w:hint="eastAsia"/>
          <w:sz w:val="21"/>
          <w:szCs w:val="21"/>
        </w:rPr>
        <w:t>）法律、行政法规和中国证监会规定禁止的其他活动。</w:t>
      </w:r>
    </w:p>
    <w:p w14:paraId="162C7A6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如法律法规或监管部门取消上述禁止性规定，基金管理人在履行适当程序后可不受上述规定的限制。</w:t>
      </w:r>
    </w:p>
    <w:p w14:paraId="436102E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基金托管人依据有关法律法规的规定和《基金合同》的约定对于基金关联投资限制进行监督。</w:t>
      </w:r>
    </w:p>
    <w:p w14:paraId="7BB871C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运用基金财产买卖基金管理人、基金托管人及其控股股东、实际控制人或者与其有其他重大利害关系的公司发行的证券或承销期内承销的证券，或者从事其他重大关联交易的，</w:t>
      </w:r>
      <w:r>
        <w:rPr>
          <w:rFonts w:hint="eastAsia"/>
          <w:sz w:val="21"/>
          <w:szCs w:val="21"/>
        </w:rPr>
        <w:lastRenderedPageBreak/>
        <w:t>应当遵循基金份额持有人利益优先的原则，防范利益冲突，符合国务院证券监督管理机构的规定，并履行信息披露义务。</w:t>
      </w:r>
    </w:p>
    <w:p w14:paraId="6DF23C7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如法律法规或《基金合同》有关于基金禁止从事关联交易的规定，基金管理人和基金托管人应相互提供与本机构有控股关系的股东或与本机构有其他重大利害关系的公司名单及其更新，并加盖业务章并书面提交，确保关联交易名单真实、完整、全面。基金管理人有责任保管关联交易名单，名单变更后基金管理人应及时发送基金托管人。如果基金托管人在运作中严格遵循了监督流程，基金管理人仍违规进行关联交易，并造成基金资产损失的，由基金管理人承担责任。</w:t>
      </w:r>
    </w:p>
    <w:p w14:paraId="01071C5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基金托管人依据有关法律法规的规定和《基金合同》的约定对基金管理人参与银行间债券市场进行监督。</w:t>
      </w:r>
    </w:p>
    <w:p w14:paraId="08D61CF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）基金托管人按以下方式对基金管理人参与银行间市场交易的交易对手的资信风险控制措施进行监督。</w:t>
      </w:r>
    </w:p>
    <w:p w14:paraId="19227C9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向基金托管人提供其银行间债券市场交易的交易对手库，交易对手库由银行间交易会员中财务状况较好、实力雄厚、信用等级高的交易对手组成。基金管理人可以根据实际情况的变化，及时对交易对手库予以更新和调整，并及时书面通知基金托管人。基金托管人据以对基金银行间债券市场交易的交易对手是否符合上述名单进行监督。</w:t>
      </w:r>
    </w:p>
    <w:p w14:paraId="5B125CB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）基金托管人对银行间交易市场的交易方式的控制按如下约定进行监督。</w:t>
      </w:r>
    </w:p>
    <w:p w14:paraId="6A7B04D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应按照审慎的风险控制原则，对银行间交易对手的资信状况进行评估，控制交易对手的资信风险，确定与各类交易对手所适用的交易结算方式，在具体的交易中，应尽力争取对基金有利的交易方式。由于交易对手资信风险引起的损失，基金托管人不承担赔偿责任。</w:t>
      </w:r>
    </w:p>
    <w:p w14:paraId="0C74E0E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6.</w:t>
      </w:r>
      <w:r>
        <w:rPr>
          <w:rFonts w:hint="eastAsia"/>
          <w:sz w:val="21"/>
          <w:szCs w:val="21"/>
        </w:rPr>
        <w:t>基金托管人对基金管理人选择存款银行进行监督。</w:t>
      </w:r>
    </w:p>
    <w:p w14:paraId="7AE3E37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如投资银行存款，基金管理人应根据法律法规的规定及《基金合同》的约定，事先确定符合条件的所有存款银行的名单，并及时提供给基金托管人，基金管理人可以根据实际情况的变化，及时对存款银行的名单予以更新和调整，并通知基金托管人。基金托管人据此对基金投资银行存款的交易对手是否符合上述名单进行监督。</w:t>
      </w:r>
    </w:p>
    <w:p w14:paraId="139B24C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负责对存款银行的资信控制，并对投资银行存款的信用风险（包括但不限于存款银行的信用等级、存款银行的支付能力等）进行评估。对于基金投资的银行存款，由于存款银行发生信用风险事件而造成损失时，先由基金管理人负责赔偿，之后有权要求相关责任人进行赔偿。</w:t>
      </w:r>
    </w:p>
    <w:p w14:paraId="41DDBAC8"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7.</w:t>
      </w:r>
      <w:r>
        <w:rPr>
          <w:rFonts w:hint="eastAsia"/>
          <w:sz w:val="21"/>
          <w:szCs w:val="21"/>
        </w:rPr>
        <w:t>基金托管人对基金投资流通受限证券的监督</w:t>
      </w:r>
    </w:p>
    <w:p w14:paraId="72536D1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基金管理人投资流通受限证券，应事先根据中国证监会相关规定，明确基金投资流通受限证券的比例，制订严格的投资决策流程和风险控制制度，防范流动性风险、法律风险</w:t>
      </w:r>
      <w:r>
        <w:rPr>
          <w:rFonts w:hint="eastAsia"/>
          <w:sz w:val="21"/>
          <w:szCs w:val="21"/>
        </w:rPr>
        <w:lastRenderedPageBreak/>
        <w:t>和操作风险等各种风险。基金托管人对基金管理人是否遵守相关制度、流动性风险处置预案以及相关投资额度和比例等的情况进行监督。</w:t>
      </w:r>
    </w:p>
    <w:p w14:paraId="058DBEF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）本基金投资的流通受限证券与上文所述的流动性受限资产并不完全一致，须为经中国证监会批准的非公开发行股票、公开发行股票网下配售部分等在发行时明确一定期限锁定期的可交易证券</w:t>
      </w:r>
      <w:r>
        <w:rPr>
          <w:rFonts w:ascii="Times New Roman" w:hAnsi="Times New Roman" w:cs="Times New Roman"/>
          <w:sz w:val="21"/>
          <w:szCs w:val="21"/>
        </w:rPr>
        <w:t>,</w:t>
      </w:r>
      <w:r>
        <w:rPr>
          <w:rFonts w:hint="eastAsia"/>
          <w:sz w:val="21"/>
          <w:szCs w:val="21"/>
        </w:rPr>
        <w:t>不包括由于发布重大消息或其他原因而临时停牌的证券、已发行未上市证券、回购交易中的质押券等流通受限证券。本基金不投资有锁定期但锁定期不明确的证券。</w:t>
      </w:r>
    </w:p>
    <w:p w14:paraId="29E2C91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基金管理人投资非公开发行股票，应制订流动性风险处置预案并经其董事会批准。风险处置预案应包括但不限于因投资受限证券需要解决的基金投资比例限制失调、基金流动性困难以及相关损失等问题的应对解决措施，以及有关异常情况的处置。基金管理人应在首次投资流通受限证券前向基金托管人提供基金投资非公开发行股票的相关流动性风险处置预案。</w:t>
      </w:r>
    </w:p>
    <w:p w14:paraId="7C49514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对本基金投资受限证券的流动性风险负责，确保对相关风险采取积极有效的措施，在合理的时间内有效解决基金运作的流动性问题。如因基金巨额赎回或市场发生剧烈变动等原因而导致基金现金周转出现困难时，基金管理人应保证提供足额现金确保基金的支付结算，并承担所有损失。对本基金因投资受限证券导致的流动性风险，基金托管人不承担任何责任。如因基金管理人原因导致本基金出现损失的，基金托管人不承担任何责任。</w:t>
      </w:r>
    </w:p>
    <w:p w14:paraId="23BF9CB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本基金投资非公开发行股票，基金管理人应至少于执行投资指令之前两个工作日将有关资料书面提交基金托管人，并保证向基金托管人提供的有关资料真实、准确、完整。有关资料如有调整，基金管理人应及时提供调整后的资料。上述书面资料包括但不限于：</w:t>
      </w:r>
    </w:p>
    <w:p w14:paraId="08EBA11A"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）中国证监会批准发行非公开发行股票的批准文件。</w:t>
      </w:r>
    </w:p>
    <w:p w14:paraId="529011A6"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）有关非公开发行股票的发行数量、发行价格、锁定期等发行资料。</w:t>
      </w:r>
    </w:p>
    <w:p w14:paraId="7C01F7C6"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）基金拟认购的数量、价格、总成本、账面价值。</w:t>
      </w:r>
    </w:p>
    <w:p w14:paraId="728B6B66"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基金托管人应按照《关于基金投资非公开发行股票等流通受限证券有关问题的通知》规定，对基金管理人是否遵守法律法规进行监督，并审核基金管理人提供的有关书面信息。基金托管人认为上述资料可能导致基金出现风险的，有权要求基金管理人在投资流通受限证券前就该风险的消除或防范措施进行补充书面说明，并保留查看基金管理人风险管理部门就基金投资流通受限证券出具的风险评估报告等资料的权利。否则，基金托管人有权拒绝执行有关指令。因拒绝执行该指令造成基金财产损失的，基金托管人不承担任何责任，并有权报告中国证监会。</w:t>
      </w:r>
    </w:p>
    <w:p w14:paraId="69A42DA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如基金管理人和基金托管人无法就上述问题达成一致，应及时上报中国证监会请求解决。基金托管人履行了本协议规定的监督职责后，不承担任何责任。</w:t>
      </w:r>
    </w:p>
    <w:p w14:paraId="5A783469"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lastRenderedPageBreak/>
        <w:t xml:space="preserve">8. </w:t>
      </w:r>
      <w:r>
        <w:rPr>
          <w:rFonts w:hint="eastAsia"/>
          <w:sz w:val="21"/>
          <w:szCs w:val="21"/>
        </w:rPr>
        <w:t>基金托管人对基金投资中小企业私募债券、中期票据的监督责任仅限于依据本协议第二条第（一）款第</w:t>
      </w:r>
      <w:r>
        <w:rPr>
          <w:rFonts w:ascii="Times New Roman" w:hAnsi="Times New Roman" w:cs="Times New Roman"/>
          <w:sz w:val="21"/>
          <w:szCs w:val="21"/>
        </w:rPr>
        <w:t>2</w:t>
      </w:r>
      <w:r>
        <w:rPr>
          <w:rFonts w:hint="eastAsia"/>
          <w:sz w:val="21"/>
          <w:szCs w:val="21"/>
        </w:rPr>
        <w:t>项对投资比例和投资限制进行事后监督；除此外，无其它监督责任。如发现异常情况，应及时以书面形式通知基金管理人。基金管理人应积极配合和协助基金托管人进行监督和核查。基金因投资中小企业私募债券、中期票据导致的信用风险、流动性风险，基金托管人不承担任何责任。如因基金管理人原因导致基金出现损失的，基金托管人不承担任何责任。</w:t>
      </w:r>
    </w:p>
    <w:p w14:paraId="507F8AB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管理的基金在投资中小企业私募债、中期票据前，基金管理人须根据法律、法规、监管部门的规定，制定严格的关于投资中小企业私募债、中期票据的风险控制制度和流动性风险处置预案，管理人在此承诺将严格执行该风险控制制度和流动性风险处置预案。</w:t>
      </w:r>
    </w:p>
    <w:p w14:paraId="47F88D6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p>
    <w:p w14:paraId="25549D5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三）基金托管人发现基金管理人的投资运作及其他运作违反《基金法》、《基金合同》、基金托管协议等有关规定时，应及时以书面形式通知基金管理人限期纠正，基金管理人收到通知后应在下一个工作日及时核对，并以书面形式向基金托管人发出回函，进行解释或举证。</w:t>
      </w:r>
    </w:p>
    <w:p w14:paraId="3A255AB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在限期内，基金托管人有权随时对通知事项进行复查，督促基金管理人改正。基金管理人对基金托管人通知的违规事项未能在限期内纠正的，基金托管人应报告中国证监会。</w:t>
      </w:r>
    </w:p>
    <w:p w14:paraId="4616E4B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应积极配合和协助基金托管人依照法律法规、《基金合同》和本托管协议对基金业务的监督和核查，对基金托管人发出的书面提示，必须在规定时间内答复基金托管人并改正，或就基金托管人的疑义进行解释或举证，对基金托管人按照法律法规、《基金合同》和本托管协议的要求需向中国证监会报送基金监督报告的，基金管理人应积极配合提供相关数据资料和制度等。</w:t>
      </w:r>
    </w:p>
    <w:p w14:paraId="77513B6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若基金托管人发现基金管理人发出但未执行的投资指令或依据交易程序已经生效的投资指令违反法律、行政法规和其他有关规定，或者违反《基金合同》约定的，应当立即通知基金管理人，并报告中国证监会。基金管理人的上述违规失信行为给基金财产或基金份额持有人造成的损失，由基金管理人承担。</w:t>
      </w:r>
    </w:p>
    <w:p w14:paraId="0262144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对于必须于估值完成后方可获知的监控指标或依据交易程序已经成交的投资指令，基金托管人发现该投资指令违反法律法规或者违反《基金合同》约定的，应当立即通知基金管理人，并报告中国证监会。</w:t>
      </w:r>
    </w:p>
    <w:p w14:paraId="07B194E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基金托管人发现基金管理人有重大违规行为，应立即报告中国证监会，同时通知基金管理人限期纠正。</w:t>
      </w:r>
    </w:p>
    <w:p w14:paraId="42AB48D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基金管理人无正当理由，拒绝、阻挠基金托管人根据本协议规定行使监督权，或采取拖延、欺诈等手段妨碍基金托管人进行有效监督，情节严重或经基金托管人提出警告仍不改正的，基金托管人应报告中国证监会。</w:t>
      </w:r>
    </w:p>
    <w:p w14:paraId="4015B9B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三、基金管理人对基金托管人的业务核查 </w:t>
      </w:r>
    </w:p>
    <w:p w14:paraId="1C832BD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对基金托管人履行托管职责情况进行核查，核查事项包括但不限于基金托管人是否安全保管基金财产、是否分别开设基金财产的资金账户和证券账户、是否复核基金管理人计算的基金资产净值和基金份额净值、是否根据管理人指令办理清算交收、进行相关信息披露和监督基金投资运作等行为。</w:t>
      </w:r>
    </w:p>
    <w:p w14:paraId="6F3619C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发现基金托管人擅自挪用基金财产、未对基金财产实行分账管理、无故未执行或无故延迟执行基金管理人资金划拨指令、泄露基金投资信息等违反《基金法》、《基金合同》、本托管协议及其他有关规定时，基金管理人应及时以书面形式通知基金托管人限期纠正，基金托管人收到通知后应及时核对并以书面形式向基金管理人发出回函。在限期内，基金管理人有权随时对通知事项进行复查，督促基金托管人改正。基金托管人对基金管理人通知的违规事项未能在限期内纠正的，基金管理人应报告中国证监会。基金管理人发现基金托管人有重大违规行为，应立即报告中国证监会和银行业监督管理机构，同时通知基金托管人限期纠正。</w:t>
      </w:r>
    </w:p>
    <w:p w14:paraId="098770A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基金托管人应积极配合基金管理人的核查行为，包括但不限于：提交相关资料以供基金管理人核查托管财产的完整性和真实性，在规定时间内答复基金管理人并改正。</w:t>
      </w:r>
    </w:p>
    <w:p w14:paraId="2BF9D1F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人无正当理由，拒绝、阻挠基金管理人根据本协议规定行使监督权，或采取拖延、欺诈等手段妨碍基金管理人进行有效监督，情节严重或经基金管理人提出警告仍不改正的，基金管理人应报告中国证监会。</w:t>
      </w:r>
    </w:p>
    <w:p w14:paraId="29F9EBD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四、基金财产的保管 </w:t>
      </w:r>
    </w:p>
    <w:p w14:paraId="73DA816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（一）基金财产保管的原则</w:t>
      </w:r>
    </w:p>
    <w:p w14:paraId="20A26F5C"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基金财产应独立于基金管理人、基金托管人的固有财产。</w:t>
      </w:r>
    </w:p>
    <w:p w14:paraId="1296DF7C"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基金托管人应按本协议规定安全保管托管财产。未经基金管理人的指令，不得自行运用、处分、分配基金的任何财产（托管人主动扣收的汇划费除外）。托管人不对处于自身实际控制之外的账户及财产承担责任。</w:t>
      </w:r>
    </w:p>
    <w:p w14:paraId="4108615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基金托管人按照规定为托管的基金财产开设资金账户和证券账户。</w:t>
      </w:r>
    </w:p>
    <w:p w14:paraId="798A9FB7"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基金托管人对所托管的不同基金财产分别设置账户，与基金托管人的其他业务和其他基金的托管业务实行严格的分账管理，确保基金财产的完整与独立。</w:t>
      </w:r>
    </w:p>
    <w:p w14:paraId="561E254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对于因基金认（申）购、基金投资过程中产生的应收财产，应由基金管理人负责与有关当事人确定到账日期并通知基金托管人，到账日基金财产没有到达基金托管人处的，基金托管人应及时通知基金管理人采取措施进行催收。由此给基金造成损失的，基金管理人应负责向有关当事人追偿基金的损失，基金托管人对此不承担责任。</w:t>
      </w:r>
    </w:p>
    <w:p w14:paraId="5D88903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（二）募集资金的验证</w:t>
      </w:r>
    </w:p>
    <w:p w14:paraId="5B11B17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募集期内销售机构按销售与服务代理协议的约定，将认购资金划入基金管理人在具有托管资格的商业银行开设的“鹏华基金管理有限公司基金认购专户”。该账户由基金管理人开立并管理。基金募集期满，募集的基金份额总额、基金募集金额、基金份额持有人人数符合《基金法》、《运作办法》等有关规定后，由基金管理人聘请具有从事证券业务资格的会计师事务所进行验资，出具验资报告，出具的验资报告应由参加验资的</w:t>
      </w:r>
      <w:r>
        <w:rPr>
          <w:rFonts w:ascii="Times New Roman" w:hAnsi="Times New Roman" w:cs="Times New Roman"/>
          <w:sz w:val="21"/>
          <w:szCs w:val="21"/>
        </w:rPr>
        <w:t>2</w:t>
      </w:r>
      <w:r>
        <w:rPr>
          <w:rFonts w:hint="eastAsia"/>
          <w:sz w:val="21"/>
          <w:szCs w:val="21"/>
        </w:rPr>
        <w:t>名以上（含</w:t>
      </w:r>
      <w:r>
        <w:rPr>
          <w:rFonts w:ascii="Times New Roman" w:hAnsi="Times New Roman" w:cs="Times New Roman"/>
          <w:sz w:val="21"/>
          <w:szCs w:val="21"/>
        </w:rPr>
        <w:t>2</w:t>
      </w:r>
      <w:r>
        <w:rPr>
          <w:rFonts w:hint="eastAsia"/>
          <w:sz w:val="21"/>
          <w:szCs w:val="21"/>
        </w:rPr>
        <w:t>名）中国注册会计师签字方为有效。验资完成，基金管理人应将募集的属于本基金财产的全部资金划入基金托管人为基金开立的资产托管专户中，并确保划入的资金与验资金额相一致。基金托管人收到有效认购资金当日以书面形式确认资金到账情况，并及时将资金到账凭证传真给基金管理人，双方进行账务处理。</w:t>
      </w:r>
    </w:p>
    <w:p w14:paraId="50D255D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若基金募集期限届满，未能达到《基金合同》生效的条件，由基金管理人按规定办理退款事宜。</w:t>
      </w:r>
    </w:p>
    <w:p w14:paraId="3033B54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（三）基金资产托管专户的开立和管理</w:t>
      </w:r>
    </w:p>
    <w:p w14:paraId="4ABE4A0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人以基金托管人的名义或以基金的名义在其营业机构开设资产托管专户，并根据基金管理人合法合规的有效指令办理资金收付。基金管理人应根据法律法规及托管行的相关要求，提供开户所需的资料并提供其他必要协助。本基金的资产托管专户的预留印鉴的印章由基金托管人保管和使用。</w:t>
      </w:r>
    </w:p>
    <w:p w14:paraId="012A8AD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的一切货币收支活动，均需通过基金托管人或基金的资产托管专户进行。基金的资产托管专户的开立和使用，限于满足开展本基金业务的需要。除因本基金业务需要，基金托管人和基金管理人不得假借本基金的名义开立其他任何银行账户；亦不得使用以基金名义开立的银行账户进行本基金业务以外的活动。</w:t>
      </w:r>
    </w:p>
    <w:p w14:paraId="581E337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资产托管专户的管理应符合《人民币银行结算账户管理办法》、《现金管理暂行条例》、《人民币利率管理规定》、《利率管理暂行规定》、《支付结算办法》以及银行业监督管理机构的其他有关规定。</w:t>
      </w:r>
    </w:p>
    <w:p w14:paraId="19A8A397"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（四）基金证券账户与证券交易资金账户的开设和管理</w:t>
      </w:r>
    </w:p>
    <w:p w14:paraId="75988A8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基金托管人以基金托管人和本基金联名的方式在中国证券登记结算有限公司上海分公司</w:t>
      </w:r>
      <w:r>
        <w:rPr>
          <w:rFonts w:ascii="Times New Roman" w:hAnsi="Times New Roman" w:cs="Times New Roman"/>
          <w:sz w:val="21"/>
          <w:szCs w:val="21"/>
        </w:rPr>
        <w:t>/</w:t>
      </w:r>
      <w:r>
        <w:rPr>
          <w:rFonts w:hint="eastAsia"/>
          <w:sz w:val="21"/>
          <w:szCs w:val="21"/>
        </w:rPr>
        <w:t>深圳分公司开立专门的证券账户。</w:t>
      </w:r>
    </w:p>
    <w:p w14:paraId="78066EF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基金证券账户的开立和使用，限于满足开展本基金业务的需要。基金托管人和基金管理人不得出借和未经对方同意擅自转让本基金的任何证券账户；亦不得使用本基金的任何证券账户进行本基金业务以外的活动。</w:t>
      </w:r>
    </w:p>
    <w:p w14:paraId="29DC26E4"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基金证券账户的开立由基金托管人负责，管理和运用由基金管理人负责。</w:t>
      </w:r>
    </w:p>
    <w:p w14:paraId="7DCCC9F9"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基金托管人保管证券账户卡原件。</w:t>
      </w:r>
    </w:p>
    <w:p w14:paraId="346D4AC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基金托管人以基金托管人的名义在中国证券登记结算有限责任公司上海分公司</w:t>
      </w:r>
      <w:r>
        <w:rPr>
          <w:rFonts w:ascii="Times New Roman" w:hAnsi="Times New Roman" w:cs="Times New Roman"/>
          <w:sz w:val="21"/>
          <w:szCs w:val="21"/>
        </w:rPr>
        <w:t>/</w:t>
      </w:r>
      <w:r>
        <w:rPr>
          <w:rFonts w:hint="eastAsia"/>
          <w:sz w:val="21"/>
          <w:szCs w:val="21"/>
        </w:rPr>
        <w:t>深圳分公司开立结算备付金账户，基金托管人代表所托管的基金完成与中国证券登记结算有限责</w:t>
      </w:r>
      <w:r>
        <w:rPr>
          <w:rFonts w:hint="eastAsia"/>
          <w:sz w:val="21"/>
          <w:szCs w:val="21"/>
        </w:rPr>
        <w:lastRenderedPageBreak/>
        <w:t>任公司的一级法人清算工作，基金管理人应予以积极协助。结算备付金、证券结算保证金等的收取按照中国证券登记结算有限责任公司的规定和基金托管人为履行结算参与人的义务所制定的业务规则执行。</w:t>
      </w:r>
    </w:p>
    <w:p w14:paraId="5FDB38F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（五）银行间市场债券托管和资金结算专户的开立和管理及市场准入备案</w:t>
      </w:r>
    </w:p>
    <w:p w14:paraId="7825592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合同》生效后，在符合监管机构要求的情况下，基金管理人负责以基金的名义申请并取得进入全国银行间同业拆借市场的交易资格，并代表基金进行交易；基金托管人根据中国人民银行、中央国债登记结算有限责任公司、银行间市场清算所股份有限公司的有关规定，以本基金的名义分别在中央国债登记结算有限责任公司、银行间市场清算所股份有限公司开立债券托管账户和资金结算账户，并代表基金进行银行间市场债券交易的结算。基金管理人和基金托管人应共同负责完成银行间债券市场准入备案。</w:t>
      </w:r>
    </w:p>
    <w:p w14:paraId="4BDA564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（六）其他账户的开设和管理</w:t>
      </w:r>
    </w:p>
    <w:p w14:paraId="122CE0A6"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、因业务发展而需要开立的其它账户，可以根据《基金合同》或有关法律法规的规定，经基金管理人和基金托管人协商一致后，由基金托管人负责为基金开立。新账户按有关规则使用并管理。</w:t>
      </w:r>
    </w:p>
    <w:p w14:paraId="5EB307A3"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、法律、法规等有关规定对相关账户的开立和管理另有规定的，从其规定办理。</w:t>
      </w:r>
    </w:p>
    <w:p w14:paraId="1538CF0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（七）基金投资银行存款账户的开立和管理</w:t>
      </w:r>
    </w:p>
    <w:p w14:paraId="3F6C39E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基金投资银行定期存款，基金管理人与基金托管人应比照证监会的规定，就本基金投资银行存款业务签订书面协议。</w:t>
      </w:r>
    </w:p>
    <w:p w14:paraId="35F7443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基金投资银行定期存款应由基金管理人与存款银行总行或其授权分行签订总体合作协议，并将资金存放于存款银行总行或其授权分行指定的分支机构。</w:t>
      </w:r>
    </w:p>
    <w:p w14:paraId="6A01BDC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存款账户必须以基金名义开立，账户名称为基金名称，存款账户开户文件上加盖预留印鉴及基金管理人公章。</w:t>
      </w:r>
    </w:p>
    <w:p w14:paraId="5FD9C75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本基金投资银行存款时，基金管理人应当与存款银行签订具体存款协议，明确存款的类型、期限、利率、金额、账号、对账方式、支取方式、账户管理等细则。</w:t>
      </w:r>
    </w:p>
    <w:p w14:paraId="40C23FB5"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为防范特殊情况下的流动性风险，定期存款协议中应当约定提前支取条款。</w:t>
      </w:r>
    </w:p>
    <w:p w14:paraId="7712E56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基金所投资定期存款存续期间，基金管理人、基金托管人应当与存款银行建立定期对账机制，确保基金银行存款业务账目及核对的真实、准确。</w:t>
      </w:r>
    </w:p>
    <w:p w14:paraId="2AF8B5A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（八）基金财产投资的有关实物证券、银行定期存款存单等有价凭证的保管</w:t>
      </w:r>
    </w:p>
    <w:p w14:paraId="225CC75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基金财产投资的有关实物证券由基金托管人存放于基金托管人的保管库；其中实物证券也可存入中央国债登记结算有限责任公司或中国证券登记结算有限责任公司上海分公司</w:t>
      </w:r>
      <w:r>
        <w:rPr>
          <w:rFonts w:ascii="Times New Roman" w:hAnsi="Times New Roman" w:cs="Times New Roman"/>
          <w:sz w:val="21"/>
          <w:szCs w:val="21"/>
        </w:rPr>
        <w:t>/</w:t>
      </w:r>
      <w:r>
        <w:rPr>
          <w:rFonts w:hint="eastAsia"/>
          <w:sz w:val="21"/>
          <w:szCs w:val="21"/>
        </w:rPr>
        <w:t>深圳分公司或票据营业中心的代保管库。实物证券的购买和转让，由基金托管人根据基金管理人的指令办理。属于基金托管人实际有效控制下的实物证券在基金托管人保管期间的损坏、灭失，由此产生的责任应由基金托管人承担。基金托管人对基金托管人以外机构实际有效控制或保管的实物证券、银行定期存款存单对应的财产不承担保管责任。</w:t>
      </w:r>
    </w:p>
    <w:p w14:paraId="5C57427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（九）与基金财产有关的重大合同的保管</w:t>
      </w:r>
    </w:p>
    <w:p w14:paraId="1A9ED45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由基金管理人代表基金签署的与基金有关的重大合同的原件分别应由基金托管人、基金管理人保管。除本协议另有规定外，基金管理人在代表基金签署与基金有关的重大合同时应保证基金一方持有两份以上的正本，以便基金管理人和基金托管人至少各持有一份正本的原件。基金管理人在合同签署后</w:t>
      </w:r>
      <w:r>
        <w:rPr>
          <w:rFonts w:ascii="Times New Roman" w:hAnsi="Times New Roman" w:cs="Times New Roman"/>
          <w:sz w:val="21"/>
          <w:szCs w:val="21"/>
        </w:rPr>
        <w:t>5</w:t>
      </w:r>
      <w:r>
        <w:rPr>
          <w:rFonts w:hint="eastAsia"/>
          <w:sz w:val="21"/>
          <w:szCs w:val="21"/>
        </w:rPr>
        <w:t>个工作日内通过专人送达、挂号邮寄等安全方式将合同原件送达基金托管人处。合同原件应存放于基金管理人和基金托管人各自文件保管部门</w:t>
      </w:r>
      <w:r>
        <w:rPr>
          <w:rFonts w:ascii="Times New Roman" w:hAnsi="Times New Roman" w:cs="Times New Roman"/>
          <w:sz w:val="21"/>
          <w:szCs w:val="21"/>
        </w:rPr>
        <w:t>15</w:t>
      </w:r>
      <w:r>
        <w:rPr>
          <w:rFonts w:hint="eastAsia"/>
          <w:sz w:val="21"/>
          <w:szCs w:val="21"/>
        </w:rPr>
        <w:t>年以上。</w:t>
      </w:r>
    </w:p>
    <w:p w14:paraId="5A44A4A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五、基金资产净值的计算和会计核算</w:t>
      </w:r>
    </w:p>
    <w:p w14:paraId="166EA55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基金资产净值是指基金资产总值减去负债后的价值。基金份额净值是指计算日基金资产净值除以该计算日基金份额总份额后的数值。基金份额净值的计算保留到小数点后</w:t>
      </w:r>
      <w:r>
        <w:rPr>
          <w:rFonts w:ascii="Times New Roman" w:hAnsi="Times New Roman" w:cs="Times New Roman"/>
          <w:sz w:val="21"/>
          <w:szCs w:val="21"/>
        </w:rPr>
        <w:t>4</w:t>
      </w:r>
      <w:r>
        <w:rPr>
          <w:rFonts w:hint="eastAsia"/>
          <w:sz w:val="21"/>
          <w:szCs w:val="21"/>
        </w:rPr>
        <w:t>位，小数点后第</w:t>
      </w:r>
      <w:r>
        <w:rPr>
          <w:rFonts w:ascii="Times New Roman" w:hAnsi="Times New Roman" w:cs="Times New Roman"/>
          <w:sz w:val="21"/>
          <w:szCs w:val="21"/>
        </w:rPr>
        <w:t>5</w:t>
      </w:r>
      <w:r>
        <w:rPr>
          <w:rFonts w:hint="eastAsia"/>
          <w:sz w:val="21"/>
          <w:szCs w:val="21"/>
        </w:rPr>
        <w:t>位四舍五入，由此产生的误差计入基金财产。</w:t>
      </w:r>
    </w:p>
    <w:p w14:paraId="2DC8E2C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每个工作日，基金管理人应对基金资产估值。估值原则应符合《基金合同》及其他法律、法规的规定。用于基金信息披露的基金资产净值和基金份额净值由基金管理人负责计算，基金托管人复核。基金管理人应于每个工作日交易结束后计算当日的基金份额资产净值并以双方认可的方式发送给基金托管人。基金托管人对净值计算结果复核后以双方认可的方式发送给基金管理人，由基金管理人对基金净值予以公布。</w:t>
      </w:r>
    </w:p>
    <w:p w14:paraId="0EB1AC2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六、基金份额持有人名册的登记与保管 </w:t>
      </w:r>
    </w:p>
    <w:p w14:paraId="51268AF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基金管理人妥善保管的基金份额持有人名册，包括《基金合同》生效日、《基金合同》终止日、基金份额持有人大会权利登记日、每年</w:t>
      </w:r>
      <w:r>
        <w:rPr>
          <w:rFonts w:ascii="Times New Roman" w:hAnsi="Times New Roman" w:cs="Times New Roman"/>
          <w:sz w:val="21"/>
          <w:szCs w:val="21"/>
        </w:rPr>
        <w:t>6</w:t>
      </w:r>
      <w:r>
        <w:rPr>
          <w:rFonts w:hint="eastAsia"/>
          <w:sz w:val="21"/>
          <w:szCs w:val="21"/>
        </w:rPr>
        <w:t>月</w:t>
      </w:r>
      <w:r>
        <w:rPr>
          <w:rFonts w:ascii="Times New Roman" w:hAnsi="Times New Roman" w:cs="Times New Roman"/>
          <w:sz w:val="21"/>
          <w:szCs w:val="21"/>
        </w:rPr>
        <w:t>30</w:t>
      </w:r>
      <w:r>
        <w:rPr>
          <w:rFonts w:hint="eastAsia"/>
          <w:sz w:val="21"/>
          <w:szCs w:val="21"/>
        </w:rPr>
        <w:t>日、</w:t>
      </w:r>
      <w:r>
        <w:rPr>
          <w:rFonts w:ascii="Times New Roman" w:hAnsi="Times New Roman" w:cs="Times New Roman"/>
          <w:sz w:val="21"/>
          <w:szCs w:val="21"/>
        </w:rPr>
        <w:t>12</w:t>
      </w:r>
      <w:r>
        <w:rPr>
          <w:rFonts w:hint="eastAsia"/>
          <w:sz w:val="21"/>
          <w:szCs w:val="21"/>
        </w:rPr>
        <w:t>月</w:t>
      </w:r>
      <w:r>
        <w:rPr>
          <w:rFonts w:ascii="Times New Roman" w:hAnsi="Times New Roman" w:cs="Times New Roman"/>
          <w:sz w:val="21"/>
          <w:szCs w:val="21"/>
        </w:rPr>
        <w:t>31</w:t>
      </w:r>
      <w:r>
        <w:rPr>
          <w:rFonts w:hint="eastAsia"/>
          <w:sz w:val="21"/>
          <w:szCs w:val="21"/>
        </w:rPr>
        <w:t>日的基金份额持有人名册。基金份额持有人名册的内容必须包括基金份额持有人的名称和持有的基金份额。</w:t>
      </w:r>
    </w:p>
    <w:p w14:paraId="4EAF13E8"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基金份额持有人名册由基金的基金注册登记机构根据基金管理人的指令编制和保管，基金管理人应按照目前相关规则保管基金份额持有人名册。保管方式可以采用电子或文档的形式。保管期限为</w:t>
      </w:r>
      <w:r>
        <w:rPr>
          <w:rFonts w:ascii="Times New Roman" w:hAnsi="Times New Roman" w:cs="Times New Roman"/>
          <w:sz w:val="21"/>
          <w:szCs w:val="21"/>
        </w:rPr>
        <w:t>15</w:t>
      </w:r>
      <w:r>
        <w:rPr>
          <w:rFonts w:hint="eastAsia"/>
          <w:sz w:val="21"/>
          <w:szCs w:val="21"/>
        </w:rPr>
        <w:t>年。</w:t>
      </w:r>
    </w:p>
    <w:p w14:paraId="40747D4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 xml:space="preserve">七、争议解决方式 </w:t>
      </w:r>
    </w:p>
    <w:p w14:paraId="4FF6B541"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（一）本协议适用中华人民共和国法律（为本协议之目的，在此不包括香港、澳门特别行政区和台湾地区法律），并从其解释。</w:t>
      </w:r>
    </w:p>
    <w:p w14:paraId="46945BC0"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相关各方当事人同意，因本协议而产生的或与本协议有关的一切争议，除经友好协商可以解决的，应提交上海国际经济贸易仲裁委员会，根据该会届时有效的仲裁规则进行仲裁，仲裁的地点在上海，仲裁裁决是终局性的并对相关各方均有约束力，仲裁费用由败诉方承担。</w:t>
      </w:r>
    </w:p>
    <w:p w14:paraId="4490A61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争议处理期间，相关各方当事人应恪守基金管理人和基金托管人职责，继续忠实、勤勉、尽责地履行《基金合同》和本托管协议规定的义务，维护基金份额持有人的合法权益。</w:t>
      </w:r>
    </w:p>
    <w:p w14:paraId="7C41D72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八、托管协议的变更与终止</w:t>
      </w:r>
    </w:p>
    <w:p w14:paraId="04E75EC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托管协议的变更程序</w:t>
      </w:r>
    </w:p>
    <w:p w14:paraId="3B2C35A3"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lastRenderedPageBreak/>
        <w:t>本协议双方当事人经协商一致，可以对协议的内容进行变更。变更后的托管协议，其内容不得与《基金合同》的规定有任何冲突，并需经基金管理人、基金托管人加盖公章或合同专用章以及双方法定代表人或授权代理人签字（或盖章）确认。基金托管协议的变更报中国证监会备案后生效。</w:t>
      </w:r>
    </w:p>
    <w:p w14:paraId="2A128848"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基金托管协议终止的情形</w:t>
      </w:r>
    </w:p>
    <w:p w14:paraId="2402F25F"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发生以下情况，本托管协议终止：</w:t>
      </w:r>
    </w:p>
    <w:p w14:paraId="2018F38A"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1</w:t>
      </w:r>
      <w:r>
        <w:rPr>
          <w:rFonts w:hint="eastAsia"/>
          <w:sz w:val="21"/>
          <w:szCs w:val="21"/>
        </w:rPr>
        <w:t>）《基金合同》终止；</w:t>
      </w:r>
    </w:p>
    <w:p w14:paraId="7843C47B"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2</w:t>
      </w:r>
      <w:r>
        <w:rPr>
          <w:rFonts w:hint="eastAsia"/>
          <w:sz w:val="21"/>
          <w:szCs w:val="21"/>
        </w:rPr>
        <w:t>）基金托管人解散、依法被撤销、破产或有其他基金托管人接管基金资产；</w:t>
      </w:r>
    </w:p>
    <w:p w14:paraId="5AD58A3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3</w:t>
      </w:r>
      <w:r>
        <w:rPr>
          <w:rFonts w:hint="eastAsia"/>
          <w:sz w:val="21"/>
          <w:szCs w:val="21"/>
        </w:rPr>
        <w:t>）基金管理人解散、依法被撤销、破产或有其他基金管理人接管基金管理权；</w:t>
      </w:r>
    </w:p>
    <w:p w14:paraId="4D24FAD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w:t>
      </w:r>
      <w:r>
        <w:rPr>
          <w:rFonts w:ascii="Times New Roman" w:hAnsi="Times New Roman" w:cs="Times New Roman"/>
          <w:sz w:val="21"/>
          <w:szCs w:val="21"/>
        </w:rPr>
        <w:t>4</w:t>
      </w:r>
      <w:r>
        <w:rPr>
          <w:rFonts w:hint="eastAsia"/>
          <w:sz w:val="21"/>
          <w:szCs w:val="21"/>
        </w:rPr>
        <w:t>）发生法律法规或《基金合同》规定的终止事项。</w:t>
      </w:r>
    </w:p>
    <w:p w14:paraId="1EB7B1D2"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 </w:t>
      </w:r>
    </w:p>
    <w:p w14:paraId="082D831C" w14:textId="77777777" w:rsidR="00D0083C" w:rsidRDefault="00854AE5">
      <w:pPr>
        <w:pStyle w:val="1"/>
        <w:spacing w:before="240" w:line="360" w:lineRule="auto"/>
        <w:jc w:val="center"/>
        <w:divId w:val="1122842215"/>
        <w:rPr>
          <w:sz w:val="24"/>
          <w:szCs w:val="24"/>
        </w:rPr>
      </w:pPr>
      <w:bookmarkStart w:id="97" w:name="_Toc454720097"/>
      <w:bookmarkStart w:id="98" w:name="_Toc387824886"/>
      <w:bookmarkStart w:id="99" w:name="_Toc524923152"/>
      <w:bookmarkEnd w:id="97"/>
      <w:bookmarkEnd w:id="98"/>
      <w:r>
        <w:rPr>
          <w:rFonts w:hint="eastAsia"/>
          <w:sz w:val="24"/>
          <w:szCs w:val="24"/>
        </w:rPr>
        <w:t>第二十部分</w:t>
      </w:r>
      <w:r>
        <w:rPr>
          <w:rFonts w:hint="eastAsia"/>
          <w:sz w:val="24"/>
          <w:szCs w:val="24"/>
        </w:rPr>
        <w:t xml:space="preserve"> </w:t>
      </w:r>
      <w:r>
        <w:rPr>
          <w:rFonts w:hint="eastAsia"/>
          <w:sz w:val="24"/>
          <w:szCs w:val="24"/>
        </w:rPr>
        <w:t>对基金份额持有人的</w:t>
      </w:r>
      <w:bookmarkEnd w:id="99"/>
      <w:r>
        <w:rPr>
          <w:rFonts w:hint="eastAsia"/>
          <w:sz w:val="24"/>
          <w:szCs w:val="24"/>
        </w:rPr>
        <w:t>服务</w:t>
      </w:r>
    </w:p>
    <w:p w14:paraId="550B7707" w14:textId="77777777" w:rsidR="00D0083C" w:rsidRDefault="00854AE5">
      <w:pPr>
        <w:spacing w:line="360" w:lineRule="auto"/>
        <w:ind w:firstLine="420"/>
        <w:divId w:val="1122842215"/>
      </w:pPr>
      <w:bookmarkStart w:id="100" w:name="_Toc80590591"/>
      <w:bookmarkStart w:id="101" w:name="_Toc524923153"/>
      <w:bookmarkEnd w:id="100"/>
      <w:bookmarkEnd w:id="101"/>
      <w:r>
        <w:rPr>
          <w:rFonts w:ascii="宋体" w:hAnsi="宋体" w:hint="eastAsia"/>
        </w:rPr>
        <w:t>基金管理人承诺为基金份额持有人提供一系列的服务。以下服务内容，由基金管理人在正常情况下向投资者提供，基金管理人可根据实际业务情况以及基金份额持有人的需要和市场的变化，不断完善并增加和修改服务项目。</w:t>
      </w:r>
      <w:r>
        <w:t xml:space="preserve"> </w:t>
      </w:r>
    </w:p>
    <w:p w14:paraId="33E227AD" w14:textId="77777777" w:rsidR="00D0083C" w:rsidRDefault="00854AE5">
      <w:pPr>
        <w:spacing w:line="360" w:lineRule="auto"/>
        <w:ind w:firstLine="420"/>
        <w:divId w:val="1122842215"/>
      </w:pPr>
      <w:r>
        <w:rPr>
          <w:rFonts w:ascii="宋体" w:hAnsi="宋体" w:hint="eastAsia"/>
        </w:rPr>
        <w:t>一、营销创新及网上交易服务</w:t>
      </w:r>
      <w:r>
        <w:t xml:space="preserve"> </w:t>
      </w:r>
    </w:p>
    <w:p w14:paraId="0618F36A" w14:textId="77777777" w:rsidR="00D0083C" w:rsidRDefault="00854AE5">
      <w:pPr>
        <w:spacing w:line="360" w:lineRule="auto"/>
        <w:ind w:firstLine="420"/>
        <w:divId w:val="1122842215"/>
      </w:pPr>
      <w:r>
        <w:rPr>
          <w:rFonts w:ascii="宋体" w:hAnsi="宋体" w:hint="eastAsia"/>
        </w:rPr>
        <w:t>为丰富投资者的交易方式和渠道，基金管理人为投资者提供多种形式的交易服务。</w:t>
      </w:r>
      <w:r>
        <w:t xml:space="preserve"> </w:t>
      </w:r>
    </w:p>
    <w:p w14:paraId="063EDBA4" w14:textId="77777777" w:rsidR="00D0083C" w:rsidRDefault="00854AE5">
      <w:pPr>
        <w:spacing w:line="360" w:lineRule="auto"/>
        <w:ind w:firstLine="420"/>
        <w:divId w:val="1122842215"/>
      </w:pPr>
      <w:r>
        <w:rPr>
          <w:rFonts w:ascii="宋体" w:hAnsi="宋体" w:hint="eastAsia"/>
        </w:rPr>
        <w:t>在营销渠道创新方面，本基金管理人大力发展基金电子商务，并已开通基金网上交易系统，投资者可登陆本基金管理人的网站（</w:t>
      </w:r>
      <w:r>
        <w:t>www.phfund.com</w:t>
      </w:r>
      <w:r>
        <w:rPr>
          <w:rFonts w:ascii="宋体" w:hAnsi="宋体" w:hint="eastAsia"/>
        </w:rPr>
        <w:t>），更加方便、快捷地办理基金交易及信息查询等已开通的各项基金网上交易业务。同时，投资者可关注鹏华基金官方微信账号（微信号</w:t>
      </w:r>
      <w:r>
        <w:t>:penghuajijin)</w:t>
      </w:r>
      <w:r>
        <w:rPr>
          <w:rFonts w:ascii="宋体" w:hAnsi="宋体" w:hint="eastAsia"/>
        </w:rPr>
        <w:t>，快速实现净值查询功能，绑定个人账户之后，还可实现账户查询功能和交易功能。基金管理人也将不断努力完善现有技术系统和销售渠道，为投资者提供更加多样化的交易方式和手段。</w:t>
      </w:r>
      <w:r>
        <w:t xml:space="preserve"> </w:t>
      </w:r>
    </w:p>
    <w:p w14:paraId="347CC38C" w14:textId="77777777" w:rsidR="00D0083C" w:rsidRDefault="00854AE5">
      <w:pPr>
        <w:spacing w:line="360" w:lineRule="auto"/>
        <w:ind w:firstLine="420"/>
        <w:divId w:val="1122842215"/>
      </w:pPr>
      <w:r>
        <w:rPr>
          <w:rFonts w:ascii="宋体" w:hAnsi="宋体" w:hint="eastAsia"/>
        </w:rPr>
        <w:t>二、信息定制服务</w:t>
      </w:r>
      <w:r>
        <w:t xml:space="preserve"> </w:t>
      </w:r>
    </w:p>
    <w:p w14:paraId="3166A8B4" w14:textId="77777777" w:rsidR="00D0083C" w:rsidRDefault="00854AE5">
      <w:pPr>
        <w:spacing w:line="360" w:lineRule="auto"/>
        <w:ind w:firstLine="420"/>
        <w:divId w:val="1122842215"/>
      </w:pPr>
      <w:r>
        <w:rPr>
          <w:rFonts w:ascii="宋体" w:hAnsi="宋体" w:hint="eastAsia"/>
        </w:rPr>
        <w:t>投资者可以通过基金管理人网站（</w:t>
      </w:r>
      <w:hyperlink r:id="rId7" w:history="1">
        <w:r>
          <w:rPr>
            <w:rStyle w:val="a4"/>
            <w:rFonts w:ascii="宋体" w:hAnsi="宋体" w:hint="eastAsia"/>
            <w:color w:val="auto"/>
            <w:u w:val="none"/>
          </w:rPr>
          <w:t>www.phfund.com）、短信平台、呼叫中心（400-6788-999</w:t>
        </w:r>
      </w:hyperlink>
      <w:r>
        <w:rPr>
          <w:rFonts w:ascii="宋体" w:hAnsi="宋体" w:hint="eastAsia"/>
        </w:rPr>
        <w:t>；0755-82353668）等渠道提交信息定制申请，在申请获基金管理人确认后，基金管理人将通过信件、手机短信、E-MAIL等方式为客户发送所定制的信息。信件定制的内容为季度纸质对账单，手机短信可定制的信息包括：月度短信账单、公司最新公告、持有基金周末净值等；邮件定制的信息包括：鹏友会周刊、电子对账单等信息。基金管理人将根据业务发展需要和实际情况，适时调整发送的定制信息内容。</w:t>
      </w:r>
      <w:r>
        <w:t xml:space="preserve"> </w:t>
      </w:r>
    </w:p>
    <w:p w14:paraId="4A62C8DF" w14:textId="77777777" w:rsidR="00D0083C" w:rsidRDefault="00854AE5">
      <w:pPr>
        <w:spacing w:line="360" w:lineRule="auto"/>
        <w:ind w:firstLine="420"/>
        <w:divId w:val="1122842215"/>
      </w:pPr>
      <w:r>
        <w:rPr>
          <w:rFonts w:ascii="宋体" w:hAnsi="宋体" w:hint="eastAsia"/>
        </w:rPr>
        <w:t xml:space="preserve">三、在线咨询服务 </w:t>
      </w:r>
    </w:p>
    <w:p w14:paraId="4AC0F7CA" w14:textId="77777777" w:rsidR="00D0083C" w:rsidRDefault="00854AE5">
      <w:pPr>
        <w:spacing w:line="360" w:lineRule="auto"/>
        <w:ind w:firstLine="420"/>
        <w:divId w:val="1122842215"/>
      </w:pPr>
      <w:r>
        <w:rPr>
          <w:rFonts w:ascii="宋体" w:hAnsi="宋体" w:hint="eastAsia"/>
        </w:rPr>
        <w:lastRenderedPageBreak/>
        <w:t>投资者可通过在线客服、短信接收平台、鹏华基金官方微信（微信号：penghuajijin）等网络通讯工具进行业务咨询，基金管理人7*24小时提供智能机器人咨询服务，在工作时间内有专人在线提供咨询服务。</w:t>
      </w:r>
      <w:r>
        <w:t xml:space="preserve"> </w:t>
      </w:r>
    </w:p>
    <w:p w14:paraId="67EEE5FC" w14:textId="77777777" w:rsidR="00D0083C" w:rsidRDefault="00854AE5">
      <w:pPr>
        <w:spacing w:line="360" w:lineRule="auto"/>
        <w:ind w:firstLine="420"/>
        <w:divId w:val="1122842215"/>
      </w:pPr>
      <w:r>
        <w:rPr>
          <w:rFonts w:ascii="宋体" w:hAnsi="宋体" w:hint="eastAsia"/>
        </w:rPr>
        <w:t>四、客户服务中心（</w:t>
      </w:r>
      <w:r>
        <w:t>CALL-CENTER</w:t>
      </w:r>
      <w:r>
        <w:rPr>
          <w:rFonts w:ascii="宋体" w:hAnsi="宋体" w:hint="eastAsia"/>
        </w:rPr>
        <w:t>）电话服务</w:t>
      </w:r>
      <w:r>
        <w:t xml:space="preserve"> </w:t>
      </w:r>
    </w:p>
    <w:p w14:paraId="52F9DA13" w14:textId="77777777" w:rsidR="00D0083C" w:rsidRDefault="00854AE5">
      <w:pPr>
        <w:spacing w:line="360" w:lineRule="auto"/>
        <w:ind w:firstLine="420"/>
        <w:divId w:val="1122842215"/>
      </w:pPr>
      <w:r>
        <w:rPr>
          <w:rFonts w:ascii="宋体" w:hAnsi="宋体" w:hint="eastAsia"/>
        </w:rPr>
        <w:t>呼叫中心（</w:t>
      </w:r>
      <w:r>
        <w:t>400-6788-999</w:t>
      </w:r>
      <w:r>
        <w:rPr>
          <w:rFonts w:ascii="宋体" w:hAnsi="宋体" w:hint="eastAsia"/>
        </w:rPr>
        <w:t>、</w:t>
      </w:r>
      <w:r>
        <w:t>0755-82353668</w:t>
      </w:r>
      <w:r>
        <w:rPr>
          <w:rFonts w:ascii="宋体" w:hAnsi="宋体" w:hint="eastAsia"/>
        </w:rPr>
        <w:t>）自动语音系统提供每周</w:t>
      </w:r>
      <w:r>
        <w:t>7×24</w:t>
      </w:r>
      <w:r>
        <w:rPr>
          <w:rFonts w:ascii="宋体" w:hAnsi="宋体" w:hint="eastAsia"/>
        </w:rPr>
        <w:t>小时基金账户余额、交易情况、基金产品信息与服务等信息查询。</w:t>
      </w:r>
      <w:r>
        <w:t xml:space="preserve"> </w:t>
      </w:r>
    </w:p>
    <w:p w14:paraId="562FE976" w14:textId="77777777" w:rsidR="00D0083C" w:rsidRDefault="00854AE5">
      <w:pPr>
        <w:spacing w:line="360" w:lineRule="auto"/>
        <w:ind w:firstLine="420"/>
        <w:divId w:val="1122842215"/>
      </w:pPr>
      <w:r>
        <w:rPr>
          <w:rFonts w:ascii="宋体" w:hAnsi="宋体" w:hint="eastAsia"/>
        </w:rPr>
        <w:t>呼叫中心人工坐席提供工作日</w:t>
      </w:r>
      <w:r>
        <w:t>8</w:t>
      </w:r>
      <w:r>
        <w:rPr>
          <w:rFonts w:ascii="宋体" w:hAnsi="宋体" w:hint="eastAsia"/>
        </w:rPr>
        <w:t>：</w:t>
      </w:r>
      <w:r>
        <w:t>30</w:t>
      </w:r>
      <w:r>
        <w:rPr>
          <w:rFonts w:ascii="宋体" w:hAnsi="宋体" w:hint="eastAsia"/>
        </w:rPr>
        <w:t>－</w:t>
      </w:r>
      <w:r>
        <w:t>21</w:t>
      </w:r>
      <w:r>
        <w:rPr>
          <w:rFonts w:ascii="宋体" w:hAnsi="宋体" w:hint="eastAsia"/>
        </w:rPr>
        <w:t>：</w:t>
      </w:r>
      <w:r>
        <w:t>00</w:t>
      </w:r>
      <w:r>
        <w:rPr>
          <w:rFonts w:ascii="宋体" w:hAnsi="宋体" w:hint="eastAsia"/>
        </w:rPr>
        <w:t>的坐席服务（重大法定节假日除外），投资者可以通过该热线获得业务咨询、信息查询、服务投诉、信息定制、资料修改等专项服务。</w:t>
      </w:r>
      <w:r>
        <w:t xml:space="preserve"> </w:t>
      </w:r>
    </w:p>
    <w:p w14:paraId="071C368D" w14:textId="77777777" w:rsidR="00D0083C" w:rsidRDefault="00854AE5">
      <w:pPr>
        <w:spacing w:line="360" w:lineRule="auto"/>
        <w:ind w:firstLine="420"/>
        <w:divId w:val="1122842215"/>
      </w:pPr>
      <w:r>
        <w:rPr>
          <w:rFonts w:ascii="宋体" w:hAnsi="宋体" w:hint="eastAsia"/>
        </w:rPr>
        <w:t>五、客户投诉受理服务</w:t>
      </w:r>
      <w:r>
        <w:t xml:space="preserve"> </w:t>
      </w:r>
    </w:p>
    <w:p w14:paraId="60657B2A" w14:textId="77777777" w:rsidR="00D0083C" w:rsidRDefault="00854AE5">
      <w:pPr>
        <w:spacing w:line="360" w:lineRule="auto"/>
        <w:ind w:firstLine="420"/>
        <w:divId w:val="1122842215"/>
      </w:pPr>
      <w:r>
        <w:rPr>
          <w:rFonts w:ascii="宋体" w:hAnsi="宋体" w:hint="eastAsia"/>
        </w:rPr>
        <w:t>投资者可以通过直销和销售机构网点柜台、基金管理人设置的投诉专线、呼叫中心人工热线、书信、电子邮件等渠道，对基金管理人和销售机构所提供的服务进行投诉。</w:t>
      </w:r>
      <w:r>
        <w:t xml:space="preserve"> </w:t>
      </w:r>
    </w:p>
    <w:p w14:paraId="3032E016" w14:textId="77777777" w:rsidR="00D0083C" w:rsidRDefault="00854AE5">
      <w:pPr>
        <w:spacing w:line="360" w:lineRule="auto"/>
        <w:ind w:firstLine="420"/>
        <w:divId w:val="1122842215"/>
      </w:pPr>
      <w:r>
        <w:rPr>
          <w:rFonts w:ascii="宋体" w:hAnsi="宋体" w:hint="eastAsia"/>
        </w:rPr>
        <w:t>电话、电子邮件、书信、网络在线是主要投诉受理渠道，基金管理人设专人负责管理投诉电话（</w:t>
      </w:r>
      <w:r>
        <w:t>0755-82353668</w:t>
      </w:r>
      <w:r>
        <w:rPr>
          <w:rFonts w:ascii="宋体" w:hAnsi="宋体" w:hint="eastAsia"/>
        </w:rPr>
        <w:t>）、信箱、网络服务。现场投诉和意见簿投诉是补充投诉渠道，由各销售机构受理后反馈给本基金管理人跟进处理。</w:t>
      </w:r>
      <w:r>
        <w:t xml:space="preserve"> </w:t>
      </w:r>
    </w:p>
    <w:p w14:paraId="2ACB8010" w14:textId="77777777" w:rsidR="00D0083C" w:rsidRDefault="00854AE5">
      <w:pPr>
        <w:pStyle w:val="1"/>
        <w:spacing w:before="240" w:after="240" w:line="360" w:lineRule="auto"/>
        <w:jc w:val="center"/>
        <w:divId w:val="1122842215"/>
        <w:rPr>
          <w:sz w:val="24"/>
          <w:szCs w:val="24"/>
        </w:rPr>
      </w:pPr>
      <w:bookmarkStart w:id="102" w:name="_Toc387824887"/>
      <w:r>
        <w:rPr>
          <w:rFonts w:ascii="宋体" w:hAnsi="宋体" w:hint="eastAsia"/>
          <w:sz w:val="24"/>
          <w:szCs w:val="24"/>
        </w:rPr>
        <w:t>第二十一部分 其他应披露事</w:t>
      </w:r>
      <w:bookmarkEnd w:id="102"/>
      <w:r>
        <w:rPr>
          <w:rFonts w:ascii="宋体" w:hAnsi="宋体" w:hint="eastAsia"/>
          <w:sz w:val="24"/>
          <w:szCs w:val="24"/>
        </w:rPr>
        <w:t>项</w:t>
      </w:r>
    </w:p>
    <w:p w14:paraId="5BFCB802" w14:textId="1872C180" w:rsidR="00D0083C" w:rsidRDefault="00854AE5">
      <w:pPr>
        <w:pStyle w:val="a3"/>
        <w:spacing w:before="0" w:beforeAutospacing="0" w:after="0" w:afterAutospacing="0" w:line="360" w:lineRule="auto"/>
        <w:ind w:firstLine="420"/>
        <w:jc w:val="both"/>
        <w:divId w:val="1122842215"/>
        <w:rPr>
          <w:sz w:val="21"/>
          <w:szCs w:val="21"/>
        </w:rPr>
      </w:pPr>
      <w:bookmarkStart w:id="103" w:name="_Toc80590592"/>
      <w:r>
        <w:rPr>
          <w:rFonts w:hint="eastAsia"/>
          <w:sz w:val="21"/>
          <w:szCs w:val="21"/>
        </w:rPr>
        <w:t>本基金的其他应披露事项将严格按照《基金法》、《运作办法》、《销售办法》、《信息披露办法》等相关法律法规规定的内容与格式进行披露，并在指定媒介上公告。</w:t>
      </w:r>
      <w:bookmarkEnd w:id="103"/>
    </w:p>
    <w:tbl>
      <w:tblPr>
        <w:tblW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37"/>
        <w:gridCol w:w="2305"/>
        <w:gridCol w:w="1748"/>
      </w:tblGrid>
      <w:tr w:rsidR="00D0083C" w14:paraId="3713278D" w14:textId="77777777">
        <w:trPr>
          <w:divId w:val="1122842215"/>
        </w:trPr>
        <w:tc>
          <w:tcPr>
            <w:tcW w:w="496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92C0889" w14:textId="77777777" w:rsidR="00D0083C" w:rsidRDefault="00854AE5">
            <w:pPr>
              <w:pStyle w:val="a3"/>
              <w:jc w:val="center"/>
            </w:pPr>
            <w:r>
              <w:rPr>
                <w:rStyle w:val="aff7"/>
                <w:rFonts w:hint="eastAsia"/>
                <w:sz w:val="21"/>
                <w:szCs w:val="21"/>
              </w:rPr>
              <w:t>公告内容</w:t>
            </w:r>
          </w:p>
        </w:tc>
        <w:tc>
          <w:tcPr>
            <w:tcW w:w="2610" w:type="dxa"/>
            <w:tcBorders>
              <w:top w:val="single" w:sz="6" w:space="0" w:color="auto"/>
              <w:left w:val="single" w:sz="6" w:space="0" w:color="000000"/>
              <w:bottom w:val="single" w:sz="6" w:space="0" w:color="auto"/>
              <w:right w:val="single" w:sz="6" w:space="0" w:color="auto"/>
            </w:tcBorders>
            <w:tcMar>
              <w:top w:w="0" w:type="dxa"/>
              <w:left w:w="105" w:type="dxa"/>
              <w:bottom w:w="0" w:type="dxa"/>
              <w:right w:w="105" w:type="dxa"/>
            </w:tcMar>
            <w:hideMark/>
          </w:tcPr>
          <w:p w14:paraId="79502125" w14:textId="77777777" w:rsidR="00D0083C" w:rsidRDefault="00854AE5">
            <w:pPr>
              <w:pStyle w:val="a3"/>
              <w:jc w:val="center"/>
            </w:pPr>
            <w:r>
              <w:rPr>
                <w:rStyle w:val="aff7"/>
                <w:rFonts w:hint="eastAsia"/>
                <w:sz w:val="21"/>
                <w:szCs w:val="21"/>
              </w:rPr>
              <w:t>报纸</w:t>
            </w:r>
          </w:p>
        </w:tc>
        <w:tc>
          <w:tcPr>
            <w:tcW w:w="1980" w:type="dxa"/>
            <w:tcBorders>
              <w:top w:val="single" w:sz="6" w:space="0" w:color="auto"/>
              <w:left w:val="single" w:sz="6" w:space="0" w:color="000000"/>
              <w:bottom w:val="single" w:sz="6" w:space="0" w:color="auto"/>
              <w:right w:val="single" w:sz="6" w:space="0" w:color="auto"/>
            </w:tcBorders>
            <w:tcMar>
              <w:top w:w="0" w:type="dxa"/>
              <w:left w:w="105" w:type="dxa"/>
              <w:bottom w:w="0" w:type="dxa"/>
              <w:right w:w="105" w:type="dxa"/>
            </w:tcMar>
            <w:hideMark/>
          </w:tcPr>
          <w:p w14:paraId="12147D2F" w14:textId="77777777" w:rsidR="00D0083C" w:rsidRDefault="00854AE5">
            <w:pPr>
              <w:pStyle w:val="a3"/>
              <w:jc w:val="center"/>
            </w:pPr>
            <w:r>
              <w:rPr>
                <w:rStyle w:val="aff7"/>
                <w:rFonts w:hint="eastAsia"/>
                <w:sz w:val="21"/>
                <w:szCs w:val="21"/>
              </w:rPr>
              <w:t>日期</w:t>
            </w:r>
          </w:p>
        </w:tc>
      </w:tr>
      <w:tr w:rsidR="00D0083C" w14:paraId="3C0433C2"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74E11DE4" w14:textId="77777777" w:rsidR="00D0083C" w:rsidRDefault="00854AE5">
            <w:pPr>
              <w:pStyle w:val="a3"/>
            </w:pPr>
            <w:r>
              <w:rPr>
                <w:rFonts w:hint="eastAsia"/>
                <w:sz w:val="21"/>
                <w:szCs w:val="21"/>
              </w:rPr>
              <w:t>2018年第三季度报告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7B44B394" w14:textId="77777777" w:rsidR="00D0083C" w:rsidRDefault="00854AE5">
            <w:pPr>
              <w:pStyle w:val="a3"/>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15AA296F" w14:textId="77777777" w:rsidR="00D0083C" w:rsidRDefault="00854AE5">
            <w:pPr>
              <w:pStyle w:val="a3"/>
            </w:pPr>
            <w:r>
              <w:rPr>
                <w:rFonts w:hint="eastAsia"/>
                <w:sz w:val="21"/>
                <w:szCs w:val="21"/>
              </w:rPr>
              <w:t>2018年10月26日</w:t>
            </w:r>
          </w:p>
        </w:tc>
      </w:tr>
      <w:tr w:rsidR="00D0083C" w14:paraId="5C81B686"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0842684E" w14:textId="77777777" w:rsidR="00D0083C" w:rsidRDefault="00854AE5">
            <w:pPr>
              <w:pStyle w:val="a3"/>
            </w:pPr>
            <w:r>
              <w:rPr>
                <w:rFonts w:hint="eastAsia"/>
                <w:sz w:val="21"/>
                <w:szCs w:val="21"/>
              </w:rPr>
              <w:t>鹏华丰康债券型证券投资基金更新的招募说明书摘要</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76A82F1B" w14:textId="77777777" w:rsidR="00D0083C" w:rsidRDefault="00854AE5">
            <w:pPr>
              <w:pStyle w:val="a3"/>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2D24168C" w14:textId="77777777" w:rsidR="00D0083C" w:rsidRDefault="00854AE5">
            <w:pPr>
              <w:pStyle w:val="a3"/>
            </w:pPr>
            <w:r>
              <w:rPr>
                <w:rFonts w:hint="eastAsia"/>
                <w:sz w:val="21"/>
                <w:szCs w:val="21"/>
              </w:rPr>
              <w:t>2018年10月27日</w:t>
            </w:r>
          </w:p>
        </w:tc>
      </w:tr>
      <w:tr w:rsidR="00D0083C" w14:paraId="1DBDE4F7"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77441F53" w14:textId="77777777" w:rsidR="00D0083C" w:rsidRDefault="00854AE5">
            <w:pPr>
              <w:pStyle w:val="a3"/>
            </w:pPr>
            <w:r>
              <w:rPr>
                <w:rFonts w:hint="eastAsia"/>
                <w:sz w:val="21"/>
                <w:szCs w:val="21"/>
              </w:rPr>
              <w:t>鹏华基金管理有限公司关于增加个人投资者开立基金账户的证件类型的公告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0B729B88" w14:textId="77777777" w:rsidR="00D0083C" w:rsidRDefault="00854AE5">
            <w:pPr>
              <w:pStyle w:val="a3"/>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46C564EE" w14:textId="77777777" w:rsidR="00D0083C" w:rsidRDefault="00854AE5">
            <w:pPr>
              <w:pStyle w:val="a3"/>
            </w:pPr>
            <w:r>
              <w:rPr>
                <w:rFonts w:hint="eastAsia"/>
                <w:sz w:val="21"/>
                <w:szCs w:val="21"/>
              </w:rPr>
              <w:t>2018年11月15日</w:t>
            </w:r>
          </w:p>
        </w:tc>
      </w:tr>
      <w:tr w:rsidR="00D0083C" w14:paraId="12A70DED"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19059DCB" w14:textId="77777777" w:rsidR="00D0083C" w:rsidRDefault="00854AE5">
            <w:pPr>
              <w:pStyle w:val="a3"/>
            </w:pPr>
            <w:r>
              <w:rPr>
                <w:rFonts w:hint="eastAsia"/>
                <w:sz w:val="21"/>
                <w:szCs w:val="21"/>
              </w:rPr>
              <w:t>鹏华基金管理有限公司关于增加北京百度百盈基金销售有限公司为旗下部分基金销售机构的公告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078321DB" w14:textId="77777777" w:rsidR="00D0083C" w:rsidRDefault="00854AE5">
            <w:pPr>
              <w:pStyle w:val="a3"/>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4CB68F5F" w14:textId="77777777" w:rsidR="00D0083C" w:rsidRDefault="00854AE5">
            <w:pPr>
              <w:pStyle w:val="a3"/>
            </w:pPr>
            <w:r>
              <w:rPr>
                <w:rFonts w:hint="eastAsia"/>
                <w:sz w:val="21"/>
                <w:szCs w:val="21"/>
              </w:rPr>
              <w:t>2018年12月18日</w:t>
            </w:r>
          </w:p>
        </w:tc>
      </w:tr>
      <w:tr w:rsidR="00D0083C" w14:paraId="6C0978AE"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2DCDEB7B" w14:textId="77777777" w:rsidR="00D0083C" w:rsidRDefault="00854AE5">
            <w:pPr>
              <w:pStyle w:val="a3"/>
            </w:pPr>
            <w:r>
              <w:rPr>
                <w:rFonts w:hint="eastAsia"/>
                <w:sz w:val="21"/>
                <w:szCs w:val="21"/>
              </w:rPr>
              <w:t>鹏华基金管理有限公司关于增设客服热线的公告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4FCF91DE" w14:textId="77777777" w:rsidR="00D0083C" w:rsidRDefault="00854AE5">
            <w:pPr>
              <w:pStyle w:val="a3"/>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691BD6B9" w14:textId="77777777" w:rsidR="00D0083C" w:rsidRDefault="00854AE5">
            <w:pPr>
              <w:pStyle w:val="a3"/>
            </w:pPr>
            <w:r>
              <w:rPr>
                <w:rFonts w:hint="eastAsia"/>
                <w:sz w:val="21"/>
                <w:szCs w:val="21"/>
              </w:rPr>
              <w:t>2018年12月29日</w:t>
            </w:r>
          </w:p>
        </w:tc>
      </w:tr>
      <w:tr w:rsidR="00D0083C" w14:paraId="7BAEC195"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4267A69E" w14:textId="77777777" w:rsidR="00D0083C" w:rsidRDefault="00854AE5">
            <w:pPr>
              <w:pStyle w:val="a3"/>
            </w:pPr>
            <w:r>
              <w:rPr>
                <w:rFonts w:hint="eastAsia"/>
                <w:sz w:val="21"/>
                <w:szCs w:val="21"/>
              </w:rPr>
              <w:t xml:space="preserve">鹏华基金管理有限公司关于增加北京植信基金销售有限公司为旗下部分基金销售机构的公告   </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1D6FDB89" w14:textId="77777777" w:rsidR="00D0083C" w:rsidRDefault="00854AE5">
            <w:pPr>
              <w:pStyle w:val="a3"/>
            </w:pPr>
            <w:r>
              <w:rPr>
                <w:rFonts w:hint="eastAsia"/>
                <w:sz w:val="21"/>
                <w:szCs w:val="21"/>
              </w:rPr>
              <w:t>《证券时报》、《中国证券报》、《上海证券报》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6745CBF7" w14:textId="77777777" w:rsidR="00D0083C" w:rsidRDefault="00854AE5">
            <w:pPr>
              <w:pStyle w:val="a3"/>
            </w:pPr>
            <w:r>
              <w:rPr>
                <w:rFonts w:hint="eastAsia"/>
                <w:sz w:val="21"/>
                <w:szCs w:val="21"/>
              </w:rPr>
              <w:t>2019年1月9日</w:t>
            </w:r>
          </w:p>
        </w:tc>
      </w:tr>
      <w:tr w:rsidR="00D0083C" w14:paraId="3083580D"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7A455ED2" w14:textId="77777777" w:rsidR="00D0083C" w:rsidRDefault="00854AE5">
            <w:pPr>
              <w:pStyle w:val="a3"/>
            </w:pPr>
            <w:r>
              <w:rPr>
                <w:rFonts w:hint="eastAsia"/>
                <w:sz w:val="21"/>
                <w:szCs w:val="21"/>
              </w:rPr>
              <w:t>2018年第四季度报告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52539B7E" w14:textId="77777777" w:rsidR="00D0083C" w:rsidRDefault="00854AE5">
            <w:pPr>
              <w:pStyle w:val="a3"/>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6C811EB1" w14:textId="77777777" w:rsidR="00D0083C" w:rsidRDefault="00854AE5">
            <w:pPr>
              <w:pStyle w:val="a3"/>
            </w:pPr>
            <w:r>
              <w:rPr>
                <w:rFonts w:hint="eastAsia"/>
                <w:sz w:val="21"/>
                <w:szCs w:val="21"/>
              </w:rPr>
              <w:t>2019年1月21日</w:t>
            </w:r>
          </w:p>
        </w:tc>
      </w:tr>
      <w:tr w:rsidR="00D0083C" w14:paraId="79FABFAE"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39D5A5FE" w14:textId="77777777" w:rsidR="00D0083C" w:rsidRDefault="00854AE5">
            <w:pPr>
              <w:pStyle w:val="a3"/>
            </w:pPr>
            <w:r>
              <w:rPr>
                <w:rFonts w:hint="eastAsia"/>
                <w:sz w:val="21"/>
                <w:szCs w:val="21"/>
              </w:rPr>
              <w:lastRenderedPageBreak/>
              <w:t>鹏华基金管理有限公司关于旗下基金在浙江金观诚基金销售有限公司暂停办理相关销售业务的公告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544DCEC0" w14:textId="77777777" w:rsidR="00D0083C" w:rsidRDefault="00854AE5">
            <w:pPr>
              <w:pStyle w:val="a3"/>
            </w:pPr>
            <w:r>
              <w:rPr>
                <w:rFonts w:hint="eastAsia"/>
                <w:sz w:val="21"/>
                <w:szCs w:val="21"/>
              </w:rPr>
              <w:t>《证券时报》、《中国证券报》、《上海证券报》、《证券日报》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48016E8C" w14:textId="77777777" w:rsidR="00D0083C" w:rsidRDefault="00854AE5">
            <w:pPr>
              <w:pStyle w:val="a3"/>
            </w:pPr>
            <w:r>
              <w:rPr>
                <w:rFonts w:hint="eastAsia"/>
                <w:sz w:val="21"/>
                <w:szCs w:val="21"/>
              </w:rPr>
              <w:t>2019年1月22日</w:t>
            </w:r>
          </w:p>
        </w:tc>
      </w:tr>
      <w:tr w:rsidR="00D0083C" w14:paraId="356C8E7C"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239879B6" w14:textId="77777777" w:rsidR="00D0083C" w:rsidRDefault="00854AE5">
            <w:pPr>
              <w:pStyle w:val="a3"/>
            </w:pPr>
            <w:r>
              <w:rPr>
                <w:rFonts w:hint="eastAsia"/>
                <w:sz w:val="21"/>
                <w:szCs w:val="21"/>
              </w:rPr>
              <w:t>鹏华基金管理有限公司关于鹏华丰康债券型证券投资基金2019年第1次分红公告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2B820C91" w14:textId="77777777" w:rsidR="00D0083C" w:rsidRDefault="00854AE5">
            <w:pPr>
              <w:pStyle w:val="a3"/>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3728DB29" w14:textId="77777777" w:rsidR="00D0083C" w:rsidRDefault="00854AE5">
            <w:pPr>
              <w:pStyle w:val="a3"/>
            </w:pPr>
            <w:r>
              <w:rPr>
                <w:rFonts w:hint="eastAsia"/>
                <w:sz w:val="21"/>
                <w:szCs w:val="21"/>
              </w:rPr>
              <w:t>2019年2月19日</w:t>
            </w:r>
          </w:p>
        </w:tc>
      </w:tr>
      <w:tr w:rsidR="00D0083C" w14:paraId="62C312DF"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20A2F5AD" w14:textId="77777777" w:rsidR="00D0083C" w:rsidRDefault="00854AE5">
            <w:pPr>
              <w:pStyle w:val="a3"/>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26B7C464" w14:textId="77777777" w:rsidR="00D0083C" w:rsidRDefault="00854AE5">
            <w:pPr>
              <w:pStyle w:val="a3"/>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72F6024C" w14:textId="77777777" w:rsidR="00D0083C" w:rsidRDefault="00854AE5">
            <w:pPr>
              <w:pStyle w:val="a3"/>
            </w:pPr>
            <w:r>
              <w:rPr>
                <w:rFonts w:hint="eastAsia"/>
                <w:sz w:val="21"/>
                <w:szCs w:val="21"/>
              </w:rPr>
              <w:t>2019年3月1日</w:t>
            </w:r>
          </w:p>
        </w:tc>
      </w:tr>
      <w:tr w:rsidR="00D0083C" w14:paraId="202FD1D8"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70B7D930" w14:textId="77777777" w:rsidR="00D0083C" w:rsidRDefault="00854AE5">
            <w:pPr>
              <w:pStyle w:val="a3"/>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58140105" w14:textId="77777777" w:rsidR="00D0083C" w:rsidRDefault="00854AE5">
            <w:pPr>
              <w:pStyle w:val="a3"/>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1277FCF4" w14:textId="77777777" w:rsidR="00D0083C" w:rsidRDefault="00854AE5">
            <w:pPr>
              <w:pStyle w:val="a3"/>
            </w:pPr>
            <w:r>
              <w:rPr>
                <w:rFonts w:hint="eastAsia"/>
                <w:sz w:val="21"/>
                <w:szCs w:val="21"/>
              </w:rPr>
              <w:t>2019年3月1日</w:t>
            </w:r>
          </w:p>
        </w:tc>
      </w:tr>
      <w:tr w:rsidR="00D0083C" w14:paraId="1F4CA2AE"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6591FD98" w14:textId="77777777" w:rsidR="00D0083C" w:rsidRDefault="00854AE5">
            <w:pPr>
              <w:pStyle w:val="a3"/>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2CBA9DEA" w14:textId="77777777" w:rsidR="00D0083C" w:rsidRDefault="00854AE5">
            <w:pPr>
              <w:pStyle w:val="a3"/>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0E48F0DA" w14:textId="77777777" w:rsidR="00D0083C" w:rsidRDefault="00854AE5">
            <w:pPr>
              <w:pStyle w:val="a3"/>
            </w:pPr>
            <w:r>
              <w:rPr>
                <w:rFonts w:hint="eastAsia"/>
                <w:sz w:val="21"/>
                <w:szCs w:val="21"/>
              </w:rPr>
              <w:t>2019年3月1日</w:t>
            </w:r>
          </w:p>
        </w:tc>
      </w:tr>
      <w:tr w:rsidR="00D0083C" w14:paraId="307C9CA5"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5A09ABA0" w14:textId="77777777" w:rsidR="00D0083C" w:rsidRDefault="00854AE5">
            <w:pPr>
              <w:pStyle w:val="a3"/>
            </w:pPr>
            <w:r>
              <w:rPr>
                <w:rFonts w:hint="eastAsia"/>
                <w:sz w:val="21"/>
                <w:szCs w:val="21"/>
              </w:rPr>
              <w:t>鹏华基金管理有限公司澄清公告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4009FEBA" w14:textId="77777777" w:rsidR="00D0083C" w:rsidRDefault="00854AE5">
            <w:pPr>
              <w:pStyle w:val="a3"/>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5A7E0B19" w14:textId="77777777" w:rsidR="00D0083C" w:rsidRDefault="00854AE5">
            <w:pPr>
              <w:pStyle w:val="a3"/>
            </w:pPr>
            <w:r>
              <w:rPr>
                <w:rFonts w:hint="eastAsia"/>
                <w:sz w:val="21"/>
                <w:szCs w:val="21"/>
              </w:rPr>
              <w:t>2019年3月1日</w:t>
            </w:r>
          </w:p>
        </w:tc>
      </w:tr>
      <w:tr w:rsidR="00D0083C" w14:paraId="0C414AB2"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37922242" w14:textId="77777777" w:rsidR="00D0083C" w:rsidRDefault="00854AE5">
            <w:pPr>
              <w:pStyle w:val="a3"/>
            </w:pPr>
            <w:r>
              <w:rPr>
                <w:rFonts w:hint="eastAsia"/>
                <w:sz w:val="21"/>
                <w:szCs w:val="21"/>
              </w:rPr>
              <w:t>鹏华基金管理有限公司关于增加浙江同花顺基金销售有限公司为旗下部分基金销售机构的公告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7C392047" w14:textId="77777777" w:rsidR="00D0083C" w:rsidRDefault="00854AE5">
            <w:pPr>
              <w:pStyle w:val="a3"/>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36984FFC" w14:textId="77777777" w:rsidR="00D0083C" w:rsidRDefault="00854AE5">
            <w:pPr>
              <w:pStyle w:val="a3"/>
            </w:pPr>
            <w:r>
              <w:rPr>
                <w:rFonts w:hint="eastAsia"/>
                <w:sz w:val="21"/>
                <w:szCs w:val="21"/>
              </w:rPr>
              <w:t>2019年3月13日</w:t>
            </w:r>
          </w:p>
        </w:tc>
      </w:tr>
      <w:tr w:rsidR="00D0083C" w14:paraId="771ED47A"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3FDB4177" w14:textId="77777777" w:rsidR="00D0083C" w:rsidRDefault="00854AE5">
            <w:pPr>
              <w:pStyle w:val="a3"/>
            </w:pPr>
            <w:r>
              <w:rPr>
                <w:rFonts w:hint="eastAsia"/>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596B51EA" w14:textId="77777777" w:rsidR="00D0083C" w:rsidRDefault="00854AE5">
            <w:pPr>
              <w:pStyle w:val="a3"/>
            </w:pPr>
            <w:r>
              <w:rPr>
                <w:rFonts w:hint="eastAsia"/>
                <w:sz w:val="21"/>
                <w:szCs w:val="21"/>
              </w:rPr>
              <w:t>《上海证券报》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05325621" w14:textId="77777777" w:rsidR="00D0083C" w:rsidRDefault="00854AE5">
            <w:pPr>
              <w:pStyle w:val="a3"/>
            </w:pPr>
            <w:r>
              <w:rPr>
                <w:rFonts w:hint="eastAsia"/>
                <w:sz w:val="21"/>
                <w:szCs w:val="21"/>
              </w:rPr>
              <w:t>2019年3月13日</w:t>
            </w:r>
          </w:p>
        </w:tc>
      </w:tr>
      <w:tr w:rsidR="00D0083C" w14:paraId="4F5855B4"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74CA37C4" w14:textId="77777777" w:rsidR="00D0083C" w:rsidRDefault="00854AE5">
            <w:pPr>
              <w:pStyle w:val="a3"/>
            </w:pPr>
            <w:r>
              <w:rPr>
                <w:rFonts w:hint="eastAsia"/>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0CCA4654" w14:textId="77777777" w:rsidR="00D0083C" w:rsidRDefault="00854AE5">
            <w:pPr>
              <w:pStyle w:val="a3"/>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46F8BC30" w14:textId="77777777" w:rsidR="00D0083C" w:rsidRDefault="00854AE5">
            <w:pPr>
              <w:pStyle w:val="a3"/>
            </w:pPr>
            <w:r>
              <w:rPr>
                <w:rFonts w:hint="eastAsia"/>
                <w:sz w:val="21"/>
                <w:szCs w:val="21"/>
              </w:rPr>
              <w:t>2019年3月13日</w:t>
            </w:r>
          </w:p>
        </w:tc>
      </w:tr>
      <w:tr w:rsidR="00D0083C" w14:paraId="1BBF75EB"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0ADCB32F" w14:textId="77777777" w:rsidR="00D0083C" w:rsidRDefault="00854AE5">
            <w:pPr>
              <w:pStyle w:val="a3"/>
            </w:pPr>
            <w:r>
              <w:rPr>
                <w:rFonts w:hint="eastAsia"/>
                <w:sz w:val="21"/>
                <w:szCs w:val="21"/>
              </w:rPr>
              <w:t>鹏华基金管理有限公司关于增加浙江同花顺基金销售有限公司为旗下部分基金销售机构的公告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4FD2CEEA" w14:textId="77777777" w:rsidR="00D0083C" w:rsidRDefault="00854AE5">
            <w:pPr>
              <w:pStyle w:val="a3"/>
            </w:pPr>
            <w:r>
              <w:rPr>
                <w:rFonts w:hint="eastAsia"/>
                <w:sz w:val="21"/>
                <w:szCs w:val="21"/>
              </w:rPr>
              <w:t>《中国证券报》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6558D3BA" w14:textId="77777777" w:rsidR="00D0083C" w:rsidRDefault="00854AE5">
            <w:pPr>
              <w:pStyle w:val="a3"/>
            </w:pPr>
            <w:r>
              <w:rPr>
                <w:rFonts w:hint="eastAsia"/>
                <w:sz w:val="21"/>
                <w:szCs w:val="21"/>
              </w:rPr>
              <w:t>2019年3月13日</w:t>
            </w:r>
          </w:p>
        </w:tc>
      </w:tr>
      <w:tr w:rsidR="00D0083C" w14:paraId="4F4DB652"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1B1B68B4" w14:textId="77777777" w:rsidR="00D0083C" w:rsidRDefault="00854AE5">
            <w:pPr>
              <w:pStyle w:val="a3"/>
            </w:pPr>
            <w:r>
              <w:rPr>
                <w:rFonts w:hint="eastAsia"/>
                <w:sz w:val="21"/>
                <w:szCs w:val="21"/>
              </w:rPr>
              <w:t>鹏华基金管理有限公司关于增加浙江同花顺基金销售有限公司为旗下部分基金销售机构的公告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058C7AF0" w14:textId="77777777" w:rsidR="00D0083C" w:rsidRDefault="00854AE5">
            <w:pPr>
              <w:pStyle w:val="a3"/>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79550FD7" w14:textId="77777777" w:rsidR="00D0083C" w:rsidRDefault="00854AE5">
            <w:pPr>
              <w:pStyle w:val="a3"/>
            </w:pPr>
            <w:r>
              <w:rPr>
                <w:rFonts w:hint="eastAsia"/>
                <w:sz w:val="21"/>
                <w:szCs w:val="21"/>
              </w:rPr>
              <w:t>2019年3月13日</w:t>
            </w:r>
          </w:p>
        </w:tc>
      </w:tr>
      <w:tr w:rsidR="00D0083C" w14:paraId="6D03FE95"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73585482" w14:textId="77777777" w:rsidR="00D0083C" w:rsidRDefault="00854AE5">
            <w:pPr>
              <w:pStyle w:val="a3"/>
            </w:pPr>
            <w:r>
              <w:rPr>
                <w:rFonts w:hint="eastAsia"/>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1EAEEE93" w14:textId="77777777" w:rsidR="00D0083C" w:rsidRDefault="00854AE5">
            <w:pPr>
              <w:pStyle w:val="a3"/>
            </w:pPr>
            <w:r>
              <w:rPr>
                <w:rFonts w:hint="eastAsia"/>
                <w:sz w:val="21"/>
                <w:szCs w:val="21"/>
              </w:rPr>
              <w:t>《证券日报》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38032DE2" w14:textId="77777777" w:rsidR="00D0083C" w:rsidRDefault="00854AE5">
            <w:pPr>
              <w:pStyle w:val="a3"/>
            </w:pPr>
            <w:r>
              <w:rPr>
                <w:rFonts w:hint="eastAsia"/>
                <w:sz w:val="21"/>
                <w:szCs w:val="21"/>
              </w:rPr>
              <w:t>2019年3月13日</w:t>
            </w:r>
          </w:p>
        </w:tc>
      </w:tr>
      <w:tr w:rsidR="00D0083C" w14:paraId="086F66F1"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4D4A7EE8" w14:textId="77777777" w:rsidR="00D0083C" w:rsidRDefault="00854AE5">
            <w:pPr>
              <w:pStyle w:val="a3"/>
            </w:pPr>
            <w:r>
              <w:rPr>
                <w:rFonts w:hint="eastAsia"/>
                <w:sz w:val="21"/>
                <w:szCs w:val="21"/>
              </w:rPr>
              <w:t>鹏华基金管理有限公司关于增加浙江同花顺基金销售有限公司为旗下部分基金销售机构的公告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3DF36FF6" w14:textId="77777777" w:rsidR="00D0083C" w:rsidRDefault="00854AE5">
            <w:pPr>
              <w:pStyle w:val="a3"/>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3F1AF680" w14:textId="77777777" w:rsidR="00D0083C" w:rsidRDefault="00854AE5">
            <w:pPr>
              <w:pStyle w:val="a3"/>
            </w:pPr>
            <w:r>
              <w:rPr>
                <w:rFonts w:hint="eastAsia"/>
                <w:sz w:val="21"/>
                <w:szCs w:val="21"/>
              </w:rPr>
              <w:t>2019年3月13日</w:t>
            </w:r>
          </w:p>
        </w:tc>
      </w:tr>
      <w:tr w:rsidR="00D0083C" w14:paraId="28DA97AE" w14:textId="77777777">
        <w:trPr>
          <w:divId w:val="1122842215"/>
        </w:trPr>
        <w:tc>
          <w:tcPr>
            <w:tcW w:w="4965" w:type="dxa"/>
            <w:tcBorders>
              <w:top w:val="single" w:sz="6" w:space="0" w:color="000000"/>
              <w:left w:val="single" w:sz="6" w:space="0" w:color="auto"/>
              <w:bottom w:val="single" w:sz="6" w:space="0" w:color="auto"/>
              <w:right w:val="single" w:sz="6" w:space="0" w:color="auto"/>
            </w:tcBorders>
            <w:tcMar>
              <w:top w:w="0" w:type="dxa"/>
              <w:left w:w="105" w:type="dxa"/>
              <w:bottom w:w="0" w:type="dxa"/>
              <w:right w:w="105" w:type="dxa"/>
            </w:tcMar>
            <w:hideMark/>
          </w:tcPr>
          <w:p w14:paraId="34CCE83E" w14:textId="77777777" w:rsidR="00D0083C" w:rsidRDefault="00854AE5">
            <w:pPr>
              <w:pStyle w:val="a3"/>
            </w:pPr>
            <w:r>
              <w:rPr>
                <w:rFonts w:hint="eastAsia"/>
                <w:sz w:val="21"/>
                <w:szCs w:val="21"/>
              </w:rPr>
              <w:t>鹏华基金管理有限公司关于旗下部分基金参与北京恒天明泽基金销售有限公司认\申购费率优惠活动的公告</w:t>
            </w:r>
          </w:p>
        </w:tc>
        <w:tc>
          <w:tcPr>
            <w:tcW w:w="261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33F6714F" w14:textId="77777777" w:rsidR="00D0083C" w:rsidRDefault="00854AE5">
            <w:pPr>
              <w:pStyle w:val="a3"/>
            </w:pPr>
            <w:r>
              <w:rPr>
                <w:rFonts w:hint="eastAsia"/>
                <w:sz w:val="21"/>
                <w:szCs w:val="21"/>
              </w:rPr>
              <w:t>《证券时报》</w:t>
            </w:r>
          </w:p>
        </w:tc>
        <w:tc>
          <w:tcPr>
            <w:tcW w:w="1980" w:type="dxa"/>
            <w:tcBorders>
              <w:top w:val="single" w:sz="6" w:space="0" w:color="000000"/>
              <w:left w:val="single" w:sz="6" w:space="0" w:color="000000"/>
              <w:bottom w:val="single" w:sz="6" w:space="0" w:color="auto"/>
              <w:right w:val="single" w:sz="6" w:space="0" w:color="auto"/>
            </w:tcBorders>
            <w:tcMar>
              <w:top w:w="0" w:type="dxa"/>
              <w:left w:w="105" w:type="dxa"/>
              <w:bottom w:w="0" w:type="dxa"/>
              <w:right w:w="105" w:type="dxa"/>
            </w:tcMar>
            <w:hideMark/>
          </w:tcPr>
          <w:p w14:paraId="1065B4ED" w14:textId="77777777" w:rsidR="00D0083C" w:rsidRDefault="00854AE5">
            <w:pPr>
              <w:pStyle w:val="a3"/>
            </w:pPr>
            <w:r>
              <w:rPr>
                <w:rFonts w:hint="eastAsia"/>
                <w:sz w:val="21"/>
                <w:szCs w:val="21"/>
              </w:rPr>
              <w:t>2019年3月13日</w:t>
            </w:r>
          </w:p>
        </w:tc>
      </w:tr>
    </w:tbl>
    <w:p w14:paraId="64F9AECC"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上述披露事项的披露期间自2018年9月17日至2019年3月16日止。</w:t>
      </w:r>
    </w:p>
    <w:p w14:paraId="59B3B7FA" w14:textId="77777777" w:rsidR="00D0083C" w:rsidRDefault="00854AE5">
      <w:pPr>
        <w:pStyle w:val="1"/>
        <w:spacing w:before="240" w:after="240" w:line="360" w:lineRule="auto"/>
        <w:jc w:val="center"/>
        <w:divId w:val="1122842215"/>
        <w:rPr>
          <w:sz w:val="24"/>
          <w:szCs w:val="24"/>
        </w:rPr>
      </w:pPr>
      <w:bookmarkStart w:id="104" w:name="_Toc387824888"/>
      <w:r>
        <w:rPr>
          <w:rFonts w:ascii="宋体" w:hAnsi="宋体" w:hint="eastAsia"/>
          <w:sz w:val="24"/>
          <w:szCs w:val="24"/>
        </w:rPr>
        <w:t>第二十二部分 招募说明书的存放及查</w:t>
      </w:r>
      <w:bookmarkEnd w:id="104"/>
      <w:r>
        <w:rPr>
          <w:rFonts w:ascii="宋体" w:hAnsi="宋体" w:hint="eastAsia"/>
          <w:sz w:val="24"/>
          <w:szCs w:val="24"/>
        </w:rPr>
        <w:t>阅方式</w:t>
      </w:r>
    </w:p>
    <w:p w14:paraId="5EA5D2ED"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本招募说明书按相关法律法规，存放在基金管理人、基金销售机构等的办公场所，投资人可在办公时间免费查阅；也可在支付工本费后在合理时间内获取本招募说明书复制件或复印件，但应以招募说明书正本为准。投资人也可以直接登录基金管理人的网站进行查阅。</w:t>
      </w:r>
    </w:p>
    <w:p w14:paraId="1A99B786"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基金管理人保证文本的内容与所公告的内容完全一致。</w:t>
      </w:r>
      <w:bookmarkStart w:id="105" w:name="_Toc80590593"/>
      <w:bookmarkEnd w:id="105"/>
    </w:p>
    <w:p w14:paraId="162258F6" w14:textId="77777777" w:rsidR="00D0083C" w:rsidRDefault="00854AE5">
      <w:pPr>
        <w:pStyle w:val="1"/>
        <w:spacing w:before="240" w:after="240" w:line="360" w:lineRule="auto"/>
        <w:jc w:val="center"/>
        <w:divId w:val="1122842215"/>
        <w:rPr>
          <w:sz w:val="24"/>
          <w:szCs w:val="24"/>
        </w:rPr>
      </w:pPr>
      <w:bookmarkStart w:id="106" w:name="_Toc387824889"/>
      <w:r>
        <w:rPr>
          <w:rFonts w:ascii="宋体" w:hAnsi="宋体" w:hint="eastAsia"/>
          <w:sz w:val="24"/>
          <w:szCs w:val="24"/>
        </w:rPr>
        <w:lastRenderedPageBreak/>
        <w:t>第二十三部分 备查文</w:t>
      </w:r>
      <w:bookmarkEnd w:id="106"/>
      <w:r>
        <w:rPr>
          <w:rFonts w:ascii="宋体" w:hAnsi="宋体" w:hint="eastAsia"/>
          <w:sz w:val="24"/>
          <w:szCs w:val="24"/>
        </w:rPr>
        <w:t>件</w:t>
      </w:r>
    </w:p>
    <w:p w14:paraId="3EBBA192"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一、备查文件包括：</w:t>
      </w:r>
    </w:p>
    <w:p w14:paraId="3F322D77"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、中国证监会注册鹏华丰康债券型证券投资基金募集的文件</w:t>
      </w:r>
    </w:p>
    <w:p w14:paraId="0306F664"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、《鹏华丰康债券型证券投资基金基金合同》</w:t>
      </w:r>
    </w:p>
    <w:p w14:paraId="3D270ABB"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3</w:t>
      </w:r>
      <w:r>
        <w:rPr>
          <w:rFonts w:hint="eastAsia"/>
          <w:sz w:val="21"/>
          <w:szCs w:val="21"/>
        </w:rPr>
        <w:t>、《鹏华丰康债券型证券投资基金托管协议》</w:t>
      </w:r>
    </w:p>
    <w:p w14:paraId="1DD38ED1"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4</w:t>
      </w:r>
      <w:r>
        <w:rPr>
          <w:rFonts w:hint="eastAsia"/>
          <w:sz w:val="21"/>
          <w:szCs w:val="21"/>
        </w:rPr>
        <w:t>、法律意见书</w:t>
      </w:r>
    </w:p>
    <w:p w14:paraId="581A9B1A"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5</w:t>
      </w:r>
      <w:r>
        <w:rPr>
          <w:rFonts w:hint="eastAsia"/>
          <w:sz w:val="21"/>
          <w:szCs w:val="21"/>
        </w:rPr>
        <w:t>、基金管理人业务资格批件、营业执照</w:t>
      </w:r>
    </w:p>
    <w:p w14:paraId="0FBD109C"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6</w:t>
      </w:r>
      <w:r>
        <w:rPr>
          <w:rFonts w:hint="eastAsia"/>
          <w:sz w:val="21"/>
          <w:szCs w:val="21"/>
        </w:rPr>
        <w:t>、基金托管人业务资格批件、营业执照</w:t>
      </w:r>
    </w:p>
    <w:p w14:paraId="6332F42E" w14:textId="77777777" w:rsidR="00D0083C" w:rsidRDefault="00854AE5">
      <w:pPr>
        <w:pStyle w:val="a3"/>
        <w:spacing w:before="0" w:beforeAutospacing="0" w:after="0" w:afterAutospacing="0" w:line="360" w:lineRule="auto"/>
        <w:ind w:firstLine="420"/>
        <w:jc w:val="both"/>
        <w:divId w:val="1122842215"/>
        <w:rPr>
          <w:sz w:val="21"/>
          <w:szCs w:val="21"/>
        </w:rPr>
      </w:pPr>
      <w:r>
        <w:rPr>
          <w:rFonts w:hint="eastAsia"/>
          <w:sz w:val="21"/>
          <w:szCs w:val="21"/>
        </w:rPr>
        <w:t>二、备查文件的存放地点和投资人查阅方式：</w:t>
      </w:r>
    </w:p>
    <w:p w14:paraId="34CE7BCD"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1</w:t>
      </w:r>
      <w:r>
        <w:rPr>
          <w:rFonts w:hint="eastAsia"/>
          <w:sz w:val="21"/>
          <w:szCs w:val="21"/>
        </w:rPr>
        <w:t>、存放地点：《基金合同》、《托管协议》存放在基金管理人和基金托管人处；其余备查文件存放在基金管理人处。</w:t>
      </w:r>
    </w:p>
    <w:p w14:paraId="7070414F" w14:textId="77777777" w:rsidR="00D0083C" w:rsidRDefault="00854AE5">
      <w:pPr>
        <w:pStyle w:val="a3"/>
        <w:spacing w:before="0" w:beforeAutospacing="0" w:after="0" w:afterAutospacing="0" w:line="360" w:lineRule="auto"/>
        <w:ind w:firstLine="420"/>
        <w:jc w:val="both"/>
        <w:divId w:val="1122842215"/>
        <w:rPr>
          <w:sz w:val="21"/>
          <w:szCs w:val="21"/>
        </w:rPr>
      </w:pPr>
      <w:r>
        <w:rPr>
          <w:rFonts w:ascii="Times New Roman" w:hAnsi="Times New Roman" w:cs="Times New Roman"/>
          <w:sz w:val="21"/>
          <w:szCs w:val="21"/>
        </w:rPr>
        <w:t>2</w:t>
      </w:r>
      <w:r>
        <w:rPr>
          <w:rFonts w:hint="eastAsia"/>
          <w:sz w:val="21"/>
          <w:szCs w:val="21"/>
        </w:rPr>
        <w:t>、查阅方式：投资人可在营业时间免费到存放地点查阅，也可按工本费购买复印件。</w:t>
      </w:r>
    </w:p>
    <w:p w14:paraId="1D866BBD" w14:textId="77777777" w:rsidR="00D0083C" w:rsidRDefault="00854AE5">
      <w:pPr>
        <w:pStyle w:val="a3"/>
        <w:spacing w:before="0" w:beforeAutospacing="0" w:after="0" w:afterAutospacing="0" w:line="360" w:lineRule="auto"/>
        <w:ind w:firstLine="420"/>
        <w:divId w:val="1122842215"/>
        <w:rPr>
          <w:sz w:val="21"/>
          <w:szCs w:val="21"/>
        </w:rPr>
      </w:pPr>
      <w:r>
        <w:rPr>
          <w:rFonts w:ascii="Times New Roman" w:hAnsi="Times New Roman" w:cs="Times New Roman"/>
          <w:sz w:val="21"/>
          <w:szCs w:val="21"/>
        </w:rPr>
        <w:t> </w:t>
      </w:r>
    </w:p>
    <w:p w14:paraId="48DFE4D6" w14:textId="77777777" w:rsidR="00D0083C" w:rsidRDefault="00854AE5">
      <w:pPr>
        <w:pStyle w:val="a3"/>
        <w:spacing w:before="72" w:beforeAutospacing="0" w:after="72" w:afterAutospacing="0" w:line="360" w:lineRule="auto"/>
        <w:jc w:val="right"/>
        <w:divId w:val="1122842215"/>
      </w:pPr>
      <w:r>
        <w:rPr>
          <w:rFonts w:hint="eastAsia"/>
          <w:b/>
          <w:bCs/>
        </w:rPr>
        <w:t>鹏华基金管理有限公司</w:t>
      </w:r>
    </w:p>
    <w:p w14:paraId="505AC1E7" w14:textId="7760F162" w:rsidR="00854AE5" w:rsidRPr="002A17DF" w:rsidRDefault="00854AE5">
      <w:pPr>
        <w:pStyle w:val="a3"/>
        <w:spacing w:before="72" w:beforeAutospacing="0" w:after="72" w:afterAutospacing="0" w:line="360" w:lineRule="auto"/>
        <w:jc w:val="right"/>
        <w:divId w:val="1122842215"/>
        <w:rPr>
          <w:b/>
        </w:rPr>
      </w:pPr>
      <w:r w:rsidRPr="002A17DF">
        <w:rPr>
          <w:b/>
        </w:rPr>
        <w:t>2</w:t>
      </w:r>
      <w:r w:rsidR="00CF441F" w:rsidRPr="002A17DF">
        <w:rPr>
          <w:b/>
        </w:rPr>
        <w:t>020年2月</w:t>
      </w:r>
    </w:p>
    <w:sectPr w:rsidR="00854AE5" w:rsidRPr="002A17DF">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FF244" w14:textId="77777777" w:rsidR="000A395C" w:rsidRDefault="000A395C" w:rsidP="00BE6383">
      <w:r>
        <w:separator/>
      </w:r>
    </w:p>
  </w:endnote>
  <w:endnote w:type="continuationSeparator" w:id="0">
    <w:p w14:paraId="7D91E18E" w14:textId="77777777" w:rsidR="000A395C" w:rsidRDefault="000A395C" w:rsidP="00BE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华文行楷">
    <w:panose1 w:val="02010800040101010101"/>
    <w:charset w:val="86"/>
    <w:family w:val="auto"/>
    <w:pitch w:val="variable"/>
    <w:sig w:usb0="00000001" w:usb1="080F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AEB62" w14:textId="77777777" w:rsidR="000A395C" w:rsidRDefault="000A395C" w:rsidP="00BE6383">
      <w:r>
        <w:separator/>
      </w:r>
    </w:p>
  </w:footnote>
  <w:footnote w:type="continuationSeparator" w:id="0">
    <w:p w14:paraId="43F545E1" w14:textId="77777777" w:rsidR="000A395C" w:rsidRDefault="000A395C" w:rsidP="00BE63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F92"/>
    <w:rsid w:val="0002071A"/>
    <w:rsid w:val="000A395C"/>
    <w:rsid w:val="000B30FF"/>
    <w:rsid w:val="002A17DF"/>
    <w:rsid w:val="00360508"/>
    <w:rsid w:val="00462AB3"/>
    <w:rsid w:val="004C228E"/>
    <w:rsid w:val="004D3792"/>
    <w:rsid w:val="006D4043"/>
    <w:rsid w:val="00731FF9"/>
    <w:rsid w:val="00776D9F"/>
    <w:rsid w:val="007A435A"/>
    <w:rsid w:val="007B2F92"/>
    <w:rsid w:val="00854AE5"/>
    <w:rsid w:val="00880198"/>
    <w:rsid w:val="008E28FA"/>
    <w:rsid w:val="00AF701F"/>
    <w:rsid w:val="00BE6383"/>
    <w:rsid w:val="00C54089"/>
    <w:rsid w:val="00C54F9A"/>
    <w:rsid w:val="00CF441F"/>
    <w:rsid w:val="00D0083C"/>
    <w:rsid w:val="00D50F3A"/>
    <w:rsid w:val="00D815CF"/>
    <w:rsid w:val="00DA32C9"/>
    <w:rsid w:val="00E81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2ED46"/>
  <w15:chartTrackingRefBased/>
  <w15:docId w15:val="{3749C601-818F-49EB-A99C-552CBA66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rFonts w:eastAsia="宋体"/>
      <w:sz w:val="21"/>
      <w:szCs w:val="21"/>
    </w:rPr>
  </w:style>
  <w:style w:type="paragraph" w:styleId="1">
    <w:name w:val="heading 1"/>
    <w:basedOn w:val="a"/>
    <w:link w:val="10"/>
    <w:uiPriority w:val="9"/>
    <w:qFormat/>
    <w:pPr>
      <w:keepNext/>
      <w:spacing w:before="340" w:after="330" w:line="576" w:lineRule="auto"/>
      <w:jc w:val="left"/>
      <w:outlineLvl w:val="0"/>
    </w:pPr>
    <w:rPr>
      <w:b/>
      <w:bCs/>
      <w:kern w:val="36"/>
      <w:sz w:val="48"/>
      <w:szCs w:val="48"/>
    </w:rPr>
  </w:style>
  <w:style w:type="paragraph" w:styleId="2">
    <w:name w:val="heading 2"/>
    <w:basedOn w:val="a"/>
    <w:link w:val="20"/>
    <w:uiPriority w:val="9"/>
    <w:semiHidden/>
    <w:unhideWhenUsed/>
    <w:qFormat/>
    <w:pPr>
      <w:keepNext/>
      <w:spacing w:before="260" w:after="260" w:line="415" w:lineRule="auto"/>
      <w:outlineLvl w:val="1"/>
    </w:pPr>
    <w:rPr>
      <w:rFonts w:ascii="Calibri Light" w:hAnsi="Calibri Light" w:cs="宋体"/>
      <w:b/>
      <w:bCs/>
      <w:sz w:val="32"/>
      <w:szCs w:val="32"/>
    </w:rPr>
  </w:style>
  <w:style w:type="paragraph" w:styleId="3">
    <w:name w:val="heading 3"/>
    <w:basedOn w:val="a"/>
    <w:link w:val="30"/>
    <w:uiPriority w:val="9"/>
    <w:semiHidden/>
    <w:unhideWhenUsed/>
    <w:qFormat/>
    <w:pPr>
      <w:keepNext/>
      <w:autoSpaceDE w:val="0"/>
      <w:autoSpaceDN w:val="0"/>
      <w:spacing w:before="260" w:after="260" w:line="415" w:lineRule="auto"/>
      <w:ind w:left="850" w:hanging="425"/>
      <w:outlineLvl w:val="2"/>
    </w:pPr>
    <w:rPr>
      <w:rFonts w:ascii="宋体" w:hAnsi="宋体" w:cs="宋体"/>
      <w:b/>
      <w:bCs/>
      <w:sz w:val="32"/>
      <w:szCs w:val="32"/>
    </w:rPr>
  </w:style>
  <w:style w:type="paragraph" w:styleId="4">
    <w:name w:val="heading 4"/>
    <w:basedOn w:val="a"/>
    <w:link w:val="40"/>
    <w:uiPriority w:val="9"/>
    <w:semiHidden/>
    <w:unhideWhenUsed/>
    <w:qFormat/>
    <w:pPr>
      <w:keepNext/>
      <w:spacing w:before="280" w:after="290" w:line="374" w:lineRule="auto"/>
      <w:outlineLvl w:val="3"/>
    </w:pPr>
    <w:rPr>
      <w:rFonts w:ascii="Calibri Light" w:hAnsi="Calibri Light" w:cs="宋体"/>
      <w:b/>
      <w:bCs/>
      <w:sz w:val="28"/>
      <w:szCs w:val="28"/>
    </w:rPr>
  </w:style>
  <w:style w:type="paragraph" w:styleId="5">
    <w:name w:val="heading 5"/>
    <w:basedOn w:val="a"/>
    <w:link w:val="50"/>
    <w:uiPriority w:val="9"/>
    <w:semiHidden/>
    <w:unhideWhenUsed/>
    <w:qFormat/>
    <w:pPr>
      <w:keepNext/>
      <w:autoSpaceDE w:val="0"/>
      <w:autoSpaceDN w:val="0"/>
      <w:spacing w:before="280" w:after="290" w:line="374" w:lineRule="auto"/>
      <w:ind w:left="1700" w:hanging="425"/>
      <w:outlineLvl w:val="4"/>
    </w:pPr>
    <w:rPr>
      <w:rFonts w:ascii="宋体" w:hAnsi="宋体" w:cs="宋体"/>
      <w:b/>
      <w:bCs/>
      <w:sz w:val="28"/>
      <w:szCs w:val="28"/>
    </w:rPr>
  </w:style>
  <w:style w:type="paragraph" w:styleId="6">
    <w:name w:val="heading 6"/>
    <w:basedOn w:val="a"/>
    <w:link w:val="60"/>
    <w:uiPriority w:val="9"/>
    <w:semiHidden/>
    <w:unhideWhenUsed/>
    <w:qFormat/>
    <w:pPr>
      <w:keepNext/>
      <w:autoSpaceDE w:val="0"/>
      <w:autoSpaceDN w:val="0"/>
      <w:spacing w:before="240" w:after="64" w:line="319" w:lineRule="auto"/>
      <w:ind w:left="2125" w:hanging="425"/>
      <w:outlineLvl w:val="5"/>
    </w:pPr>
    <w:rPr>
      <w:rFonts w:ascii="Arial" w:hAnsi="Arial" w:cs="Arial"/>
      <w:b/>
      <w:bCs/>
      <w:sz w:val="24"/>
      <w:szCs w:val="24"/>
    </w:rPr>
  </w:style>
  <w:style w:type="paragraph" w:styleId="7">
    <w:name w:val="heading 7"/>
    <w:basedOn w:val="a"/>
    <w:link w:val="70"/>
    <w:uiPriority w:val="9"/>
    <w:semiHidden/>
    <w:unhideWhenUsed/>
    <w:qFormat/>
    <w:pPr>
      <w:keepNext/>
      <w:autoSpaceDE w:val="0"/>
      <w:autoSpaceDN w:val="0"/>
      <w:spacing w:before="240" w:after="64" w:line="319" w:lineRule="auto"/>
      <w:ind w:left="2550" w:hanging="425"/>
      <w:outlineLvl w:val="6"/>
    </w:pPr>
    <w:rPr>
      <w:rFonts w:ascii="宋体" w:hAnsi="宋体" w:cs="宋体"/>
      <w:b/>
      <w:bCs/>
      <w:sz w:val="24"/>
      <w:szCs w:val="24"/>
    </w:rPr>
  </w:style>
  <w:style w:type="paragraph" w:styleId="8">
    <w:name w:val="heading 8"/>
    <w:basedOn w:val="a"/>
    <w:link w:val="80"/>
    <w:uiPriority w:val="9"/>
    <w:semiHidden/>
    <w:unhideWhenUsed/>
    <w:qFormat/>
    <w:pPr>
      <w:keepNext/>
      <w:autoSpaceDE w:val="0"/>
      <w:autoSpaceDN w:val="0"/>
      <w:spacing w:before="240" w:after="64" w:line="319" w:lineRule="auto"/>
      <w:ind w:left="2975" w:hanging="425"/>
      <w:outlineLvl w:val="7"/>
    </w:pPr>
    <w:rPr>
      <w:rFonts w:ascii="Arial" w:hAnsi="Arial" w:cs="Arial"/>
      <w:sz w:val="24"/>
      <w:szCs w:val="24"/>
    </w:rPr>
  </w:style>
  <w:style w:type="paragraph" w:styleId="9">
    <w:name w:val="heading 9"/>
    <w:basedOn w:val="a"/>
    <w:link w:val="90"/>
    <w:uiPriority w:val="9"/>
    <w:semiHidden/>
    <w:unhideWhenUsed/>
    <w:qFormat/>
    <w:pPr>
      <w:keepNext/>
      <w:autoSpaceDE w:val="0"/>
      <w:autoSpaceDN w:val="0"/>
      <w:spacing w:before="240" w:after="64" w:line="319" w:lineRule="auto"/>
      <w:ind w:left="2975"/>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spacing w:before="100" w:beforeAutospacing="1" w:after="100" w:afterAutospacing="1"/>
      <w:jc w:val="left"/>
    </w:pPr>
    <w:rPr>
      <w:rFonts w:ascii="宋体" w:hAnsi="宋体" w:cs="宋体"/>
      <w:color w:val="000000"/>
      <w:sz w:val="24"/>
      <w:szCs w:val="24"/>
    </w:rPr>
  </w:style>
  <w:style w:type="character" w:customStyle="1" w:styleId="10">
    <w:name w:val="标题 1 字符"/>
    <w:basedOn w:val="a0"/>
    <w:link w:val="1"/>
    <w:uiPriority w:val="9"/>
    <w:rPr>
      <w:rFonts w:ascii="Times New Roman" w:hAnsi="Times New Roman" w:cs="Times New Roman" w:hint="default"/>
      <w:b/>
      <w:bCs/>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954F72"/>
      <w:u w:val="single"/>
    </w:rPr>
  </w:style>
  <w:style w:type="character" w:customStyle="1" w:styleId="20">
    <w:name w:val="标题 2 字符"/>
    <w:basedOn w:val="a0"/>
    <w:link w:val="2"/>
    <w:uiPriority w:val="9"/>
    <w:semiHidden/>
    <w:rPr>
      <w:rFonts w:ascii="Calibri Light" w:hAnsi="Calibri Light" w:hint="default"/>
      <w:b/>
      <w:bCs/>
    </w:rPr>
  </w:style>
  <w:style w:type="character" w:customStyle="1" w:styleId="30">
    <w:name w:val="标题 3 字符"/>
    <w:basedOn w:val="a0"/>
    <w:link w:val="3"/>
    <w:uiPriority w:val="9"/>
    <w:semiHidden/>
    <w:rPr>
      <w:rFonts w:ascii="宋体" w:eastAsia="宋体" w:hAnsi="宋体" w:hint="eastAsia"/>
      <w:b/>
      <w:bCs/>
    </w:rPr>
  </w:style>
  <w:style w:type="character" w:customStyle="1" w:styleId="40">
    <w:name w:val="标题 4 字符"/>
    <w:basedOn w:val="a0"/>
    <w:link w:val="4"/>
    <w:uiPriority w:val="9"/>
    <w:semiHidden/>
    <w:rPr>
      <w:rFonts w:ascii="Calibri Light" w:hAnsi="Calibri Light" w:hint="default"/>
      <w:b/>
      <w:bCs/>
    </w:rPr>
  </w:style>
  <w:style w:type="character" w:customStyle="1" w:styleId="50">
    <w:name w:val="标题 5 字符"/>
    <w:basedOn w:val="a0"/>
    <w:link w:val="5"/>
    <w:uiPriority w:val="9"/>
    <w:semiHidden/>
    <w:rPr>
      <w:rFonts w:ascii="宋体" w:eastAsia="宋体" w:hAnsi="宋体" w:hint="eastAsia"/>
      <w:b/>
      <w:bCs/>
    </w:rPr>
  </w:style>
  <w:style w:type="character" w:customStyle="1" w:styleId="60">
    <w:name w:val="标题 6 字符"/>
    <w:basedOn w:val="a0"/>
    <w:link w:val="6"/>
    <w:uiPriority w:val="9"/>
    <w:semiHidden/>
    <w:rPr>
      <w:rFonts w:ascii="Arial" w:hAnsi="Arial" w:cs="Arial" w:hint="default"/>
      <w:b/>
      <w:bCs/>
    </w:rPr>
  </w:style>
  <w:style w:type="character" w:customStyle="1" w:styleId="70">
    <w:name w:val="标题 7 字符"/>
    <w:basedOn w:val="a0"/>
    <w:link w:val="7"/>
    <w:uiPriority w:val="9"/>
    <w:semiHidden/>
    <w:rPr>
      <w:rFonts w:ascii="宋体" w:eastAsia="宋体" w:hAnsi="宋体" w:hint="eastAsia"/>
      <w:b/>
      <w:bCs/>
    </w:rPr>
  </w:style>
  <w:style w:type="character" w:customStyle="1" w:styleId="80">
    <w:name w:val="标题 8 字符"/>
    <w:basedOn w:val="a0"/>
    <w:link w:val="8"/>
    <w:uiPriority w:val="9"/>
    <w:semiHidden/>
    <w:rPr>
      <w:rFonts w:ascii="Arial" w:hAnsi="Arial" w:cs="Arial" w:hint="default"/>
    </w:rPr>
  </w:style>
  <w:style w:type="character" w:customStyle="1" w:styleId="90">
    <w:name w:val="标题 9 字符"/>
    <w:basedOn w:val="a0"/>
    <w:link w:val="9"/>
    <w:uiPriority w:val="9"/>
    <w:semiHidden/>
    <w:rPr>
      <w:rFonts w:ascii="Arial" w:hAnsi="Arial" w:cs="Arial" w:hint="default"/>
    </w:rPr>
  </w:style>
  <w:style w:type="paragraph" w:styleId="11">
    <w:name w:val="toc 1"/>
    <w:basedOn w:val="a"/>
    <w:autoRedefine/>
    <w:uiPriority w:val="39"/>
    <w:semiHidden/>
    <w:unhideWhenUsed/>
    <w:pPr>
      <w:spacing w:before="120" w:after="120"/>
      <w:ind w:right="6"/>
      <w:jc w:val="left"/>
    </w:pPr>
    <w:rPr>
      <w:rFonts w:ascii="宋体" w:hAnsi="宋体" w:cs="宋体"/>
      <w:b/>
      <w:bCs/>
    </w:rPr>
  </w:style>
  <w:style w:type="paragraph" w:styleId="a6">
    <w:name w:val="Normal Indent"/>
    <w:aliases w:val="特点,表正文,正文非缩进,段1,Char,Char Char Char Char,Char Char Char Char Char,正文缩进1,ALT+Z"/>
    <w:basedOn w:val="a"/>
    <w:uiPriority w:val="99"/>
    <w:semiHidden/>
    <w:unhideWhenUsed/>
    <w:pPr>
      <w:snapToGrid w:val="0"/>
      <w:spacing w:before="20" w:after="20" w:line="420" w:lineRule="atLeast"/>
      <w:ind w:firstLine="482"/>
    </w:pPr>
    <w:rPr>
      <w:sz w:val="24"/>
      <w:szCs w:val="24"/>
    </w:rPr>
  </w:style>
  <w:style w:type="paragraph" w:styleId="a7">
    <w:name w:val="annotation text"/>
    <w:basedOn w:val="a"/>
    <w:link w:val="a8"/>
    <w:unhideWhenUsed/>
    <w:pPr>
      <w:spacing w:line="360" w:lineRule="atLeast"/>
      <w:jc w:val="left"/>
    </w:pPr>
  </w:style>
  <w:style w:type="character" w:customStyle="1" w:styleId="a8">
    <w:name w:val="批注文字 字符"/>
    <w:basedOn w:val="a0"/>
    <w:link w:val="a7"/>
    <w:rPr>
      <w:rFonts w:ascii="Times New Roman" w:hAnsi="Times New Roman" w:cs="Times New Roman" w:hint="default"/>
    </w:rPr>
  </w:style>
  <w:style w:type="paragraph" w:styleId="a9">
    <w:name w:val="header"/>
    <w:basedOn w:val="a"/>
    <w:link w:val="aa"/>
    <w:uiPriority w:val="99"/>
    <w:unhideWhenUsed/>
    <w:pPr>
      <w:snapToGrid w:val="0"/>
      <w:jc w:val="center"/>
    </w:pPr>
    <w:rPr>
      <w:sz w:val="18"/>
      <w:szCs w:val="18"/>
    </w:rPr>
  </w:style>
  <w:style w:type="character" w:customStyle="1" w:styleId="aa">
    <w:name w:val="页眉 字符"/>
    <w:basedOn w:val="a0"/>
    <w:link w:val="a9"/>
    <w:uiPriority w:val="99"/>
    <w:rPr>
      <w:rFonts w:ascii="Times New Roman" w:hAnsi="Times New Roman" w:cs="Times New Roman" w:hint="default"/>
    </w:rPr>
  </w:style>
  <w:style w:type="paragraph" w:styleId="ab">
    <w:name w:val="footer"/>
    <w:basedOn w:val="a"/>
    <w:link w:val="ac"/>
    <w:uiPriority w:val="99"/>
    <w:unhideWhenUsed/>
    <w:pPr>
      <w:snapToGrid w:val="0"/>
      <w:jc w:val="left"/>
    </w:pPr>
    <w:rPr>
      <w:sz w:val="18"/>
      <w:szCs w:val="18"/>
    </w:rPr>
  </w:style>
  <w:style w:type="character" w:customStyle="1" w:styleId="ac">
    <w:name w:val="页脚 字符"/>
    <w:basedOn w:val="a0"/>
    <w:link w:val="ab"/>
    <w:uiPriority w:val="99"/>
    <w:rPr>
      <w:rFonts w:ascii="Times New Roman" w:hAnsi="Times New Roman" w:cs="Times New Roman" w:hint="default"/>
    </w:rPr>
  </w:style>
  <w:style w:type="paragraph" w:styleId="ad">
    <w:name w:val="Body Text"/>
    <w:basedOn w:val="a"/>
    <w:link w:val="ae"/>
    <w:uiPriority w:val="99"/>
    <w:semiHidden/>
    <w:unhideWhenUsed/>
    <w:pPr>
      <w:spacing w:after="120" w:line="360" w:lineRule="atLeast"/>
    </w:pPr>
  </w:style>
  <w:style w:type="character" w:customStyle="1" w:styleId="ae">
    <w:name w:val="正文文本 字符"/>
    <w:basedOn w:val="a0"/>
    <w:link w:val="ad"/>
    <w:uiPriority w:val="99"/>
    <w:semiHidden/>
    <w:rPr>
      <w:rFonts w:ascii="Times New Roman" w:hAnsi="Times New Roman" w:cs="Times New Roman" w:hint="default"/>
    </w:rPr>
  </w:style>
  <w:style w:type="paragraph" w:styleId="af">
    <w:name w:val="Body Text Indent"/>
    <w:basedOn w:val="a"/>
    <w:link w:val="af0"/>
    <w:uiPriority w:val="99"/>
    <w:semiHidden/>
    <w:unhideWhenUsed/>
    <w:pPr>
      <w:spacing w:line="360" w:lineRule="atLeast"/>
      <w:ind w:left="1200"/>
    </w:pPr>
    <w:rPr>
      <w:sz w:val="24"/>
      <w:szCs w:val="24"/>
    </w:rPr>
  </w:style>
  <w:style w:type="character" w:customStyle="1" w:styleId="af0">
    <w:name w:val="正文文本缩进 字符"/>
    <w:basedOn w:val="a0"/>
    <w:link w:val="af"/>
    <w:uiPriority w:val="99"/>
    <w:semiHidden/>
    <w:rPr>
      <w:rFonts w:ascii="Times New Roman" w:hAnsi="Times New Roman" w:cs="Times New Roman" w:hint="default"/>
    </w:rPr>
  </w:style>
  <w:style w:type="paragraph" w:styleId="af1">
    <w:name w:val="Subtitle"/>
    <w:basedOn w:val="a"/>
    <w:link w:val="af2"/>
    <w:uiPriority w:val="11"/>
    <w:qFormat/>
    <w:pPr>
      <w:spacing w:before="240" w:after="60" w:line="312" w:lineRule="auto"/>
      <w:jc w:val="center"/>
    </w:pPr>
    <w:rPr>
      <w:rFonts w:ascii="Calibri Light" w:hAnsi="Calibri Light" w:cs="宋体"/>
      <w:b/>
      <w:bCs/>
      <w:sz w:val="32"/>
      <w:szCs w:val="32"/>
    </w:rPr>
  </w:style>
  <w:style w:type="character" w:customStyle="1" w:styleId="af2">
    <w:name w:val="副标题 字符"/>
    <w:basedOn w:val="a0"/>
    <w:link w:val="af1"/>
    <w:uiPriority w:val="11"/>
    <w:rPr>
      <w:rFonts w:ascii="Calibri Light" w:hAnsi="Calibri Light" w:hint="default"/>
      <w:b/>
      <w:bCs/>
    </w:rPr>
  </w:style>
  <w:style w:type="paragraph" w:styleId="21">
    <w:name w:val="Body Text First Indent 2"/>
    <w:basedOn w:val="a"/>
    <w:link w:val="22"/>
    <w:uiPriority w:val="99"/>
    <w:semiHidden/>
    <w:unhideWhenUsed/>
    <w:pPr>
      <w:spacing w:after="120" w:line="360" w:lineRule="atLeast"/>
      <w:ind w:left="420" w:firstLine="420"/>
    </w:pPr>
  </w:style>
  <w:style w:type="character" w:customStyle="1" w:styleId="22">
    <w:name w:val="正文首行缩进 2 字符"/>
    <w:basedOn w:val="a0"/>
    <w:link w:val="21"/>
    <w:uiPriority w:val="99"/>
    <w:semiHidden/>
    <w:rPr>
      <w:rFonts w:ascii="Times New Roman" w:hAnsi="Times New Roman" w:cs="Times New Roman" w:hint="default"/>
    </w:rPr>
  </w:style>
  <w:style w:type="paragraph" w:styleId="23">
    <w:name w:val="Body Text 2"/>
    <w:basedOn w:val="a"/>
    <w:link w:val="24"/>
    <w:uiPriority w:val="99"/>
    <w:semiHidden/>
    <w:unhideWhenUsed/>
    <w:pPr>
      <w:spacing w:after="120" w:line="480" w:lineRule="auto"/>
    </w:pPr>
  </w:style>
  <w:style w:type="character" w:customStyle="1" w:styleId="24">
    <w:name w:val="正文文本 2 字符"/>
    <w:basedOn w:val="a0"/>
    <w:link w:val="23"/>
    <w:uiPriority w:val="99"/>
    <w:semiHidden/>
    <w:rPr>
      <w:rFonts w:ascii="Times New Roman" w:hAnsi="Times New Roman" w:cs="Times New Roman" w:hint="default"/>
    </w:rPr>
  </w:style>
  <w:style w:type="paragraph" w:styleId="31">
    <w:name w:val="Body Text 3"/>
    <w:basedOn w:val="a"/>
    <w:link w:val="32"/>
    <w:uiPriority w:val="99"/>
    <w:semiHidden/>
    <w:unhideWhenUsed/>
    <w:pPr>
      <w:autoSpaceDE w:val="0"/>
      <w:autoSpaceDN w:val="0"/>
      <w:spacing w:after="120" w:line="360" w:lineRule="auto"/>
    </w:pPr>
    <w:rPr>
      <w:sz w:val="24"/>
      <w:szCs w:val="24"/>
      <w:u w:val="single"/>
    </w:rPr>
  </w:style>
  <w:style w:type="character" w:customStyle="1" w:styleId="32">
    <w:name w:val="正文文本 3 字符"/>
    <w:basedOn w:val="a0"/>
    <w:link w:val="31"/>
    <w:uiPriority w:val="99"/>
    <w:semiHidden/>
    <w:rPr>
      <w:rFonts w:ascii="Times New Roman" w:hAnsi="Times New Roman" w:cs="Times New Roman" w:hint="default"/>
      <w:u w:val="single"/>
    </w:rPr>
  </w:style>
  <w:style w:type="paragraph" w:styleId="25">
    <w:name w:val="Body Text Indent 2"/>
    <w:basedOn w:val="a"/>
    <w:link w:val="26"/>
    <w:uiPriority w:val="99"/>
    <w:semiHidden/>
    <w:unhideWhenUsed/>
    <w:pPr>
      <w:spacing w:after="120" w:line="480" w:lineRule="auto"/>
      <w:ind w:left="420"/>
    </w:pPr>
  </w:style>
  <w:style w:type="character" w:customStyle="1" w:styleId="26">
    <w:name w:val="正文文本缩进 2 字符"/>
    <w:basedOn w:val="a0"/>
    <w:link w:val="25"/>
    <w:uiPriority w:val="99"/>
    <w:semiHidden/>
    <w:rPr>
      <w:rFonts w:ascii="Times New Roman" w:hAnsi="Times New Roman" w:cs="Times New Roman" w:hint="default"/>
    </w:rPr>
  </w:style>
  <w:style w:type="paragraph" w:styleId="33">
    <w:name w:val="Body Text Indent 3"/>
    <w:basedOn w:val="a"/>
    <w:link w:val="34"/>
    <w:uiPriority w:val="99"/>
    <w:semiHidden/>
    <w:unhideWhenUsed/>
    <w:pPr>
      <w:spacing w:after="120" w:line="360" w:lineRule="atLeast"/>
      <w:ind w:left="420"/>
    </w:pPr>
    <w:rPr>
      <w:sz w:val="16"/>
      <w:szCs w:val="16"/>
    </w:rPr>
  </w:style>
  <w:style w:type="character" w:customStyle="1" w:styleId="34">
    <w:name w:val="正文文本缩进 3 字符"/>
    <w:basedOn w:val="a0"/>
    <w:link w:val="33"/>
    <w:uiPriority w:val="99"/>
    <w:semiHidden/>
    <w:rPr>
      <w:rFonts w:ascii="Times New Roman" w:hAnsi="Times New Roman" w:cs="Times New Roman" w:hint="default"/>
    </w:rPr>
  </w:style>
  <w:style w:type="paragraph" w:styleId="af3">
    <w:name w:val="Document Map"/>
    <w:basedOn w:val="a"/>
    <w:link w:val="af4"/>
    <w:uiPriority w:val="99"/>
    <w:semiHidden/>
    <w:unhideWhenUsed/>
    <w:pPr>
      <w:spacing w:line="360" w:lineRule="atLeast"/>
    </w:pPr>
    <w:rPr>
      <w:rFonts w:ascii="宋体" w:hAnsi="宋体" w:cs="宋体"/>
      <w:sz w:val="18"/>
      <w:szCs w:val="18"/>
    </w:rPr>
  </w:style>
  <w:style w:type="character" w:customStyle="1" w:styleId="af4">
    <w:name w:val="文档结构图 字符"/>
    <w:basedOn w:val="a0"/>
    <w:link w:val="af3"/>
    <w:uiPriority w:val="99"/>
    <w:semiHidden/>
    <w:rPr>
      <w:rFonts w:ascii="宋体" w:eastAsia="宋体" w:hAnsi="宋体" w:hint="eastAsia"/>
    </w:rPr>
  </w:style>
  <w:style w:type="character" w:customStyle="1" w:styleId="af5">
    <w:name w:val="纯文本 字符"/>
    <w:aliases w:val="普通文字 字符"/>
    <w:basedOn w:val="a0"/>
    <w:link w:val="af6"/>
    <w:rPr>
      <w:rFonts w:ascii="宋体" w:eastAsia="宋体" w:hAnsi="宋体" w:hint="eastAsia"/>
    </w:rPr>
  </w:style>
  <w:style w:type="paragraph" w:styleId="af6">
    <w:name w:val="Plain Text"/>
    <w:aliases w:val="普通文字"/>
    <w:basedOn w:val="a"/>
    <w:link w:val="af5"/>
    <w:uiPriority w:val="99"/>
    <w:semiHidden/>
    <w:unhideWhenUsed/>
    <w:pPr>
      <w:spacing w:line="360" w:lineRule="atLeast"/>
    </w:pPr>
    <w:rPr>
      <w:rFonts w:ascii="宋体" w:hAnsi="宋体" w:cs="宋体"/>
    </w:rPr>
  </w:style>
  <w:style w:type="character" w:customStyle="1" w:styleId="Char1">
    <w:name w:val="纯文本 Char1"/>
    <w:aliases w:val="普通文字 Char1"/>
    <w:basedOn w:val="a0"/>
    <w:uiPriority w:val="99"/>
    <w:semiHidden/>
    <w:rPr>
      <w:rFonts w:ascii="宋体" w:eastAsia="宋体" w:hAnsi="Courier New" w:cs="Courier New"/>
      <w:sz w:val="21"/>
      <w:szCs w:val="21"/>
    </w:rPr>
  </w:style>
  <w:style w:type="paragraph" w:styleId="af7">
    <w:name w:val="annotation subject"/>
    <w:basedOn w:val="a"/>
    <w:link w:val="af8"/>
    <w:uiPriority w:val="99"/>
    <w:semiHidden/>
    <w:unhideWhenUsed/>
    <w:pPr>
      <w:spacing w:line="360" w:lineRule="atLeast"/>
      <w:jc w:val="left"/>
    </w:pPr>
    <w:rPr>
      <w:b/>
      <w:bCs/>
    </w:rPr>
  </w:style>
  <w:style w:type="character" w:customStyle="1" w:styleId="af8">
    <w:name w:val="批注主题 字符"/>
    <w:basedOn w:val="a0"/>
    <w:link w:val="af7"/>
    <w:uiPriority w:val="99"/>
    <w:semiHidden/>
    <w:rPr>
      <w:rFonts w:ascii="Times New Roman" w:hAnsi="Times New Roman" w:cs="Times New Roman" w:hint="default"/>
      <w:b/>
      <w:bCs/>
    </w:rPr>
  </w:style>
  <w:style w:type="paragraph" w:styleId="af9">
    <w:name w:val="Balloon Text"/>
    <w:basedOn w:val="a"/>
    <w:link w:val="afa"/>
    <w:uiPriority w:val="99"/>
    <w:semiHidden/>
    <w:unhideWhenUsed/>
    <w:pPr>
      <w:spacing w:line="360" w:lineRule="atLeast"/>
    </w:pPr>
    <w:rPr>
      <w:sz w:val="18"/>
      <w:szCs w:val="18"/>
    </w:rPr>
  </w:style>
  <w:style w:type="character" w:customStyle="1" w:styleId="afa">
    <w:name w:val="批注框文本 字符"/>
    <w:basedOn w:val="a0"/>
    <w:link w:val="af9"/>
    <w:uiPriority w:val="99"/>
    <w:semiHidden/>
    <w:rPr>
      <w:rFonts w:ascii="Times New Roman" w:hAnsi="Times New Roman" w:cs="Times New Roman" w:hint="default"/>
    </w:rPr>
  </w:style>
  <w:style w:type="paragraph" w:styleId="afb">
    <w:name w:val="Revision"/>
    <w:basedOn w:val="a"/>
    <w:uiPriority w:val="99"/>
    <w:semiHidden/>
    <w:pPr>
      <w:jc w:val="left"/>
    </w:pPr>
  </w:style>
  <w:style w:type="paragraph" w:customStyle="1" w:styleId="XBRLTitle6">
    <w:name w:val="XBRLTitle6"/>
    <w:basedOn w:val="a"/>
    <w:pPr>
      <w:keepNext/>
      <w:jc w:val="left"/>
    </w:pPr>
    <w:rPr>
      <w:rFonts w:ascii="Cambria" w:hAnsi="Cambria" w:cs="宋体"/>
      <w:b/>
      <w:bCs/>
      <w:sz w:val="24"/>
      <w:szCs w:val="24"/>
    </w:rPr>
  </w:style>
  <w:style w:type="paragraph" w:customStyle="1" w:styleId="XBRLTitle1">
    <w:name w:val="XBRLTitle1"/>
    <w:basedOn w:val="a"/>
    <w:pPr>
      <w:jc w:val="center"/>
    </w:pPr>
    <w:rPr>
      <w:rFonts w:ascii="Cambria" w:hAnsi="Cambria" w:cs="宋体"/>
      <w:b/>
      <w:bCs/>
      <w:sz w:val="28"/>
      <w:szCs w:val="28"/>
    </w:rPr>
  </w:style>
  <w:style w:type="paragraph" w:customStyle="1" w:styleId="XBRLTitle2">
    <w:name w:val="XBRLTitle2"/>
    <w:basedOn w:val="a"/>
    <w:pPr>
      <w:jc w:val="left"/>
    </w:pPr>
    <w:rPr>
      <w:rFonts w:ascii="Cambria" w:hAnsi="Cambria" w:cs="宋体"/>
      <w:b/>
      <w:bCs/>
      <w:sz w:val="24"/>
      <w:szCs w:val="24"/>
    </w:rPr>
  </w:style>
  <w:style w:type="paragraph" w:customStyle="1" w:styleId="XBRLTitle5">
    <w:name w:val="XBRLTitle5"/>
    <w:basedOn w:val="a"/>
    <w:pPr>
      <w:keepNext/>
      <w:jc w:val="left"/>
    </w:pPr>
    <w:rPr>
      <w:rFonts w:ascii="Cambria" w:hAnsi="Cambria" w:cs="宋体"/>
      <w:b/>
      <w:bCs/>
      <w:sz w:val="24"/>
      <w:szCs w:val="24"/>
    </w:rPr>
  </w:style>
  <w:style w:type="paragraph" w:customStyle="1" w:styleId="XBRLTitle4">
    <w:name w:val="XBRLTitle4"/>
    <w:basedOn w:val="a"/>
    <w:pPr>
      <w:keepNext/>
      <w:jc w:val="left"/>
    </w:pPr>
    <w:rPr>
      <w:rFonts w:ascii="Cambria" w:hAnsi="Cambria" w:cs="宋体"/>
      <w:b/>
      <w:bCs/>
      <w:sz w:val="24"/>
      <w:szCs w:val="24"/>
    </w:rPr>
  </w:style>
  <w:style w:type="paragraph" w:customStyle="1" w:styleId="XBRLTitle3">
    <w:name w:val="XBRLTitle3"/>
    <w:basedOn w:val="a"/>
    <w:pPr>
      <w:jc w:val="left"/>
    </w:pPr>
    <w:rPr>
      <w:rFonts w:ascii="Cambria" w:hAnsi="Cambria" w:cs="宋体"/>
      <w:b/>
      <w:bCs/>
      <w:sz w:val="24"/>
      <w:szCs w:val="24"/>
    </w:rPr>
  </w:style>
  <w:style w:type="paragraph" w:customStyle="1" w:styleId="CharChar1">
    <w:name w:val="正文样式 Char Char1"/>
    <w:basedOn w:val="a"/>
    <w:pPr>
      <w:spacing w:line="360" w:lineRule="auto"/>
      <w:ind w:firstLine="420"/>
    </w:pPr>
    <w:rPr>
      <w:rFonts w:ascii="宋体" w:hAnsi="宋体" w:cs="宋体"/>
    </w:rPr>
  </w:style>
  <w:style w:type="paragraph" w:customStyle="1" w:styleId="logo">
    <w:name w:val="封面logo"/>
    <w:basedOn w:val="a"/>
    <w:pPr>
      <w:spacing w:line="360" w:lineRule="auto"/>
      <w:ind w:left="8880" w:hanging="8880"/>
    </w:pPr>
    <w:rPr>
      <w:rFonts w:ascii="宋体" w:hAnsi="宋体" w:cs="宋体"/>
      <w:sz w:val="24"/>
      <w:szCs w:val="24"/>
    </w:rPr>
  </w:style>
  <w:style w:type="paragraph" w:customStyle="1" w:styleId="afc">
    <w:name w:val="样式正文"/>
    <w:basedOn w:val="a"/>
    <w:pPr>
      <w:spacing w:line="360" w:lineRule="auto"/>
      <w:ind w:firstLine="420"/>
      <w:jc w:val="left"/>
    </w:pPr>
  </w:style>
  <w:style w:type="paragraph" w:customStyle="1" w:styleId="afd">
    <w:name w:val="正文样式"/>
    <w:basedOn w:val="a"/>
    <w:pPr>
      <w:spacing w:before="120" w:line="360" w:lineRule="auto"/>
      <w:ind w:firstLine="420"/>
      <w:jc w:val="left"/>
    </w:pPr>
    <w:rPr>
      <w:rFonts w:ascii="宋体" w:hAnsi="宋体" w:cs="宋体"/>
      <w:color w:val="000000"/>
    </w:rPr>
  </w:style>
  <w:style w:type="paragraph" w:customStyle="1" w:styleId="41">
    <w:name w:val="4"/>
    <w:basedOn w:val="a"/>
    <w:pPr>
      <w:spacing w:line="360" w:lineRule="atLeast"/>
    </w:pPr>
    <w:rPr>
      <w:rFonts w:ascii="宋体" w:hAnsi="宋体" w:cs="宋体"/>
    </w:rPr>
  </w:style>
  <w:style w:type="paragraph" w:customStyle="1" w:styleId="Char">
    <w:name w:val="正文样式 Char"/>
    <w:basedOn w:val="a"/>
    <w:pPr>
      <w:spacing w:line="360" w:lineRule="auto"/>
      <w:ind w:firstLine="420"/>
      <w:jc w:val="left"/>
    </w:pPr>
    <w:rPr>
      <w:rFonts w:ascii="宋体" w:hAnsi="宋体" w:cs="宋体"/>
      <w:b/>
      <w:bCs/>
    </w:rPr>
  </w:style>
  <w:style w:type="paragraph" w:customStyle="1" w:styleId="afe">
    <w:name w:val="正文加粗"/>
    <w:basedOn w:val="a"/>
    <w:pPr>
      <w:spacing w:line="360" w:lineRule="auto"/>
      <w:ind w:firstLine="422"/>
      <w:jc w:val="left"/>
    </w:pPr>
    <w:rPr>
      <w:b/>
      <w:bCs/>
    </w:rPr>
  </w:style>
  <w:style w:type="paragraph" w:customStyle="1" w:styleId="aff">
    <w:name w:val="样式 正文样式"/>
    <w:basedOn w:val="a"/>
    <w:pPr>
      <w:spacing w:line="360" w:lineRule="auto"/>
      <w:ind w:firstLine="420"/>
      <w:jc w:val="left"/>
    </w:pPr>
  </w:style>
  <w:style w:type="paragraph" w:customStyle="1" w:styleId="12">
    <w:name w:val="样式 标题 1"/>
    <w:basedOn w:val="a"/>
    <w:pPr>
      <w:keepNext/>
      <w:spacing w:before="480" w:after="480" w:line="360" w:lineRule="auto"/>
      <w:ind w:left="432" w:hanging="432"/>
      <w:jc w:val="center"/>
    </w:pPr>
    <w:rPr>
      <w:rFonts w:ascii="宋体" w:hAnsi="宋体" w:cs="宋体"/>
      <w:b/>
      <w:bCs/>
      <w:sz w:val="24"/>
      <w:szCs w:val="24"/>
    </w:rPr>
  </w:style>
  <w:style w:type="paragraph" w:customStyle="1" w:styleId="aff0">
    <w:name w:val="样式二级标题"/>
    <w:basedOn w:val="a"/>
    <w:pPr>
      <w:spacing w:line="360" w:lineRule="auto"/>
      <w:ind w:firstLine="422"/>
    </w:pPr>
    <w:rPr>
      <w:b/>
      <w:bCs/>
    </w:rPr>
  </w:style>
  <w:style w:type="paragraph" w:customStyle="1" w:styleId="unnamed1">
    <w:name w:val="unnamed1"/>
    <w:basedOn w:val="a"/>
    <w:pPr>
      <w:spacing w:before="60" w:after="60"/>
      <w:ind w:left="15" w:right="15"/>
      <w:jc w:val="left"/>
    </w:pPr>
    <w:rPr>
      <w:rFonts w:ascii="宋体" w:hAnsi="宋体" w:cs="宋体"/>
      <w:color w:val="000000"/>
      <w:sz w:val="18"/>
      <w:szCs w:val="18"/>
    </w:rPr>
  </w:style>
  <w:style w:type="paragraph" w:customStyle="1" w:styleId="aff1">
    <w:name w:val="释义"/>
    <w:basedOn w:val="a"/>
    <w:pPr>
      <w:spacing w:line="360" w:lineRule="auto"/>
      <w:ind w:left="2339" w:hanging="2339"/>
      <w:jc w:val="left"/>
    </w:pPr>
    <w:rPr>
      <w:rFonts w:ascii="宋体" w:hAnsi="宋体" w:cs="宋体"/>
    </w:rPr>
  </w:style>
  <w:style w:type="paragraph" w:customStyle="1" w:styleId="151">
    <w:name w:val="样式 正文样式 + 字距调整1.5 磅1"/>
    <w:basedOn w:val="a"/>
    <w:pPr>
      <w:spacing w:before="120" w:line="360" w:lineRule="auto"/>
      <w:ind w:firstLine="420"/>
      <w:jc w:val="left"/>
    </w:pPr>
    <w:rPr>
      <w:rFonts w:ascii="宋体" w:hAnsi="宋体" w:cs="宋体"/>
      <w:color w:val="000000"/>
    </w:rPr>
  </w:style>
  <w:style w:type="paragraph" w:customStyle="1" w:styleId="aff2">
    <w:name w:val="招募说明书正文"/>
    <w:basedOn w:val="a"/>
    <w:pPr>
      <w:spacing w:line="360" w:lineRule="auto"/>
      <w:ind w:firstLine="200"/>
    </w:pPr>
  </w:style>
  <w:style w:type="paragraph" w:customStyle="1" w:styleId="aff3">
    <w:name w:val="表格"/>
    <w:basedOn w:val="a"/>
    <w:pPr>
      <w:jc w:val="left"/>
    </w:pPr>
    <w:rPr>
      <w:caps/>
    </w:rPr>
  </w:style>
  <w:style w:type="paragraph" w:customStyle="1" w:styleId="Char0">
    <w:name w:val="样式 正文样式 Char"/>
    <w:basedOn w:val="a"/>
    <w:pPr>
      <w:spacing w:line="360" w:lineRule="auto"/>
      <w:ind w:firstLine="200"/>
      <w:jc w:val="left"/>
    </w:pPr>
    <w:rPr>
      <w:caps/>
    </w:rPr>
  </w:style>
  <w:style w:type="paragraph" w:customStyle="1" w:styleId="13">
    <w:name w:val="样式1"/>
    <w:basedOn w:val="a"/>
    <w:pPr>
      <w:spacing w:line="360" w:lineRule="auto"/>
      <w:ind w:firstLine="422"/>
    </w:pPr>
  </w:style>
  <w:style w:type="paragraph" w:customStyle="1" w:styleId="CharCharChar1CharCharCharCharCharCharChar">
    <w:name w:val="Char Char Char1 Char Char Char Char Char Char Char"/>
    <w:basedOn w:val="a"/>
    <w:rPr>
      <w:sz w:val="24"/>
      <w:szCs w:val="24"/>
    </w:rPr>
  </w:style>
  <w:style w:type="paragraph" w:customStyle="1" w:styleId="CharCharCharCharCharCharCharCharChar">
    <w:name w:val="Char Char Char Char Char Char Char Char Char"/>
    <w:basedOn w:val="a"/>
    <w:rPr>
      <w:sz w:val="24"/>
      <w:szCs w:val="24"/>
    </w:rPr>
  </w:style>
  <w:style w:type="paragraph" w:customStyle="1" w:styleId="Default">
    <w:name w:val="Default"/>
    <w:basedOn w:val="a"/>
    <w:pPr>
      <w:autoSpaceDE w:val="0"/>
      <w:autoSpaceDN w:val="0"/>
      <w:jc w:val="left"/>
    </w:pPr>
    <w:rPr>
      <w:rFonts w:ascii="宋体" w:hAnsi="宋体" w:cs="宋体"/>
      <w:color w:val="000000"/>
      <w:sz w:val="24"/>
      <w:szCs w:val="24"/>
    </w:rPr>
  </w:style>
  <w:style w:type="paragraph" w:customStyle="1" w:styleId="CharCharChar1">
    <w:name w:val="Char Char Char1"/>
    <w:basedOn w:val="a"/>
    <w:rPr>
      <w:sz w:val="24"/>
      <w:szCs w:val="24"/>
    </w:rPr>
  </w:style>
  <w:style w:type="paragraph" w:customStyle="1" w:styleId="CharCharCharCharCharChar">
    <w:name w:val="Char Char Char Char Char Char"/>
    <w:basedOn w:val="a"/>
    <w:pPr>
      <w:ind w:left="720" w:firstLine="422"/>
    </w:pPr>
    <w:rPr>
      <w:rFonts w:ascii="仿宋_GB2312" w:hAnsi="仿宋_GB2312" w:cs="宋体"/>
      <w:b/>
      <w:bCs/>
      <w:sz w:val="24"/>
      <w:szCs w:val="24"/>
    </w:rPr>
  </w:style>
  <w:style w:type="paragraph" w:customStyle="1" w:styleId="CharCharCharCharCharCharChar">
    <w:name w:val="Char Char Char Char Char Char Char"/>
    <w:basedOn w:val="a"/>
    <w:pPr>
      <w:ind w:left="720" w:firstLine="422"/>
    </w:pPr>
    <w:rPr>
      <w:rFonts w:ascii="仿宋_GB2312" w:hAnsi="仿宋_GB2312" w:cs="宋体"/>
      <w:b/>
      <w:bCs/>
      <w:sz w:val="24"/>
      <w:szCs w:val="24"/>
    </w:rPr>
  </w:style>
  <w:style w:type="paragraph" w:customStyle="1" w:styleId="CharCharCharCharCharCharCharCharCharCharCharCharCharCharChar">
    <w:name w:val="Char Char Char Char Char Char Char Char Char Char Char Char Char Char Char"/>
    <w:basedOn w:val="a"/>
    <w:pPr>
      <w:ind w:left="720" w:firstLine="422"/>
    </w:pPr>
    <w:rPr>
      <w:rFonts w:ascii="仿宋_GB2312" w:hAnsi="仿宋_GB2312" w:cs="宋体"/>
      <w:b/>
      <w:bCs/>
      <w:sz w:val="24"/>
      <w:szCs w:val="24"/>
    </w:rPr>
  </w:style>
  <w:style w:type="paragraph" w:customStyle="1" w:styleId="aff4">
    <w:name w:val=".."/>
    <w:basedOn w:val="a"/>
    <w:pPr>
      <w:autoSpaceDE w:val="0"/>
      <w:autoSpaceDN w:val="0"/>
      <w:jc w:val="left"/>
    </w:pPr>
    <w:rPr>
      <w:rFonts w:ascii="黑体" w:eastAsia="黑体" w:hAnsi="黑体" w:cs="宋体"/>
      <w:sz w:val="24"/>
      <w:szCs w:val="24"/>
    </w:rPr>
  </w:style>
  <w:style w:type="paragraph" w:customStyle="1" w:styleId="CharCharChar1CharCharCharCharCharCharCharCharChar">
    <w:name w:val="Char Char Char1 Char Char Char Char Char Char Char Char Char"/>
    <w:basedOn w:val="a"/>
    <w:rPr>
      <w:sz w:val="24"/>
      <w:szCs w:val="24"/>
    </w:rPr>
  </w:style>
  <w:style w:type="paragraph" w:customStyle="1" w:styleId="CharCharCharCharCharCharCharCharCharCharCharCharChar">
    <w:name w:val="Char Char Char Char Char Char Char Char Char Char Char Char Char"/>
    <w:basedOn w:val="a"/>
    <w:pPr>
      <w:ind w:left="720" w:firstLine="422"/>
    </w:pPr>
    <w:rPr>
      <w:rFonts w:ascii="仿宋_GB2312" w:hAnsi="仿宋_GB2312" w:cs="宋体"/>
      <w:b/>
      <w:bCs/>
      <w:sz w:val="24"/>
      <w:szCs w:val="24"/>
    </w:rPr>
  </w:style>
  <w:style w:type="paragraph" w:customStyle="1" w:styleId="Char2">
    <w:name w:val="Char2"/>
    <w:basedOn w:val="a"/>
  </w:style>
  <w:style w:type="paragraph" w:customStyle="1" w:styleId="CharCharCharCharCharCharCharCharCharCharCharCharChar1">
    <w:name w:val="Char Char Char Char Char Char Char Char Char Char Char Char Char1"/>
    <w:basedOn w:val="a"/>
    <w:pPr>
      <w:ind w:firstLine="422"/>
    </w:pPr>
    <w:rPr>
      <w:rFonts w:ascii="仿宋_GB2312" w:hAnsi="仿宋_GB2312" w:cs="宋体"/>
      <w:b/>
      <w:bCs/>
      <w:sz w:val="24"/>
      <w:szCs w:val="24"/>
    </w:rPr>
  </w:style>
  <w:style w:type="paragraph" w:customStyle="1" w:styleId="aff5">
    <w:name w:val="a"/>
    <w:basedOn w:val="a"/>
    <w:pPr>
      <w:spacing w:before="100" w:beforeAutospacing="1" w:after="100" w:afterAutospacing="1"/>
      <w:jc w:val="left"/>
    </w:pPr>
    <w:rPr>
      <w:rFonts w:ascii="宋体" w:hAnsi="宋体" w:cs="宋体"/>
      <w:sz w:val="24"/>
      <w:szCs w:val="24"/>
    </w:rPr>
  </w:style>
  <w:style w:type="paragraph" w:customStyle="1" w:styleId="CharCharCharCharCharCharCharCharCharCharCharCharCharCharCharCarattereCarattereCharCharCarattereCarattereCharCharCharCharCharCharCarattereCarattereCharCharCharCharCharChar">
    <w:name w:val="Char Char Char Char Char Char Char Char Char Char Char Char Char Char Char Carattere Carattere Char Char Carattere Carattere Char Char Char Char Char Char Carattere Carattere Char Char Char Char Char Char"/>
    <w:basedOn w:val="a"/>
    <w:rPr>
      <w:sz w:val="24"/>
      <w:szCs w:val="24"/>
    </w:rPr>
  </w:style>
  <w:style w:type="paragraph" w:customStyle="1" w:styleId="default0">
    <w:name w:val="default"/>
    <w:basedOn w:val="a"/>
    <w:pPr>
      <w:spacing w:before="100" w:beforeAutospacing="1" w:after="100" w:afterAutospacing="1"/>
      <w:jc w:val="left"/>
    </w:pPr>
    <w:rPr>
      <w:rFonts w:ascii="宋体" w:hAnsi="宋体" w:cs="宋体"/>
      <w:sz w:val="24"/>
      <w:szCs w:val="24"/>
    </w:rPr>
  </w:style>
  <w:style w:type="paragraph" w:customStyle="1" w:styleId="CharCharCharCharCharCharCharCharCharCharCharCharCharCharCharCarattereCarattereCharCharCarattereCarattereCharCharCharCharCharChar">
    <w:name w:val="Char Char Char Char Char Char Char Char Char Char Char Char Char Char Char Carattere Carattere Char Char Carattere Carattere Char Char Char Char Char Char"/>
    <w:basedOn w:val="a"/>
    <w:rPr>
      <w:sz w:val="24"/>
      <w:szCs w:val="24"/>
    </w:rPr>
  </w:style>
  <w:style w:type="paragraph" w:customStyle="1" w:styleId="ParaCharCharCharCharCharCharChar">
    <w:name w:val="默认段落字体 Para Char Char Char Char Char Char Char"/>
    <w:basedOn w:val="a"/>
    <w:pPr>
      <w:jc w:val="left"/>
    </w:pPr>
    <w:rPr>
      <w:rFonts w:ascii="Tahoma" w:hAnsi="Tahoma" w:cs="Tahoma"/>
      <w:color w:val="000000"/>
      <w:sz w:val="24"/>
      <w:szCs w:val="24"/>
    </w:rPr>
  </w:style>
  <w:style w:type="paragraph" w:customStyle="1" w:styleId="14">
    <w:name w:val="纯文本1"/>
    <w:basedOn w:val="a"/>
    <w:pPr>
      <w:spacing w:line="360" w:lineRule="atLeast"/>
    </w:pPr>
    <w:rPr>
      <w:rFonts w:ascii="宋体" w:hAnsi="宋体" w:cs="宋体"/>
    </w:rPr>
  </w:style>
  <w:style w:type="paragraph" w:customStyle="1" w:styleId="msochpdefault">
    <w:name w:val="msochpdefault"/>
    <w:basedOn w:val="a"/>
    <w:pPr>
      <w:spacing w:before="100" w:beforeAutospacing="1" w:after="100" w:afterAutospacing="1"/>
      <w:jc w:val="left"/>
    </w:pPr>
    <w:rPr>
      <w:rFonts w:ascii="Calibri" w:hAnsi="Calibri" w:cs="宋体"/>
      <w:color w:val="000000"/>
      <w:sz w:val="24"/>
      <w:szCs w:val="24"/>
    </w:rPr>
  </w:style>
  <w:style w:type="character" w:customStyle="1" w:styleId="CharChar">
    <w:name w:val="正文样式 Char Char"/>
    <w:basedOn w:val="a0"/>
    <w:rPr>
      <w:rFonts w:ascii="宋体" w:eastAsia="宋体" w:hAnsi="宋体" w:hint="eastAsia"/>
      <w:b/>
      <w:bCs/>
    </w:rPr>
  </w:style>
  <w:style w:type="character" w:customStyle="1" w:styleId="CharChar1Char">
    <w:name w:val="正文样式 Char Char1 Char"/>
    <w:basedOn w:val="a0"/>
    <w:rPr>
      <w:rFonts w:ascii="宋体" w:eastAsia="宋体" w:hAnsi="宋体" w:hint="eastAsia"/>
    </w:rPr>
  </w:style>
  <w:style w:type="character" w:customStyle="1" w:styleId="Char3">
    <w:name w:val="特点 Char"/>
    <w:aliases w:val="表正文 Char,正文非缩进 Char,段1 Char Char"/>
    <w:basedOn w:val="a0"/>
    <w:rPr>
      <w:rFonts w:ascii="宋体" w:eastAsia="宋体" w:hAnsi="宋体" w:hint="eastAsia"/>
    </w:rPr>
  </w:style>
  <w:style w:type="character" w:customStyle="1" w:styleId="Char4">
    <w:name w:val="样式二级标题 Char"/>
    <w:basedOn w:val="a0"/>
    <w:rPr>
      <w:rFonts w:ascii="宋体" w:eastAsia="宋体" w:hAnsi="宋体" w:hint="eastAsia"/>
      <w:b/>
      <w:bCs/>
    </w:rPr>
  </w:style>
  <w:style w:type="character" w:customStyle="1" w:styleId="CharCharChar">
    <w:name w:val="Char Char Char"/>
    <w:basedOn w:val="a0"/>
    <w:rPr>
      <w:rFonts w:ascii="宋体" w:eastAsia="宋体" w:hAnsi="宋体" w:hint="eastAsia"/>
      <w:color w:val="000000"/>
    </w:rPr>
  </w:style>
  <w:style w:type="character" w:customStyle="1" w:styleId="tt11">
    <w:name w:val="tt11"/>
    <w:basedOn w:val="a0"/>
  </w:style>
  <w:style w:type="character" w:customStyle="1" w:styleId="CharChar0">
    <w:name w:val="Char Char"/>
    <w:basedOn w:val="a0"/>
    <w:rPr>
      <w:rFonts w:ascii="宋体" w:eastAsia="宋体" w:hAnsi="宋体" w:hint="eastAsia"/>
    </w:rPr>
  </w:style>
  <w:style w:type="character" w:customStyle="1" w:styleId="151Char">
    <w:name w:val="样式 正文样式 + 字距调整1.5 磅1 Char"/>
    <w:basedOn w:val="a0"/>
    <w:rPr>
      <w:rFonts w:ascii="宋体" w:eastAsia="宋体" w:hAnsi="宋体" w:hint="eastAsia"/>
    </w:rPr>
  </w:style>
  <w:style w:type="character" w:customStyle="1" w:styleId="CharChar2">
    <w:name w:val="样式二级标题 Char Char"/>
    <w:basedOn w:val="a0"/>
    <w:rPr>
      <w:rFonts w:ascii="宋体" w:eastAsia="宋体" w:hAnsi="宋体" w:hint="eastAsia"/>
      <w:b/>
      <w:bCs/>
    </w:rPr>
  </w:style>
  <w:style w:type="character" w:customStyle="1" w:styleId="unnamed11">
    <w:name w:val="unnamed11"/>
    <w:basedOn w:val="a0"/>
    <w:rPr>
      <w:rFonts w:ascii="宋体" w:eastAsia="宋体" w:hAnsi="宋体" w:hint="eastAsia"/>
    </w:rPr>
  </w:style>
  <w:style w:type="character" w:customStyle="1" w:styleId="read">
    <w:name w:val="read"/>
    <w:basedOn w:val="a0"/>
  </w:style>
  <w:style w:type="character" w:customStyle="1" w:styleId="CharCharChar0">
    <w:name w:val="正文样式 Char Char Char"/>
    <w:basedOn w:val="a0"/>
    <w:rPr>
      <w:rFonts w:ascii="宋体" w:eastAsia="宋体" w:hAnsi="宋体" w:hint="eastAsia"/>
    </w:rPr>
  </w:style>
  <w:style w:type="character" w:customStyle="1" w:styleId="aff6">
    <w:name w:val="有疑问的文字"/>
    <w:basedOn w:val="a0"/>
    <w:rPr>
      <w:rFonts w:ascii="宋体" w:eastAsia="宋体" w:hAnsi="宋体" w:hint="eastAsia"/>
      <w:color w:val="FF0000"/>
    </w:rPr>
  </w:style>
  <w:style w:type="character" w:styleId="aff7">
    <w:name w:val="Strong"/>
    <w:basedOn w:val="a0"/>
    <w:uiPriority w:val="22"/>
    <w:qFormat/>
    <w:rPr>
      <w:b/>
      <w:bCs/>
    </w:rPr>
  </w:style>
  <w:style w:type="character" w:styleId="aff8">
    <w:name w:val="annotation reference"/>
    <w:rsid w:val="00BE6383"/>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690115">
      <w:marLeft w:val="0"/>
      <w:marRight w:val="0"/>
      <w:marTop w:val="0"/>
      <w:marBottom w:val="0"/>
      <w:divBdr>
        <w:top w:val="none" w:sz="0" w:space="0" w:color="auto"/>
        <w:left w:val="none" w:sz="0" w:space="0" w:color="auto"/>
        <w:bottom w:val="none" w:sz="0" w:space="0" w:color="auto"/>
        <w:right w:val="none" w:sz="0" w:space="0" w:color="auto"/>
      </w:divBdr>
    </w:div>
    <w:div w:id="525951473">
      <w:marLeft w:val="0"/>
      <w:marRight w:val="0"/>
      <w:marTop w:val="0"/>
      <w:marBottom w:val="0"/>
      <w:divBdr>
        <w:top w:val="none" w:sz="0" w:space="0" w:color="auto"/>
        <w:left w:val="none" w:sz="0" w:space="0" w:color="auto"/>
        <w:bottom w:val="none" w:sz="0" w:space="0" w:color="auto"/>
        <w:right w:val="none" w:sz="0" w:space="0" w:color="auto"/>
      </w:divBdr>
    </w:div>
    <w:div w:id="1122842215">
      <w:marLeft w:val="0"/>
      <w:marRight w:val="0"/>
      <w:marTop w:val="0"/>
      <w:marBottom w:val="0"/>
      <w:divBdr>
        <w:top w:val="none" w:sz="0" w:space="0" w:color="auto"/>
        <w:left w:val="none" w:sz="0" w:space="0" w:color="auto"/>
        <w:bottom w:val="none" w:sz="0" w:space="0" w:color="auto"/>
        <w:right w:val="none" w:sz="0" w:space="0" w:color="auto"/>
      </w:divBdr>
    </w:div>
    <w:div w:id="1218664020">
      <w:marLeft w:val="0"/>
      <w:marRight w:val="0"/>
      <w:marTop w:val="0"/>
      <w:marBottom w:val="0"/>
      <w:divBdr>
        <w:top w:val="none" w:sz="0" w:space="0" w:color="auto"/>
        <w:left w:val="none" w:sz="0" w:space="0" w:color="auto"/>
        <w:bottom w:val="none" w:sz="0" w:space="0" w:color="auto"/>
        <w:right w:val="none" w:sz="0" w:space="0" w:color="auto"/>
      </w:divBdr>
      <w:divsChild>
        <w:div w:id="333075514">
          <w:marLeft w:val="0"/>
          <w:marRight w:val="0"/>
          <w:marTop w:val="0"/>
          <w:marBottom w:val="0"/>
          <w:divBdr>
            <w:top w:val="none" w:sz="0" w:space="0" w:color="auto"/>
            <w:left w:val="none" w:sz="0" w:space="0" w:color="auto"/>
            <w:bottom w:val="none" w:sz="0" w:space="0" w:color="auto"/>
            <w:right w:val="none" w:sz="0" w:space="0" w:color="auto"/>
          </w:divBdr>
        </w:div>
      </w:divsChild>
    </w:div>
    <w:div w:id="1225483252">
      <w:marLeft w:val="0"/>
      <w:marRight w:val="0"/>
      <w:marTop w:val="0"/>
      <w:marBottom w:val="0"/>
      <w:divBdr>
        <w:top w:val="none" w:sz="0" w:space="0" w:color="auto"/>
        <w:left w:val="none" w:sz="0" w:space="0" w:color="auto"/>
        <w:bottom w:val="none" w:sz="0" w:space="0" w:color="auto"/>
        <w:right w:val="none" w:sz="0" w:space="0" w:color="auto"/>
      </w:divBdr>
    </w:div>
    <w:div w:id="199459932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hfund.com&#65289;&#12289;&#30701;&#20449;&#24179;&#21488;&#12289;&#21628;&#21483;&#20013;&#24515;&#65288;400-6788-99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83</Pages>
  <Words>11236</Words>
  <Characters>64051</Characters>
  <Application>Microsoft Office Word</Application>
  <DocSecurity>0</DocSecurity>
  <Lines>533</Lines>
  <Paragraphs>150</Paragraphs>
  <ScaleCrop>false</ScaleCrop>
  <Company>PHFUND</Company>
  <LinksUpToDate>false</LinksUpToDate>
  <CharactersWithSpaces>75137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林诗雄</dc:creator>
  <cp:keywords/>
  <dc:description/>
  <cp:lastModifiedBy>庞春宇</cp:lastModifiedBy>
  <cp:revision>18</cp:revision>
  <dcterms:created xsi:type="dcterms:W3CDTF">2019-10-18T01:59:00Z</dcterms:created>
  <dcterms:modified xsi:type="dcterms:W3CDTF">2020-02-18T09:24:00Z</dcterms:modified>
</cp:coreProperties>
</file>