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6B0" w:rsidRPr="00EB46B0" w:rsidRDefault="00EB46B0" w:rsidP="00EB46B0">
      <w:pPr>
        <w:widowControl/>
        <w:jc w:val="center"/>
        <w:rPr>
          <w:rFonts w:ascii="Courier New" w:eastAsia="宋体" w:hAnsi="Courier New" w:cs="Courier New"/>
          <w:b/>
          <w:bCs/>
          <w:kern w:val="0"/>
          <w:sz w:val="36"/>
          <w:szCs w:val="36"/>
        </w:rPr>
      </w:pPr>
      <w:r w:rsidRPr="00EB46B0">
        <w:rPr>
          <w:rFonts w:ascii="Courier New" w:eastAsia="宋体" w:hAnsi="Courier New" w:cs="Courier New"/>
          <w:b/>
          <w:bCs/>
          <w:kern w:val="0"/>
          <w:sz w:val="36"/>
          <w:szCs w:val="36"/>
        </w:rPr>
        <w:t>“</w:t>
      </w:r>
      <w:r w:rsidRPr="00EB46B0">
        <w:rPr>
          <w:rFonts w:ascii="Courier New" w:eastAsia="宋体" w:hAnsi="Courier New" w:cs="Courier New"/>
          <w:b/>
          <w:bCs/>
          <w:kern w:val="0"/>
          <w:sz w:val="36"/>
          <w:szCs w:val="36"/>
        </w:rPr>
        <w:t>宝盈理财</w:t>
      </w:r>
      <w:r w:rsidRPr="00EB46B0">
        <w:rPr>
          <w:rFonts w:ascii="Courier New" w:eastAsia="宋体" w:hAnsi="Courier New" w:cs="Courier New"/>
          <w:b/>
          <w:bCs/>
          <w:kern w:val="0"/>
          <w:sz w:val="36"/>
          <w:szCs w:val="36"/>
        </w:rPr>
        <w:t>”</w:t>
      </w:r>
      <w:r w:rsidRPr="00EB46B0">
        <w:rPr>
          <w:rFonts w:ascii="Courier New" w:eastAsia="宋体" w:hAnsi="Courier New" w:cs="Courier New"/>
          <w:b/>
          <w:bCs/>
          <w:kern w:val="0"/>
          <w:sz w:val="36"/>
          <w:szCs w:val="36"/>
        </w:rPr>
        <w:t>安逸</w:t>
      </w:r>
      <w:r w:rsidRPr="00EB46B0">
        <w:rPr>
          <w:rFonts w:ascii="Courier New" w:eastAsia="宋体" w:hAnsi="Courier New" w:cs="Courier New"/>
          <w:b/>
          <w:bCs/>
          <w:kern w:val="0"/>
          <w:sz w:val="36"/>
          <w:szCs w:val="36"/>
        </w:rPr>
        <w:t>315</w:t>
      </w:r>
      <w:r w:rsidRPr="00EB46B0">
        <w:rPr>
          <w:rFonts w:ascii="Courier New" w:eastAsia="宋体" w:hAnsi="Courier New" w:cs="Courier New"/>
          <w:b/>
          <w:bCs/>
          <w:kern w:val="0"/>
          <w:sz w:val="36"/>
          <w:szCs w:val="36"/>
        </w:rPr>
        <w:t>号人民币理财产品说明书</w:t>
      </w:r>
    </w:p>
    <w:p w:rsidR="00EB46B0" w:rsidRPr="00EB46B0" w:rsidRDefault="00EB46B0" w:rsidP="00EB46B0">
      <w:pPr>
        <w:widowControl/>
        <w:jc w:val="left"/>
        <w:rPr>
          <w:rFonts w:ascii="楷体" w:eastAsia="楷体" w:hAnsi="楷体" w:cs="宋体"/>
          <w:b/>
          <w:bCs/>
          <w:color w:val="000000"/>
          <w:kern w:val="0"/>
          <w:sz w:val="24"/>
          <w:szCs w:val="24"/>
        </w:rPr>
      </w:pPr>
      <w:r w:rsidRPr="00EB46B0">
        <w:rPr>
          <w:rFonts w:ascii="楷体" w:eastAsia="楷体" w:hAnsi="楷体" w:cs="宋体" w:hint="eastAsia"/>
          <w:b/>
          <w:bCs/>
          <w:color w:val="000000"/>
          <w:kern w:val="0"/>
          <w:sz w:val="24"/>
          <w:szCs w:val="24"/>
        </w:rPr>
        <w:t>客户须知</w:t>
      </w:r>
    </w:p>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 xml:space="preserve">    本说明书所有条款解释权归广东南粤银行股份有限公司所有。</w:t>
      </w:r>
    </w:p>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一、风险提示</w:t>
      </w:r>
    </w:p>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 xml:space="preserve">    本理财计划为保本浮动收益型理财产品，理财收益来源于本理财计划投资的回报，容易受到市场利率变化、资产运作情况及投资管理方投资能力的影响，投资者应该充分认识投资风险，谨慎投资。以下风险揭示内容请投资者详细阅读，在充分了解并清楚知晓本产品蕴含风险的基础上，通过自身判断自主参与交易，并自愿承担相关风险：</w:t>
      </w:r>
    </w:p>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 xml:space="preserve">    1、本金及理财收益风险：本理财计划为保本浮动收益型，理财收益来源于本理财计划投资的回报，容易受到市场利率变化、资产运作情况及投资管理方投资能力的影响。在部分或全部资产未能完全按预期价格出让的情况下，客户净收益率可能下降，最不利情形是客户净收益率为0，但理财行保证客户本金不受损失。</w:t>
      </w:r>
    </w:p>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EB46B0">
        <w:rPr>
          <w:rFonts w:ascii="楷体" w:eastAsia="楷体" w:hAnsi="楷体" w:cs="宋体" w:hint="eastAsia"/>
          <w:kern w:val="0"/>
          <w:sz w:val="24"/>
          <w:szCs w:val="24"/>
        </w:rPr>
        <w:t>会上下波动，影响理财产品收益。</w:t>
      </w:r>
    </w:p>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 xml:space="preserve">    4、理财产品不成立风险：如理财产品募集结束时，</w:t>
      </w:r>
      <w:proofErr w:type="gramStart"/>
      <w:r w:rsidRPr="00EB46B0">
        <w:rPr>
          <w:rFonts w:ascii="楷体" w:eastAsia="楷体" w:hAnsi="楷体" w:cs="宋体" w:hint="eastAsia"/>
          <w:color w:val="000000"/>
          <w:kern w:val="0"/>
          <w:sz w:val="24"/>
          <w:szCs w:val="24"/>
        </w:rPr>
        <w:t>认购总</w:t>
      </w:r>
      <w:proofErr w:type="gramEnd"/>
      <w:r w:rsidRPr="00EB46B0">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 xml:space="preserve">    5、管理人风险：因管理人的知识、经验、判断、决策、技能等，会影响其对信息的获取和对经济形势、金融市场价格走势的判断从而影响收益水平。</w:t>
      </w:r>
    </w:p>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 xml:space="preserve">    6、政策风险：本理财产品根据当前相关法律法规和政策设计，如国家宏观政策及市场相关法律法规发生变化，可能影响理财产品的受理、投资、偿还等正常进行，甚至导致本理财收益降低。</w:t>
      </w:r>
    </w:p>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 xml:space="preserve">    7、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 xml:space="preserve">    8、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w:t>
      </w:r>
      <w:r w:rsidRPr="00EB46B0">
        <w:rPr>
          <w:rFonts w:ascii="楷体" w:eastAsia="楷体" w:hAnsi="楷体" w:cs="宋体" w:hint="eastAsia"/>
          <w:color w:val="000000"/>
          <w:kern w:val="0"/>
          <w:sz w:val="24"/>
          <w:szCs w:val="24"/>
        </w:rPr>
        <w:lastRenderedPageBreak/>
        <w:t>者未及时查询，或由于通讯故障、系统故障以及其他不可抗力等因素的影响使得投资者无法及时了解理财产品信息，因此而产生的风险和责任由投资者自行承担。</w:t>
      </w:r>
    </w:p>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本理财产品风险评级：R2</w:t>
      </w:r>
    </w:p>
    <w:tbl>
      <w:tblPr>
        <w:tblW w:w="8500" w:type="dxa"/>
        <w:tblInd w:w="108" w:type="dxa"/>
        <w:tblLook w:val="04A0" w:firstRow="1" w:lastRow="0" w:firstColumn="1" w:lastColumn="0" w:noHBand="0" w:noVBand="1"/>
      </w:tblPr>
      <w:tblGrid>
        <w:gridCol w:w="846"/>
        <w:gridCol w:w="1537"/>
        <w:gridCol w:w="1889"/>
        <w:gridCol w:w="2006"/>
        <w:gridCol w:w="2222"/>
      </w:tblGrid>
      <w:tr w:rsidR="00EB46B0" w:rsidRPr="00EB46B0" w:rsidTr="00EB46B0">
        <w:trPr>
          <w:trHeight w:val="285"/>
        </w:trPr>
        <w:tc>
          <w:tcPr>
            <w:tcW w:w="72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EB46B0" w:rsidRPr="00EB46B0" w:rsidRDefault="00EB46B0" w:rsidP="00EB46B0">
            <w:pPr>
              <w:widowControl/>
              <w:jc w:val="center"/>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内部风险评级</w:t>
            </w:r>
          </w:p>
        </w:tc>
        <w:tc>
          <w:tcPr>
            <w:tcW w:w="7780" w:type="dxa"/>
            <w:gridSpan w:val="4"/>
            <w:tcBorders>
              <w:top w:val="single" w:sz="4" w:space="0" w:color="auto"/>
              <w:left w:val="nil"/>
              <w:bottom w:val="single" w:sz="4" w:space="0" w:color="auto"/>
              <w:right w:val="single" w:sz="4" w:space="0" w:color="000000"/>
            </w:tcBorders>
            <w:shd w:val="clear" w:color="auto" w:fill="auto"/>
            <w:vAlign w:val="center"/>
            <w:hideMark/>
          </w:tcPr>
          <w:p w:rsidR="00EB46B0" w:rsidRPr="00EB46B0" w:rsidRDefault="00EB46B0" w:rsidP="00EB46B0">
            <w:pPr>
              <w:widowControl/>
              <w:jc w:val="center"/>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本理财产品内部风险评级为：R2</w:t>
            </w:r>
          </w:p>
        </w:tc>
      </w:tr>
      <w:tr w:rsidR="00EB46B0" w:rsidRPr="00EB46B0" w:rsidTr="00EB46B0">
        <w:trPr>
          <w:trHeight w:val="285"/>
        </w:trPr>
        <w:tc>
          <w:tcPr>
            <w:tcW w:w="720" w:type="dxa"/>
            <w:vMerge/>
            <w:tcBorders>
              <w:top w:val="nil"/>
              <w:left w:val="single" w:sz="4" w:space="0" w:color="auto"/>
              <w:bottom w:val="single" w:sz="4" w:space="0" w:color="000000"/>
              <w:right w:val="single" w:sz="4" w:space="0" w:color="auto"/>
            </w:tcBorders>
            <w:vAlign w:val="center"/>
            <w:hideMark/>
          </w:tcPr>
          <w:p w:rsidR="00EB46B0" w:rsidRPr="00EB46B0" w:rsidRDefault="00EB46B0" w:rsidP="00EB46B0">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rsidR="00EB46B0" w:rsidRPr="00EB46B0" w:rsidRDefault="00EB46B0" w:rsidP="00EB46B0">
            <w:pPr>
              <w:widowControl/>
              <w:jc w:val="center"/>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风险评级</w:t>
            </w:r>
          </w:p>
        </w:tc>
        <w:tc>
          <w:tcPr>
            <w:tcW w:w="1920" w:type="dxa"/>
            <w:tcBorders>
              <w:top w:val="nil"/>
              <w:left w:val="nil"/>
              <w:bottom w:val="single" w:sz="4" w:space="0" w:color="auto"/>
              <w:right w:val="single" w:sz="4" w:space="0" w:color="auto"/>
            </w:tcBorders>
            <w:shd w:val="clear" w:color="auto" w:fill="auto"/>
            <w:vAlign w:val="center"/>
            <w:hideMark/>
          </w:tcPr>
          <w:p w:rsidR="00EB46B0" w:rsidRPr="00EB46B0" w:rsidRDefault="00EB46B0" w:rsidP="00EB46B0">
            <w:pPr>
              <w:widowControl/>
              <w:jc w:val="center"/>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风险程度</w:t>
            </w:r>
          </w:p>
        </w:tc>
        <w:tc>
          <w:tcPr>
            <w:tcW w:w="2040" w:type="dxa"/>
            <w:tcBorders>
              <w:top w:val="nil"/>
              <w:left w:val="nil"/>
              <w:bottom w:val="single" w:sz="4" w:space="0" w:color="auto"/>
              <w:right w:val="single" w:sz="4" w:space="0" w:color="auto"/>
            </w:tcBorders>
            <w:shd w:val="clear" w:color="auto" w:fill="auto"/>
            <w:vAlign w:val="center"/>
            <w:hideMark/>
          </w:tcPr>
          <w:p w:rsidR="00EB46B0" w:rsidRPr="00EB46B0" w:rsidRDefault="00EB46B0" w:rsidP="00EB46B0">
            <w:pPr>
              <w:widowControl/>
              <w:jc w:val="center"/>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适合的投资者</w:t>
            </w:r>
          </w:p>
        </w:tc>
        <w:tc>
          <w:tcPr>
            <w:tcW w:w="2260" w:type="dxa"/>
            <w:tcBorders>
              <w:top w:val="nil"/>
              <w:left w:val="nil"/>
              <w:bottom w:val="single" w:sz="4" w:space="0" w:color="auto"/>
              <w:right w:val="single" w:sz="4" w:space="0" w:color="auto"/>
            </w:tcBorders>
            <w:shd w:val="clear" w:color="auto" w:fill="auto"/>
            <w:vAlign w:val="center"/>
            <w:hideMark/>
          </w:tcPr>
          <w:p w:rsidR="00EB46B0" w:rsidRPr="00EB46B0" w:rsidRDefault="00EB46B0" w:rsidP="00EB46B0">
            <w:pPr>
              <w:widowControl/>
              <w:jc w:val="center"/>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适合投资策略</w:t>
            </w:r>
          </w:p>
        </w:tc>
      </w:tr>
      <w:tr w:rsidR="00EB46B0" w:rsidRPr="00EB46B0" w:rsidTr="00EB46B0">
        <w:trPr>
          <w:trHeight w:val="315"/>
        </w:trPr>
        <w:tc>
          <w:tcPr>
            <w:tcW w:w="720" w:type="dxa"/>
            <w:vMerge/>
            <w:tcBorders>
              <w:top w:val="nil"/>
              <w:left w:val="single" w:sz="4" w:space="0" w:color="auto"/>
              <w:bottom w:val="single" w:sz="4" w:space="0" w:color="000000"/>
              <w:right w:val="single" w:sz="4" w:space="0" w:color="auto"/>
            </w:tcBorders>
            <w:vAlign w:val="center"/>
            <w:hideMark/>
          </w:tcPr>
          <w:p w:rsidR="00EB46B0" w:rsidRPr="00EB46B0" w:rsidRDefault="00EB46B0" w:rsidP="00EB46B0">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EB46B0" w:rsidRPr="00EB46B0" w:rsidRDefault="00EB46B0" w:rsidP="00EB46B0">
            <w:pPr>
              <w:widowControl/>
              <w:jc w:val="center"/>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R1</w:t>
            </w:r>
          </w:p>
        </w:tc>
        <w:tc>
          <w:tcPr>
            <w:tcW w:w="1920" w:type="dxa"/>
            <w:tcBorders>
              <w:top w:val="nil"/>
              <w:left w:val="nil"/>
              <w:bottom w:val="single" w:sz="4" w:space="0" w:color="auto"/>
              <w:right w:val="single" w:sz="4" w:space="0" w:color="auto"/>
            </w:tcBorders>
            <w:shd w:val="clear" w:color="000000" w:fill="FFFFFF"/>
            <w:vAlign w:val="center"/>
            <w:hideMark/>
          </w:tcPr>
          <w:p w:rsidR="00EB46B0" w:rsidRPr="00EB46B0" w:rsidRDefault="00EB46B0" w:rsidP="00EB46B0">
            <w:pPr>
              <w:widowControl/>
              <w:jc w:val="center"/>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低</w:t>
            </w:r>
          </w:p>
        </w:tc>
        <w:tc>
          <w:tcPr>
            <w:tcW w:w="2040" w:type="dxa"/>
            <w:tcBorders>
              <w:top w:val="nil"/>
              <w:left w:val="nil"/>
              <w:bottom w:val="single" w:sz="4" w:space="0" w:color="auto"/>
              <w:right w:val="single" w:sz="4" w:space="0" w:color="auto"/>
            </w:tcBorders>
            <w:shd w:val="clear" w:color="000000" w:fill="FFFFFF"/>
            <w:vAlign w:val="center"/>
            <w:hideMark/>
          </w:tcPr>
          <w:p w:rsidR="00EB46B0" w:rsidRPr="00EB46B0" w:rsidRDefault="00EB46B0" w:rsidP="00EB46B0">
            <w:pPr>
              <w:widowControl/>
              <w:jc w:val="center"/>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保守型</w:t>
            </w:r>
          </w:p>
        </w:tc>
        <w:tc>
          <w:tcPr>
            <w:tcW w:w="2260" w:type="dxa"/>
            <w:tcBorders>
              <w:top w:val="nil"/>
              <w:left w:val="nil"/>
              <w:bottom w:val="single" w:sz="4" w:space="0" w:color="auto"/>
              <w:right w:val="single" w:sz="4" w:space="0" w:color="auto"/>
            </w:tcBorders>
            <w:shd w:val="clear" w:color="000000" w:fill="FFFFFF"/>
            <w:vAlign w:val="center"/>
            <w:hideMark/>
          </w:tcPr>
          <w:p w:rsidR="00EB46B0" w:rsidRPr="00EB46B0" w:rsidRDefault="00EB46B0" w:rsidP="00EB46B0">
            <w:pPr>
              <w:widowControl/>
              <w:jc w:val="center"/>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风险控制</w:t>
            </w:r>
          </w:p>
        </w:tc>
      </w:tr>
      <w:tr w:rsidR="00EB46B0" w:rsidRPr="00EB46B0" w:rsidTr="00EB46B0">
        <w:trPr>
          <w:trHeight w:val="315"/>
        </w:trPr>
        <w:tc>
          <w:tcPr>
            <w:tcW w:w="720" w:type="dxa"/>
            <w:vMerge/>
            <w:tcBorders>
              <w:top w:val="nil"/>
              <w:left w:val="single" w:sz="4" w:space="0" w:color="auto"/>
              <w:bottom w:val="single" w:sz="4" w:space="0" w:color="000000"/>
              <w:right w:val="single" w:sz="4" w:space="0" w:color="auto"/>
            </w:tcBorders>
            <w:vAlign w:val="center"/>
            <w:hideMark/>
          </w:tcPr>
          <w:p w:rsidR="00EB46B0" w:rsidRPr="00EB46B0" w:rsidRDefault="00EB46B0" w:rsidP="00EB46B0">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EB46B0" w:rsidRPr="00EB46B0" w:rsidRDefault="00EB46B0" w:rsidP="00EB46B0">
            <w:pPr>
              <w:widowControl/>
              <w:jc w:val="center"/>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R2</w:t>
            </w:r>
          </w:p>
        </w:tc>
        <w:tc>
          <w:tcPr>
            <w:tcW w:w="1920" w:type="dxa"/>
            <w:tcBorders>
              <w:top w:val="nil"/>
              <w:left w:val="nil"/>
              <w:bottom w:val="single" w:sz="4" w:space="0" w:color="auto"/>
              <w:right w:val="single" w:sz="4" w:space="0" w:color="auto"/>
            </w:tcBorders>
            <w:shd w:val="clear" w:color="000000" w:fill="FFFFFF"/>
            <w:vAlign w:val="center"/>
            <w:hideMark/>
          </w:tcPr>
          <w:p w:rsidR="00EB46B0" w:rsidRPr="00EB46B0" w:rsidRDefault="00EB46B0" w:rsidP="00EB46B0">
            <w:pPr>
              <w:widowControl/>
              <w:jc w:val="center"/>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较低</w:t>
            </w:r>
          </w:p>
        </w:tc>
        <w:tc>
          <w:tcPr>
            <w:tcW w:w="2040" w:type="dxa"/>
            <w:tcBorders>
              <w:top w:val="nil"/>
              <w:left w:val="nil"/>
              <w:bottom w:val="single" w:sz="4" w:space="0" w:color="auto"/>
              <w:right w:val="single" w:sz="4" w:space="0" w:color="auto"/>
            </w:tcBorders>
            <w:shd w:val="clear" w:color="000000" w:fill="FFFFFF"/>
            <w:vAlign w:val="center"/>
            <w:hideMark/>
          </w:tcPr>
          <w:p w:rsidR="00EB46B0" w:rsidRPr="00EB46B0" w:rsidRDefault="00EB46B0" w:rsidP="00EB46B0">
            <w:pPr>
              <w:widowControl/>
              <w:jc w:val="center"/>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稳健型</w:t>
            </w:r>
          </w:p>
        </w:tc>
        <w:tc>
          <w:tcPr>
            <w:tcW w:w="2260" w:type="dxa"/>
            <w:tcBorders>
              <w:top w:val="nil"/>
              <w:left w:val="nil"/>
              <w:bottom w:val="single" w:sz="4" w:space="0" w:color="auto"/>
              <w:right w:val="single" w:sz="4" w:space="0" w:color="auto"/>
            </w:tcBorders>
            <w:shd w:val="clear" w:color="000000" w:fill="FFFFFF"/>
            <w:vAlign w:val="center"/>
            <w:hideMark/>
          </w:tcPr>
          <w:p w:rsidR="00EB46B0" w:rsidRPr="00EB46B0" w:rsidRDefault="00EB46B0" w:rsidP="00EB46B0">
            <w:pPr>
              <w:widowControl/>
              <w:jc w:val="center"/>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稳健发展</w:t>
            </w:r>
          </w:p>
        </w:tc>
      </w:tr>
      <w:tr w:rsidR="00EB46B0" w:rsidRPr="00EB46B0" w:rsidTr="00EB46B0">
        <w:trPr>
          <w:trHeight w:val="315"/>
        </w:trPr>
        <w:tc>
          <w:tcPr>
            <w:tcW w:w="720" w:type="dxa"/>
            <w:vMerge/>
            <w:tcBorders>
              <w:top w:val="nil"/>
              <w:left w:val="single" w:sz="4" w:space="0" w:color="auto"/>
              <w:bottom w:val="single" w:sz="4" w:space="0" w:color="000000"/>
              <w:right w:val="single" w:sz="4" w:space="0" w:color="auto"/>
            </w:tcBorders>
            <w:vAlign w:val="center"/>
            <w:hideMark/>
          </w:tcPr>
          <w:p w:rsidR="00EB46B0" w:rsidRPr="00EB46B0" w:rsidRDefault="00EB46B0" w:rsidP="00EB46B0">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EB46B0" w:rsidRPr="00EB46B0" w:rsidRDefault="00EB46B0" w:rsidP="00EB46B0">
            <w:pPr>
              <w:widowControl/>
              <w:jc w:val="center"/>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R3</w:t>
            </w:r>
          </w:p>
        </w:tc>
        <w:tc>
          <w:tcPr>
            <w:tcW w:w="1920" w:type="dxa"/>
            <w:tcBorders>
              <w:top w:val="nil"/>
              <w:left w:val="nil"/>
              <w:bottom w:val="single" w:sz="4" w:space="0" w:color="auto"/>
              <w:right w:val="single" w:sz="4" w:space="0" w:color="auto"/>
            </w:tcBorders>
            <w:shd w:val="clear" w:color="000000" w:fill="FFFFFF"/>
            <w:vAlign w:val="center"/>
            <w:hideMark/>
          </w:tcPr>
          <w:p w:rsidR="00EB46B0" w:rsidRPr="00EB46B0" w:rsidRDefault="00EB46B0" w:rsidP="00EB46B0">
            <w:pPr>
              <w:widowControl/>
              <w:jc w:val="center"/>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中</w:t>
            </w:r>
          </w:p>
        </w:tc>
        <w:tc>
          <w:tcPr>
            <w:tcW w:w="2040" w:type="dxa"/>
            <w:tcBorders>
              <w:top w:val="nil"/>
              <w:left w:val="nil"/>
              <w:bottom w:val="single" w:sz="4" w:space="0" w:color="auto"/>
              <w:right w:val="single" w:sz="4" w:space="0" w:color="auto"/>
            </w:tcBorders>
            <w:shd w:val="clear" w:color="000000" w:fill="FFFFFF"/>
            <w:vAlign w:val="center"/>
            <w:hideMark/>
          </w:tcPr>
          <w:p w:rsidR="00EB46B0" w:rsidRPr="00EB46B0" w:rsidRDefault="00EB46B0" w:rsidP="00EB46B0">
            <w:pPr>
              <w:widowControl/>
              <w:jc w:val="center"/>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平衡型</w:t>
            </w:r>
          </w:p>
        </w:tc>
        <w:tc>
          <w:tcPr>
            <w:tcW w:w="2260" w:type="dxa"/>
            <w:tcBorders>
              <w:top w:val="nil"/>
              <w:left w:val="nil"/>
              <w:bottom w:val="single" w:sz="4" w:space="0" w:color="auto"/>
              <w:right w:val="single" w:sz="4" w:space="0" w:color="auto"/>
            </w:tcBorders>
            <w:shd w:val="clear" w:color="000000" w:fill="FFFFFF"/>
            <w:vAlign w:val="center"/>
            <w:hideMark/>
          </w:tcPr>
          <w:p w:rsidR="00EB46B0" w:rsidRPr="00EB46B0" w:rsidRDefault="00EB46B0" w:rsidP="00EB46B0">
            <w:pPr>
              <w:widowControl/>
              <w:jc w:val="center"/>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均衡成长</w:t>
            </w:r>
          </w:p>
        </w:tc>
      </w:tr>
      <w:tr w:rsidR="00EB46B0" w:rsidRPr="00EB46B0" w:rsidTr="00EB46B0">
        <w:trPr>
          <w:trHeight w:val="315"/>
        </w:trPr>
        <w:tc>
          <w:tcPr>
            <w:tcW w:w="720" w:type="dxa"/>
            <w:vMerge/>
            <w:tcBorders>
              <w:top w:val="nil"/>
              <w:left w:val="single" w:sz="4" w:space="0" w:color="auto"/>
              <w:bottom w:val="single" w:sz="4" w:space="0" w:color="000000"/>
              <w:right w:val="single" w:sz="4" w:space="0" w:color="auto"/>
            </w:tcBorders>
            <w:vAlign w:val="center"/>
            <w:hideMark/>
          </w:tcPr>
          <w:p w:rsidR="00EB46B0" w:rsidRPr="00EB46B0" w:rsidRDefault="00EB46B0" w:rsidP="00EB46B0">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EB46B0" w:rsidRPr="00EB46B0" w:rsidRDefault="00EB46B0" w:rsidP="00EB46B0">
            <w:pPr>
              <w:widowControl/>
              <w:jc w:val="center"/>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R4</w:t>
            </w:r>
          </w:p>
        </w:tc>
        <w:tc>
          <w:tcPr>
            <w:tcW w:w="1920" w:type="dxa"/>
            <w:tcBorders>
              <w:top w:val="nil"/>
              <w:left w:val="nil"/>
              <w:bottom w:val="single" w:sz="4" w:space="0" w:color="auto"/>
              <w:right w:val="single" w:sz="4" w:space="0" w:color="auto"/>
            </w:tcBorders>
            <w:shd w:val="clear" w:color="000000" w:fill="FFFFFF"/>
            <w:vAlign w:val="center"/>
            <w:hideMark/>
          </w:tcPr>
          <w:p w:rsidR="00EB46B0" w:rsidRPr="00EB46B0" w:rsidRDefault="00EB46B0" w:rsidP="00EB46B0">
            <w:pPr>
              <w:widowControl/>
              <w:jc w:val="center"/>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较高</w:t>
            </w:r>
          </w:p>
        </w:tc>
        <w:tc>
          <w:tcPr>
            <w:tcW w:w="2040" w:type="dxa"/>
            <w:tcBorders>
              <w:top w:val="nil"/>
              <w:left w:val="nil"/>
              <w:bottom w:val="single" w:sz="4" w:space="0" w:color="auto"/>
              <w:right w:val="single" w:sz="4" w:space="0" w:color="auto"/>
            </w:tcBorders>
            <w:shd w:val="clear" w:color="000000" w:fill="FFFFFF"/>
            <w:vAlign w:val="center"/>
            <w:hideMark/>
          </w:tcPr>
          <w:p w:rsidR="00EB46B0" w:rsidRPr="00EB46B0" w:rsidRDefault="00EB46B0" w:rsidP="00EB46B0">
            <w:pPr>
              <w:widowControl/>
              <w:jc w:val="center"/>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成长型</w:t>
            </w:r>
          </w:p>
        </w:tc>
        <w:tc>
          <w:tcPr>
            <w:tcW w:w="2260" w:type="dxa"/>
            <w:tcBorders>
              <w:top w:val="nil"/>
              <w:left w:val="nil"/>
              <w:bottom w:val="single" w:sz="4" w:space="0" w:color="auto"/>
              <w:right w:val="single" w:sz="4" w:space="0" w:color="auto"/>
            </w:tcBorders>
            <w:shd w:val="clear" w:color="000000" w:fill="FFFFFF"/>
            <w:vAlign w:val="center"/>
            <w:hideMark/>
          </w:tcPr>
          <w:p w:rsidR="00EB46B0" w:rsidRPr="00EB46B0" w:rsidRDefault="00EB46B0" w:rsidP="00EB46B0">
            <w:pPr>
              <w:widowControl/>
              <w:jc w:val="center"/>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积极进取</w:t>
            </w:r>
          </w:p>
        </w:tc>
      </w:tr>
      <w:tr w:rsidR="00EB46B0" w:rsidRPr="00EB46B0" w:rsidTr="00EB46B0">
        <w:trPr>
          <w:trHeight w:val="315"/>
        </w:trPr>
        <w:tc>
          <w:tcPr>
            <w:tcW w:w="720" w:type="dxa"/>
            <w:vMerge/>
            <w:tcBorders>
              <w:top w:val="nil"/>
              <w:left w:val="single" w:sz="4" w:space="0" w:color="auto"/>
              <w:bottom w:val="single" w:sz="4" w:space="0" w:color="000000"/>
              <w:right w:val="single" w:sz="4" w:space="0" w:color="auto"/>
            </w:tcBorders>
            <w:vAlign w:val="center"/>
            <w:hideMark/>
          </w:tcPr>
          <w:p w:rsidR="00EB46B0" w:rsidRPr="00EB46B0" w:rsidRDefault="00EB46B0" w:rsidP="00EB46B0">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EB46B0" w:rsidRPr="00EB46B0" w:rsidRDefault="00EB46B0" w:rsidP="00EB46B0">
            <w:pPr>
              <w:widowControl/>
              <w:jc w:val="center"/>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R5</w:t>
            </w:r>
          </w:p>
        </w:tc>
        <w:tc>
          <w:tcPr>
            <w:tcW w:w="1920" w:type="dxa"/>
            <w:tcBorders>
              <w:top w:val="nil"/>
              <w:left w:val="nil"/>
              <w:bottom w:val="single" w:sz="4" w:space="0" w:color="auto"/>
              <w:right w:val="single" w:sz="4" w:space="0" w:color="auto"/>
            </w:tcBorders>
            <w:shd w:val="clear" w:color="000000" w:fill="FFFFFF"/>
            <w:vAlign w:val="center"/>
            <w:hideMark/>
          </w:tcPr>
          <w:p w:rsidR="00EB46B0" w:rsidRPr="00EB46B0" w:rsidRDefault="00EB46B0" w:rsidP="00EB46B0">
            <w:pPr>
              <w:widowControl/>
              <w:jc w:val="center"/>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高</w:t>
            </w:r>
          </w:p>
        </w:tc>
        <w:tc>
          <w:tcPr>
            <w:tcW w:w="2040" w:type="dxa"/>
            <w:tcBorders>
              <w:top w:val="nil"/>
              <w:left w:val="nil"/>
              <w:bottom w:val="single" w:sz="4" w:space="0" w:color="auto"/>
              <w:right w:val="single" w:sz="4" w:space="0" w:color="auto"/>
            </w:tcBorders>
            <w:shd w:val="clear" w:color="000000" w:fill="FFFFFF"/>
            <w:vAlign w:val="center"/>
            <w:hideMark/>
          </w:tcPr>
          <w:p w:rsidR="00EB46B0" w:rsidRPr="00EB46B0" w:rsidRDefault="00EB46B0" w:rsidP="00EB46B0">
            <w:pPr>
              <w:widowControl/>
              <w:jc w:val="center"/>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进取型</w:t>
            </w:r>
          </w:p>
        </w:tc>
        <w:tc>
          <w:tcPr>
            <w:tcW w:w="2260" w:type="dxa"/>
            <w:tcBorders>
              <w:top w:val="nil"/>
              <w:left w:val="nil"/>
              <w:bottom w:val="single" w:sz="4" w:space="0" w:color="auto"/>
              <w:right w:val="single" w:sz="4" w:space="0" w:color="auto"/>
            </w:tcBorders>
            <w:shd w:val="clear" w:color="000000" w:fill="FFFFFF"/>
            <w:vAlign w:val="center"/>
            <w:hideMark/>
          </w:tcPr>
          <w:p w:rsidR="00EB46B0" w:rsidRPr="00EB46B0" w:rsidRDefault="00EB46B0" w:rsidP="00EB46B0">
            <w:pPr>
              <w:widowControl/>
              <w:jc w:val="center"/>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风险承受</w:t>
            </w:r>
          </w:p>
        </w:tc>
      </w:tr>
    </w:tbl>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（本评级为广东南粤银行股份有限公司内部评级，仅供参考）</w:t>
      </w:r>
    </w:p>
    <w:p w:rsidR="00EB46B0" w:rsidRPr="00EB46B0" w:rsidRDefault="00EB46B0" w:rsidP="00EB46B0">
      <w:pPr>
        <w:widowControl/>
        <w:jc w:val="left"/>
        <w:rPr>
          <w:rFonts w:ascii="楷体" w:eastAsia="楷体" w:hAnsi="楷体" w:cs="宋体"/>
          <w:color w:val="000000"/>
          <w:kern w:val="0"/>
          <w:sz w:val="24"/>
          <w:szCs w:val="24"/>
        </w:rPr>
      </w:pPr>
    </w:p>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二、产品概述</w:t>
      </w:r>
    </w:p>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 xml:space="preserve">    （一）产品定义</w:t>
      </w:r>
    </w:p>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 xml:space="preserve">    （二）产品基本要素</w:t>
      </w:r>
    </w:p>
    <w:tbl>
      <w:tblPr>
        <w:tblW w:w="8500" w:type="dxa"/>
        <w:tblInd w:w="108" w:type="dxa"/>
        <w:tblLook w:val="04A0" w:firstRow="1" w:lastRow="0" w:firstColumn="1" w:lastColumn="0" w:noHBand="0" w:noVBand="1"/>
      </w:tblPr>
      <w:tblGrid>
        <w:gridCol w:w="2280"/>
        <w:gridCol w:w="6220"/>
      </w:tblGrid>
      <w:tr w:rsidR="00EB46B0" w:rsidRPr="00EB46B0" w:rsidTr="00EB46B0">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产品名称</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“宝盈理财”安逸315号人民币理财产品</w:t>
            </w:r>
          </w:p>
        </w:tc>
      </w:tr>
      <w:tr w:rsidR="00EB46B0" w:rsidRPr="00EB46B0" w:rsidTr="00EB46B0">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EB46B0" w:rsidRPr="00EB46B0" w:rsidRDefault="00EB46B0" w:rsidP="00EB46B0">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代码：GDNY_AY_315</w:t>
            </w:r>
          </w:p>
        </w:tc>
      </w:tr>
      <w:tr w:rsidR="00EB46B0" w:rsidRPr="00EB46B0" w:rsidTr="00EB46B0">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EB46B0" w:rsidRPr="00EB46B0" w:rsidRDefault="00EB46B0" w:rsidP="00EB46B0">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发行登记号：C1083015000629</w:t>
            </w:r>
          </w:p>
        </w:tc>
      </w:tr>
      <w:tr w:rsidR="00EB46B0" w:rsidRPr="00EB46B0" w:rsidTr="00EB46B0">
        <w:trPr>
          <w:trHeight w:val="64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目标客户</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经我行风险评估，评定为稳健型、平衡型、成长型、进取</w:t>
            </w:r>
            <w:proofErr w:type="gramStart"/>
            <w:r w:rsidRPr="00EB46B0">
              <w:rPr>
                <w:rFonts w:ascii="楷体" w:eastAsia="楷体" w:hAnsi="楷体" w:cs="宋体" w:hint="eastAsia"/>
                <w:color w:val="000000"/>
                <w:kern w:val="0"/>
                <w:sz w:val="24"/>
                <w:szCs w:val="24"/>
              </w:rPr>
              <w:t>型个人</w:t>
            </w:r>
            <w:proofErr w:type="gramEnd"/>
            <w:r w:rsidRPr="00EB46B0">
              <w:rPr>
                <w:rFonts w:ascii="楷体" w:eastAsia="楷体" w:hAnsi="楷体" w:cs="宋体" w:hint="eastAsia"/>
                <w:color w:val="000000"/>
                <w:kern w:val="0"/>
                <w:sz w:val="24"/>
                <w:szCs w:val="24"/>
              </w:rPr>
              <w:t>及机构客户。</w:t>
            </w:r>
          </w:p>
        </w:tc>
      </w:tr>
      <w:tr w:rsidR="00EB46B0" w:rsidRPr="00EB46B0" w:rsidTr="00EB46B0">
        <w:trPr>
          <w:trHeight w:val="61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购买方式</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通过广东南粤银行各营业网点、</w:t>
            </w:r>
            <w:proofErr w:type="gramStart"/>
            <w:r w:rsidRPr="00EB46B0">
              <w:rPr>
                <w:rFonts w:ascii="楷体" w:eastAsia="楷体" w:hAnsi="楷体" w:cs="宋体" w:hint="eastAsia"/>
                <w:color w:val="000000"/>
                <w:kern w:val="0"/>
                <w:sz w:val="24"/>
                <w:szCs w:val="24"/>
              </w:rPr>
              <w:t>广东南粤银行网银或</w:t>
            </w:r>
            <w:proofErr w:type="gramEnd"/>
            <w:r w:rsidRPr="00EB46B0">
              <w:rPr>
                <w:rFonts w:ascii="楷体" w:eastAsia="楷体" w:hAnsi="楷体" w:cs="宋体" w:hint="eastAsia"/>
                <w:color w:val="000000"/>
                <w:kern w:val="0"/>
                <w:sz w:val="24"/>
                <w:szCs w:val="24"/>
              </w:rPr>
              <w:t>广东南粤银行手机银行认购</w:t>
            </w:r>
          </w:p>
        </w:tc>
      </w:tr>
      <w:tr w:rsidR="00EB46B0" w:rsidRPr="00EB46B0" w:rsidTr="00EB46B0">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期限</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91天</w:t>
            </w:r>
          </w:p>
        </w:tc>
      </w:tr>
      <w:tr w:rsidR="00EB46B0" w:rsidRPr="00EB46B0" w:rsidTr="00EB46B0">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投资及收益币种</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人民币</w:t>
            </w:r>
          </w:p>
        </w:tc>
      </w:tr>
      <w:tr w:rsidR="00EB46B0" w:rsidRPr="00EB46B0" w:rsidTr="00EB46B0">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产品类型</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保本浮动收益型</w:t>
            </w:r>
          </w:p>
        </w:tc>
      </w:tr>
      <w:tr w:rsidR="00EB46B0" w:rsidRPr="00EB46B0" w:rsidTr="00EB46B0">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发行规模</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以实际募集金额为准</w:t>
            </w:r>
          </w:p>
        </w:tc>
      </w:tr>
      <w:tr w:rsidR="00EB46B0" w:rsidRPr="00EB46B0" w:rsidTr="00EB46B0">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募集期</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2016年3月16日至2016年3月22日</w:t>
            </w:r>
          </w:p>
        </w:tc>
      </w:tr>
      <w:tr w:rsidR="00EB46B0" w:rsidRPr="00EB46B0" w:rsidTr="00EB46B0">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起始日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2016年3月23日。理财产品自起始日起息。</w:t>
            </w:r>
          </w:p>
        </w:tc>
      </w:tr>
      <w:tr w:rsidR="00EB46B0" w:rsidRPr="00EB46B0" w:rsidTr="00EB46B0">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到期日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2016年6月22日</w:t>
            </w:r>
          </w:p>
        </w:tc>
      </w:tr>
      <w:tr w:rsidR="00EB46B0" w:rsidRPr="00EB46B0" w:rsidTr="00EB46B0">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产品到期资金到账日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到期日后2个工作日内</w:t>
            </w:r>
          </w:p>
        </w:tc>
      </w:tr>
      <w:tr w:rsidR="00EB46B0" w:rsidRPr="00EB46B0" w:rsidTr="00EB46B0">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理财资金托管行</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中国邮政储蓄银行</w:t>
            </w:r>
          </w:p>
        </w:tc>
      </w:tr>
      <w:tr w:rsidR="00EB46B0" w:rsidRPr="00EB46B0" w:rsidTr="00EB46B0">
        <w:trPr>
          <w:trHeight w:val="310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lastRenderedPageBreak/>
              <w:t>资金投向</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EB46B0">
              <w:rPr>
                <w:rFonts w:ascii="楷体" w:eastAsia="楷体" w:hAnsi="楷体" w:cs="宋体" w:hint="eastAsia"/>
                <w:color w:val="000000"/>
                <w:kern w:val="0"/>
                <w:sz w:val="24"/>
                <w:szCs w:val="24"/>
              </w:rPr>
              <w:t>尽合理</w:t>
            </w:r>
            <w:proofErr w:type="gramEnd"/>
            <w:r w:rsidRPr="00EB46B0">
              <w:rPr>
                <w:rFonts w:ascii="楷体" w:eastAsia="楷体" w:hAnsi="楷体" w:cs="宋体" w:hint="eastAsia"/>
                <w:color w:val="000000"/>
                <w:kern w:val="0"/>
                <w:sz w:val="24"/>
                <w:szCs w:val="24"/>
              </w:rPr>
              <w:t>努力，以客户利益最大化为原则尽快使投资比例恢复至上述规定区间）。</w:t>
            </w:r>
          </w:p>
        </w:tc>
      </w:tr>
      <w:tr w:rsidR="00EB46B0" w:rsidRPr="00EB46B0" w:rsidTr="00EB46B0">
        <w:trPr>
          <w:trHeight w:val="60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46B0" w:rsidRPr="00EB46B0" w:rsidRDefault="00EB46B0" w:rsidP="00EB46B0">
            <w:pPr>
              <w:widowControl/>
              <w:jc w:val="left"/>
              <w:rPr>
                <w:rFonts w:ascii="楷体" w:eastAsia="楷体" w:hAnsi="楷体" w:cs="宋体"/>
                <w:color w:val="000000"/>
                <w:kern w:val="0"/>
                <w:sz w:val="24"/>
                <w:szCs w:val="24"/>
              </w:rPr>
            </w:pPr>
            <w:proofErr w:type="gramStart"/>
            <w:r w:rsidRPr="00EB46B0">
              <w:rPr>
                <w:rFonts w:ascii="楷体" w:eastAsia="楷体" w:hAnsi="楷体" w:cs="宋体" w:hint="eastAsia"/>
                <w:color w:val="000000"/>
                <w:kern w:val="0"/>
                <w:sz w:val="24"/>
                <w:szCs w:val="24"/>
              </w:rPr>
              <w:t>参考年化收益率</w:t>
            </w:r>
            <w:proofErr w:type="gramEnd"/>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3.4%；</w:t>
            </w:r>
          </w:p>
        </w:tc>
      </w:tr>
      <w:tr w:rsidR="00EB46B0" w:rsidRPr="00EB46B0" w:rsidTr="00EB46B0">
        <w:trPr>
          <w:trHeight w:val="211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收益率测算</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EB46B0">
              <w:rPr>
                <w:rFonts w:ascii="楷体" w:eastAsia="楷体" w:hAnsi="楷体" w:cs="宋体" w:hint="eastAsia"/>
                <w:color w:val="000000"/>
                <w:kern w:val="0"/>
                <w:sz w:val="24"/>
                <w:szCs w:val="24"/>
              </w:rPr>
              <w:t>最高年化收益率</w:t>
            </w:r>
            <w:proofErr w:type="gramEnd"/>
            <w:r w:rsidRPr="00EB46B0">
              <w:rPr>
                <w:rFonts w:ascii="楷体" w:eastAsia="楷体" w:hAnsi="楷体" w:cs="宋体" w:hint="eastAsia"/>
                <w:color w:val="000000"/>
                <w:kern w:val="0"/>
                <w:sz w:val="24"/>
                <w:szCs w:val="24"/>
              </w:rPr>
              <w:t>，超过部分作为银行投资管理费用。</w:t>
            </w:r>
          </w:p>
        </w:tc>
      </w:tr>
      <w:tr w:rsidR="00EB46B0" w:rsidRPr="00EB46B0" w:rsidTr="00EB46B0">
        <w:trPr>
          <w:trHeight w:val="81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认购起点金额</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个人客户5万元起，以1万元整数</w:t>
            </w:r>
            <w:proofErr w:type="gramStart"/>
            <w:r w:rsidRPr="00EB46B0">
              <w:rPr>
                <w:rFonts w:ascii="楷体" w:eastAsia="楷体" w:hAnsi="楷体" w:cs="宋体" w:hint="eastAsia"/>
                <w:color w:val="000000"/>
                <w:kern w:val="0"/>
                <w:sz w:val="24"/>
                <w:szCs w:val="24"/>
              </w:rPr>
              <w:t>倍</w:t>
            </w:r>
            <w:proofErr w:type="gramEnd"/>
            <w:r w:rsidRPr="00EB46B0">
              <w:rPr>
                <w:rFonts w:ascii="楷体" w:eastAsia="楷体" w:hAnsi="楷体" w:cs="宋体" w:hint="eastAsia"/>
                <w:color w:val="000000"/>
                <w:kern w:val="0"/>
                <w:sz w:val="24"/>
                <w:szCs w:val="24"/>
              </w:rPr>
              <w:t>递增，最高不超过3000万元；机构客户50万元起，以1万元整数</w:t>
            </w:r>
            <w:proofErr w:type="gramStart"/>
            <w:r w:rsidRPr="00EB46B0">
              <w:rPr>
                <w:rFonts w:ascii="楷体" w:eastAsia="楷体" w:hAnsi="楷体" w:cs="宋体" w:hint="eastAsia"/>
                <w:color w:val="000000"/>
                <w:kern w:val="0"/>
                <w:sz w:val="24"/>
                <w:szCs w:val="24"/>
              </w:rPr>
              <w:t>倍</w:t>
            </w:r>
            <w:proofErr w:type="gramEnd"/>
            <w:r w:rsidRPr="00EB46B0">
              <w:rPr>
                <w:rFonts w:ascii="楷体" w:eastAsia="楷体" w:hAnsi="楷体" w:cs="宋体" w:hint="eastAsia"/>
                <w:color w:val="000000"/>
                <w:kern w:val="0"/>
                <w:sz w:val="24"/>
                <w:szCs w:val="24"/>
              </w:rPr>
              <w:t>递增，最高不超过600万元</w:t>
            </w:r>
          </w:p>
        </w:tc>
      </w:tr>
      <w:tr w:rsidR="00EB46B0" w:rsidRPr="00EB46B0" w:rsidTr="00EB46B0">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收益计算方法</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期末收益＝投资本金×实际收益率×实际理财天数/365</w:t>
            </w:r>
          </w:p>
        </w:tc>
      </w:tr>
      <w:tr w:rsidR="00EB46B0" w:rsidRPr="00EB46B0" w:rsidTr="00EB46B0">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提前终止权</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客户无权提前终止该产品</w:t>
            </w:r>
          </w:p>
        </w:tc>
      </w:tr>
      <w:tr w:rsidR="00EB46B0" w:rsidRPr="00EB46B0" w:rsidTr="00EB46B0">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税务处理</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我行不代扣代缴，但法律、法规另有规定除外</w:t>
            </w:r>
          </w:p>
        </w:tc>
      </w:tr>
      <w:tr w:rsidR="00EB46B0" w:rsidRPr="00EB46B0" w:rsidTr="00EB46B0">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其他规定</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1、到期日至到账日之间，客户资金不计利息</w:t>
            </w:r>
          </w:p>
        </w:tc>
      </w:tr>
      <w:tr w:rsidR="00EB46B0" w:rsidRPr="00EB46B0" w:rsidTr="00EB46B0">
        <w:trPr>
          <w:trHeight w:val="100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EB46B0" w:rsidRPr="00EB46B0" w:rsidRDefault="00EB46B0" w:rsidP="00EB46B0">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EB46B0" w:rsidRPr="00EB46B0" w:rsidRDefault="00EB46B0" w:rsidP="00EB46B0">
      <w:pPr>
        <w:widowControl/>
        <w:jc w:val="left"/>
        <w:rPr>
          <w:rFonts w:ascii="楷体" w:eastAsia="楷体" w:hAnsi="楷体" w:cs="宋体"/>
          <w:color w:val="000000"/>
          <w:kern w:val="0"/>
          <w:sz w:val="24"/>
          <w:szCs w:val="24"/>
        </w:rPr>
      </w:pPr>
      <w:bookmarkStart w:id="0" w:name="_GoBack"/>
      <w:r w:rsidRPr="00EB46B0">
        <w:rPr>
          <w:rFonts w:ascii="楷体" w:eastAsia="楷体" w:hAnsi="楷体" w:cs="宋体" w:hint="eastAsia"/>
          <w:color w:val="000000"/>
          <w:kern w:val="0"/>
          <w:sz w:val="24"/>
          <w:szCs w:val="24"/>
        </w:rPr>
        <w:t>三、产品属性</w:t>
      </w:r>
    </w:p>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 xml:space="preserve">    （一）理财本金与收益测算</w:t>
      </w:r>
    </w:p>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 xml:space="preserve">    本理财计划为保本浮动收益型，到期</w:t>
      </w:r>
      <w:proofErr w:type="gramStart"/>
      <w:r w:rsidRPr="00EB46B0">
        <w:rPr>
          <w:rFonts w:ascii="楷体" w:eastAsia="楷体" w:hAnsi="楷体" w:cs="宋体" w:hint="eastAsia"/>
          <w:color w:val="000000"/>
          <w:kern w:val="0"/>
          <w:sz w:val="24"/>
          <w:szCs w:val="24"/>
        </w:rPr>
        <w:t>参考年化收益率</w:t>
      </w:r>
      <w:proofErr w:type="gramEnd"/>
      <w:r w:rsidRPr="00EB46B0">
        <w:rPr>
          <w:rFonts w:ascii="楷体" w:eastAsia="楷体" w:hAnsi="楷体" w:cs="宋体" w:hint="eastAsia"/>
          <w:color w:val="000000"/>
          <w:kern w:val="0"/>
          <w:sz w:val="24"/>
          <w:szCs w:val="24"/>
        </w:rPr>
        <w:t>为3.4%。广东南粤银行保证客户本金不受损失，但不对本理财产品做任何收益承诺。</w:t>
      </w:r>
    </w:p>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 xml:space="preserve">    1、理财计划本金与收益率测算</w:t>
      </w:r>
    </w:p>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 xml:space="preserve">    （1）收益测算公式：</w:t>
      </w:r>
    </w:p>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 xml:space="preserve">    本产品收益＝投资收益—投资相关成本</w:t>
      </w:r>
    </w:p>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 xml:space="preserve">    理财产品到期支付款项=理财产品本金+本产品收益</w:t>
      </w:r>
    </w:p>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 xml:space="preserve">    （2）收益测算说明：</w:t>
      </w:r>
    </w:p>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 xml:space="preserve">    投资者到期收到款项按四舍五入法保留两位小数。</w:t>
      </w:r>
    </w:p>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 xml:space="preserve">    2、投资者所得收益说明:</w:t>
      </w:r>
      <w:r w:rsidRPr="00EB46B0">
        <w:rPr>
          <w:rFonts w:ascii="楷体" w:eastAsia="楷体" w:hAnsi="楷体" w:cs="宋体" w:hint="eastAsia"/>
          <w:color w:val="FF0000"/>
          <w:kern w:val="0"/>
          <w:sz w:val="24"/>
          <w:szCs w:val="24"/>
        </w:rPr>
        <w:t xml:space="preserve"> </w:t>
      </w:r>
    </w:p>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lastRenderedPageBreak/>
        <w:t xml:space="preserve">    （1）</w:t>
      </w:r>
      <w:r w:rsidRPr="00EB46B0">
        <w:rPr>
          <w:rFonts w:ascii="楷体" w:eastAsia="楷体" w:hAnsi="楷体" w:cs="宋体" w:hint="eastAsia"/>
          <w:kern w:val="0"/>
          <w:sz w:val="24"/>
          <w:szCs w:val="24"/>
        </w:rPr>
        <w:t>当理财计划实现</w:t>
      </w:r>
      <w:proofErr w:type="gramStart"/>
      <w:r w:rsidRPr="00EB46B0">
        <w:rPr>
          <w:rFonts w:ascii="楷体" w:eastAsia="楷体" w:hAnsi="楷体" w:cs="宋体" w:hint="eastAsia"/>
          <w:kern w:val="0"/>
          <w:sz w:val="24"/>
          <w:szCs w:val="24"/>
        </w:rPr>
        <w:t>的年化收益率</w:t>
      </w:r>
      <w:proofErr w:type="gramEnd"/>
      <w:r w:rsidRPr="00EB46B0">
        <w:rPr>
          <w:rFonts w:ascii="楷体" w:eastAsia="楷体" w:hAnsi="楷体" w:cs="宋体" w:hint="eastAsia"/>
          <w:kern w:val="0"/>
          <w:sz w:val="24"/>
          <w:szCs w:val="24"/>
        </w:rPr>
        <w:t>超出</w:t>
      </w:r>
      <w:proofErr w:type="gramStart"/>
      <w:r w:rsidRPr="00EB46B0">
        <w:rPr>
          <w:rFonts w:ascii="楷体" w:eastAsia="楷体" w:hAnsi="楷体" w:cs="宋体" w:hint="eastAsia"/>
          <w:kern w:val="0"/>
          <w:sz w:val="24"/>
          <w:szCs w:val="24"/>
        </w:rPr>
        <w:t>参考年化收益率</w:t>
      </w:r>
      <w:proofErr w:type="gramEnd"/>
      <w:r w:rsidRPr="00EB46B0">
        <w:rPr>
          <w:rFonts w:ascii="楷体" w:eastAsia="楷体" w:hAnsi="楷体" w:cs="宋体" w:hint="eastAsia"/>
          <w:kern w:val="0"/>
          <w:sz w:val="24"/>
          <w:szCs w:val="24"/>
        </w:rPr>
        <w:t>时，投资者只能获得本说明书中注明的对应档次</w:t>
      </w:r>
      <w:proofErr w:type="gramStart"/>
      <w:r w:rsidRPr="00EB46B0">
        <w:rPr>
          <w:rFonts w:ascii="楷体" w:eastAsia="楷体" w:hAnsi="楷体" w:cs="宋体" w:hint="eastAsia"/>
          <w:kern w:val="0"/>
          <w:sz w:val="24"/>
          <w:szCs w:val="24"/>
        </w:rPr>
        <w:t>参考年化收益率</w:t>
      </w:r>
      <w:proofErr w:type="gramEnd"/>
      <w:r w:rsidRPr="00EB46B0">
        <w:rPr>
          <w:rFonts w:ascii="楷体" w:eastAsia="楷体" w:hAnsi="楷体" w:cs="宋体" w:hint="eastAsia"/>
          <w:kern w:val="0"/>
          <w:sz w:val="24"/>
          <w:szCs w:val="24"/>
        </w:rPr>
        <w:t>，超出部分作为广东南粤银行管理费；若小于本说明书中的对应档次的</w:t>
      </w:r>
      <w:proofErr w:type="gramStart"/>
      <w:r w:rsidRPr="00EB46B0">
        <w:rPr>
          <w:rFonts w:ascii="楷体" w:eastAsia="楷体" w:hAnsi="楷体" w:cs="宋体" w:hint="eastAsia"/>
          <w:kern w:val="0"/>
          <w:sz w:val="24"/>
          <w:szCs w:val="24"/>
        </w:rPr>
        <w:t>参考年化收益率</w:t>
      </w:r>
      <w:proofErr w:type="gramEnd"/>
      <w:r w:rsidRPr="00EB46B0">
        <w:rPr>
          <w:rFonts w:ascii="楷体" w:eastAsia="楷体" w:hAnsi="楷体" w:cs="宋体" w:hint="eastAsia"/>
          <w:kern w:val="0"/>
          <w:sz w:val="24"/>
          <w:szCs w:val="24"/>
        </w:rPr>
        <w:t>，投资者到</w:t>
      </w:r>
      <w:proofErr w:type="gramStart"/>
      <w:r w:rsidRPr="00EB46B0">
        <w:rPr>
          <w:rFonts w:ascii="楷体" w:eastAsia="楷体" w:hAnsi="楷体" w:cs="宋体" w:hint="eastAsia"/>
          <w:kern w:val="0"/>
          <w:sz w:val="24"/>
          <w:szCs w:val="24"/>
        </w:rPr>
        <w:t>期年化</w:t>
      </w:r>
      <w:proofErr w:type="gramEnd"/>
      <w:r w:rsidRPr="00EB46B0">
        <w:rPr>
          <w:rFonts w:ascii="楷体" w:eastAsia="楷体" w:hAnsi="楷体" w:cs="宋体" w:hint="eastAsia"/>
          <w:kern w:val="0"/>
          <w:sz w:val="24"/>
          <w:szCs w:val="24"/>
        </w:rPr>
        <w:t>收益率则根据资产实际回收情况计算。</w:t>
      </w:r>
    </w:p>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 xml:space="preserve">    计算公式：</w:t>
      </w:r>
    </w:p>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 xml:space="preserve">    投资者理财收益=理财本金×投资者到</w:t>
      </w:r>
      <w:proofErr w:type="gramStart"/>
      <w:r w:rsidRPr="00EB46B0">
        <w:rPr>
          <w:rFonts w:ascii="楷体" w:eastAsia="楷体" w:hAnsi="楷体" w:cs="宋体" w:hint="eastAsia"/>
          <w:color w:val="000000"/>
          <w:kern w:val="0"/>
          <w:sz w:val="24"/>
          <w:szCs w:val="24"/>
        </w:rPr>
        <w:t>期年化</w:t>
      </w:r>
      <w:proofErr w:type="gramEnd"/>
      <w:r w:rsidRPr="00EB46B0">
        <w:rPr>
          <w:rFonts w:ascii="楷体" w:eastAsia="楷体" w:hAnsi="楷体" w:cs="宋体" w:hint="eastAsia"/>
          <w:color w:val="000000"/>
          <w:kern w:val="0"/>
          <w:sz w:val="24"/>
          <w:szCs w:val="24"/>
        </w:rPr>
        <w:t>收益率×实际理财天数/365</w:t>
      </w:r>
    </w:p>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 xml:space="preserve">    （2）计算示例： </w:t>
      </w:r>
    </w:p>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 xml:space="preserve">    假设客户理财本金为50,000元，对应档次的预期最高</w:t>
      </w:r>
      <w:proofErr w:type="gramStart"/>
      <w:r w:rsidRPr="00EB46B0">
        <w:rPr>
          <w:rFonts w:ascii="楷体" w:eastAsia="楷体" w:hAnsi="楷体" w:cs="宋体" w:hint="eastAsia"/>
          <w:color w:val="000000"/>
          <w:kern w:val="0"/>
          <w:sz w:val="24"/>
          <w:szCs w:val="24"/>
        </w:rPr>
        <w:t>年化参考</w:t>
      </w:r>
      <w:proofErr w:type="gramEnd"/>
      <w:r w:rsidRPr="00EB46B0">
        <w:rPr>
          <w:rFonts w:ascii="楷体" w:eastAsia="楷体" w:hAnsi="楷体" w:cs="宋体" w:hint="eastAsia"/>
          <w:color w:val="000000"/>
          <w:kern w:val="0"/>
          <w:sz w:val="24"/>
          <w:szCs w:val="24"/>
        </w:rPr>
        <w:t>收益率为3.4%，实际理财天数91天，</w:t>
      </w:r>
    </w:p>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 xml:space="preserve">    A:若客户理财产品到期实现</w:t>
      </w:r>
      <w:proofErr w:type="gramStart"/>
      <w:r w:rsidRPr="00EB46B0">
        <w:rPr>
          <w:rFonts w:ascii="楷体" w:eastAsia="楷体" w:hAnsi="楷体" w:cs="宋体" w:hint="eastAsia"/>
          <w:color w:val="000000"/>
          <w:kern w:val="0"/>
          <w:sz w:val="24"/>
          <w:szCs w:val="24"/>
        </w:rPr>
        <w:t>的年化收益率</w:t>
      </w:r>
      <w:proofErr w:type="gramEnd"/>
      <w:r w:rsidRPr="00EB46B0">
        <w:rPr>
          <w:rFonts w:ascii="楷体" w:eastAsia="楷体" w:hAnsi="楷体" w:cs="宋体" w:hint="eastAsia"/>
          <w:color w:val="000000"/>
          <w:kern w:val="0"/>
          <w:sz w:val="24"/>
          <w:szCs w:val="24"/>
        </w:rPr>
        <w:t>为3.5%，则投资者的理财收益为：</w:t>
      </w:r>
    </w:p>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 xml:space="preserve">    投资者的理财收益=50,000×3.4%×91/365= 423.84元</w:t>
      </w:r>
    </w:p>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 xml:space="preserve">    B:若客户理财产品到期实现</w:t>
      </w:r>
      <w:proofErr w:type="gramStart"/>
      <w:r w:rsidRPr="00EB46B0">
        <w:rPr>
          <w:rFonts w:ascii="楷体" w:eastAsia="楷体" w:hAnsi="楷体" w:cs="宋体" w:hint="eastAsia"/>
          <w:color w:val="000000"/>
          <w:kern w:val="0"/>
          <w:sz w:val="24"/>
          <w:szCs w:val="24"/>
        </w:rPr>
        <w:t>的年化收益率</w:t>
      </w:r>
      <w:proofErr w:type="gramEnd"/>
      <w:r w:rsidRPr="00EB46B0">
        <w:rPr>
          <w:rFonts w:ascii="楷体" w:eastAsia="楷体" w:hAnsi="楷体" w:cs="宋体" w:hint="eastAsia"/>
          <w:color w:val="000000"/>
          <w:kern w:val="0"/>
          <w:sz w:val="24"/>
          <w:szCs w:val="24"/>
        </w:rPr>
        <w:t>为3.3%，则投资者的理财收益为：</w:t>
      </w:r>
    </w:p>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 xml:space="preserve">    投资者的理财收益=50,000×3.3%×91/365= 411.37元</w:t>
      </w:r>
    </w:p>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 xml:space="preserve">    （上述示例数据均采用假设数据计算，测算收益不等于实际收益，投资须谨慎）</w:t>
      </w:r>
    </w:p>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 xml:space="preserve">    （二）</w:t>
      </w:r>
      <w:r w:rsidRPr="00EB46B0">
        <w:rPr>
          <w:rFonts w:ascii="楷体" w:eastAsia="楷体" w:hAnsi="楷体" w:cs="宋体" w:hint="eastAsia"/>
          <w:b/>
          <w:bCs/>
          <w:color w:val="000000"/>
          <w:kern w:val="0"/>
          <w:sz w:val="24"/>
          <w:szCs w:val="24"/>
        </w:rPr>
        <w:t>提前终止及到期清算</w:t>
      </w:r>
    </w:p>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EB46B0">
        <w:rPr>
          <w:rFonts w:ascii="楷体" w:eastAsia="楷体" w:hAnsi="楷体" w:cs="宋体" w:hint="eastAsia"/>
          <w:color w:val="000000"/>
          <w:kern w:val="0"/>
          <w:sz w:val="24"/>
          <w:szCs w:val="24"/>
        </w:rPr>
        <w:t>遇政策</w:t>
      </w:r>
      <w:proofErr w:type="gramEnd"/>
      <w:r w:rsidRPr="00EB46B0">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 xml:space="preserve">    2、到期清算日：2016年6月22日至2016年6月23日期间，逢假期顺延。适用假期：中国公众假期。清算期</w:t>
      </w:r>
      <w:proofErr w:type="gramStart"/>
      <w:r w:rsidRPr="00EB46B0">
        <w:rPr>
          <w:rFonts w:ascii="楷体" w:eastAsia="楷体" w:hAnsi="楷体" w:cs="宋体" w:hint="eastAsia"/>
          <w:color w:val="000000"/>
          <w:kern w:val="0"/>
          <w:sz w:val="24"/>
          <w:szCs w:val="24"/>
        </w:rPr>
        <w:t>内本理财</w:t>
      </w:r>
      <w:proofErr w:type="gramEnd"/>
      <w:r w:rsidRPr="00EB46B0">
        <w:rPr>
          <w:rFonts w:ascii="楷体" w:eastAsia="楷体" w:hAnsi="楷体" w:cs="宋体" w:hint="eastAsia"/>
          <w:color w:val="000000"/>
          <w:kern w:val="0"/>
          <w:sz w:val="24"/>
          <w:szCs w:val="24"/>
        </w:rPr>
        <w:t>计划不计息。</w:t>
      </w:r>
    </w:p>
    <w:p w:rsidR="00EB46B0" w:rsidRPr="00EB46B0" w:rsidRDefault="00EB46B0" w:rsidP="00EB46B0">
      <w:pPr>
        <w:widowControl/>
        <w:jc w:val="left"/>
        <w:rPr>
          <w:rFonts w:ascii="楷体" w:eastAsia="楷体" w:hAnsi="楷体" w:cs="宋体"/>
          <w:color w:val="000000"/>
          <w:kern w:val="0"/>
          <w:sz w:val="24"/>
          <w:szCs w:val="24"/>
        </w:rPr>
      </w:pPr>
    </w:p>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四、信息披露及投诉方式</w:t>
      </w:r>
    </w:p>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EB46B0" w:rsidRPr="00EB46B0" w:rsidRDefault="00EB46B0" w:rsidP="00EB46B0">
      <w:pPr>
        <w:widowControl/>
        <w:jc w:val="lef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EB46B0" w:rsidRPr="00EB46B0" w:rsidRDefault="00EB46B0" w:rsidP="00EB46B0">
      <w:pPr>
        <w:widowControl/>
        <w:jc w:val="left"/>
        <w:rPr>
          <w:rFonts w:ascii="楷体" w:eastAsia="楷体" w:hAnsi="楷体" w:cs="宋体"/>
          <w:color w:val="000000"/>
          <w:kern w:val="0"/>
          <w:sz w:val="24"/>
          <w:szCs w:val="24"/>
        </w:rPr>
      </w:pPr>
    </w:p>
    <w:p w:rsidR="00EB46B0" w:rsidRPr="00EB46B0" w:rsidRDefault="00EB46B0" w:rsidP="00EB46B0">
      <w:pPr>
        <w:widowControl/>
        <w:jc w:val="right"/>
        <w:rPr>
          <w:rFonts w:ascii="楷体" w:eastAsia="楷体" w:hAnsi="楷体" w:cs="宋体"/>
          <w:color w:val="000000"/>
          <w:kern w:val="0"/>
          <w:sz w:val="24"/>
          <w:szCs w:val="24"/>
        </w:rPr>
      </w:pPr>
      <w:r w:rsidRPr="00EB46B0">
        <w:rPr>
          <w:rFonts w:ascii="楷体" w:eastAsia="楷体" w:hAnsi="楷体" w:cs="宋体" w:hint="eastAsia"/>
          <w:color w:val="000000"/>
          <w:kern w:val="0"/>
          <w:sz w:val="24"/>
          <w:szCs w:val="24"/>
        </w:rPr>
        <w:t>广东南粤银行股份有限公司</w:t>
      </w:r>
    </w:p>
    <w:bookmarkEnd w:id="0"/>
    <w:p w:rsidR="00B84BEC" w:rsidRPr="00EB46B0" w:rsidRDefault="00B84BEC" w:rsidP="00EB46B0"/>
    <w:sectPr w:rsidR="00B84BEC" w:rsidRPr="00EB46B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BD2" w:rsidRDefault="006E5BD2" w:rsidP="004B5DDF">
      <w:r>
        <w:separator/>
      </w:r>
    </w:p>
  </w:endnote>
  <w:endnote w:type="continuationSeparator" w:id="0">
    <w:p w:rsidR="006E5BD2" w:rsidRDefault="006E5BD2" w:rsidP="004B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863347"/>
      <w:docPartObj>
        <w:docPartGallery w:val="Page Numbers (Bottom of Page)"/>
        <w:docPartUnique/>
      </w:docPartObj>
    </w:sdtPr>
    <w:sdtEndPr/>
    <w:sdtContent>
      <w:p w:rsidR="004B5DDF" w:rsidRDefault="004B5DDF">
        <w:pPr>
          <w:pStyle w:val="a4"/>
          <w:jc w:val="center"/>
        </w:pPr>
        <w:r>
          <w:fldChar w:fldCharType="begin"/>
        </w:r>
        <w:r>
          <w:instrText>PAGE   \* MERGEFORMAT</w:instrText>
        </w:r>
        <w:r>
          <w:fldChar w:fldCharType="separate"/>
        </w:r>
        <w:r w:rsidR="00EB46B0" w:rsidRPr="00EB46B0">
          <w:rPr>
            <w:noProof/>
            <w:lang w:val="zh-CN"/>
          </w:rPr>
          <w:t>4</w:t>
        </w:r>
        <w:r>
          <w:fldChar w:fldCharType="end"/>
        </w:r>
      </w:p>
    </w:sdtContent>
  </w:sdt>
  <w:p w:rsidR="004B5DDF" w:rsidRDefault="004B5D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BD2" w:rsidRDefault="006E5BD2" w:rsidP="004B5DDF">
      <w:r>
        <w:separator/>
      </w:r>
    </w:p>
  </w:footnote>
  <w:footnote w:type="continuationSeparator" w:id="0">
    <w:p w:rsidR="006E5BD2" w:rsidRDefault="006E5BD2" w:rsidP="004B5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FE"/>
    <w:rsid w:val="00002711"/>
    <w:rsid w:val="00051F69"/>
    <w:rsid w:val="00091CFE"/>
    <w:rsid w:val="000E3E38"/>
    <w:rsid w:val="001D25AB"/>
    <w:rsid w:val="001E425F"/>
    <w:rsid w:val="001E4CDD"/>
    <w:rsid w:val="00201132"/>
    <w:rsid w:val="00222A1B"/>
    <w:rsid w:val="00243F0E"/>
    <w:rsid w:val="00286325"/>
    <w:rsid w:val="002C0C42"/>
    <w:rsid w:val="004120CA"/>
    <w:rsid w:val="00460FC2"/>
    <w:rsid w:val="00473A02"/>
    <w:rsid w:val="004B3B91"/>
    <w:rsid w:val="004B5DDF"/>
    <w:rsid w:val="004B5E52"/>
    <w:rsid w:val="00513E1E"/>
    <w:rsid w:val="0058324E"/>
    <w:rsid w:val="005A7019"/>
    <w:rsid w:val="006238B5"/>
    <w:rsid w:val="00666449"/>
    <w:rsid w:val="00680A97"/>
    <w:rsid w:val="006864CA"/>
    <w:rsid w:val="00692785"/>
    <w:rsid w:val="006C109B"/>
    <w:rsid w:val="006E5BD2"/>
    <w:rsid w:val="007467D6"/>
    <w:rsid w:val="0085658E"/>
    <w:rsid w:val="008B3E75"/>
    <w:rsid w:val="008C13EB"/>
    <w:rsid w:val="008E39DE"/>
    <w:rsid w:val="009B7D61"/>
    <w:rsid w:val="00AC554E"/>
    <w:rsid w:val="00B84BEC"/>
    <w:rsid w:val="00BB0918"/>
    <w:rsid w:val="00C2562C"/>
    <w:rsid w:val="00C83948"/>
    <w:rsid w:val="00CE25B0"/>
    <w:rsid w:val="00DA1F31"/>
    <w:rsid w:val="00E3180D"/>
    <w:rsid w:val="00E44BEB"/>
    <w:rsid w:val="00E953A2"/>
    <w:rsid w:val="00EA0289"/>
    <w:rsid w:val="00EB46B0"/>
    <w:rsid w:val="00EC2C89"/>
    <w:rsid w:val="00EE7861"/>
    <w:rsid w:val="00F24B41"/>
    <w:rsid w:val="00F952CB"/>
    <w:rsid w:val="00FC6E75"/>
    <w:rsid w:val="00FF5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D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DDF"/>
    <w:rPr>
      <w:sz w:val="18"/>
      <w:szCs w:val="18"/>
    </w:rPr>
  </w:style>
  <w:style w:type="paragraph" w:styleId="a4">
    <w:name w:val="footer"/>
    <w:basedOn w:val="a"/>
    <w:link w:val="Char0"/>
    <w:uiPriority w:val="99"/>
    <w:unhideWhenUsed/>
    <w:rsid w:val="004B5DDF"/>
    <w:pPr>
      <w:tabs>
        <w:tab w:val="center" w:pos="4153"/>
        <w:tab w:val="right" w:pos="8306"/>
      </w:tabs>
      <w:snapToGrid w:val="0"/>
      <w:jc w:val="left"/>
    </w:pPr>
    <w:rPr>
      <w:sz w:val="18"/>
      <w:szCs w:val="18"/>
    </w:rPr>
  </w:style>
  <w:style w:type="character" w:customStyle="1" w:styleId="Char0">
    <w:name w:val="页脚 Char"/>
    <w:basedOn w:val="a0"/>
    <w:link w:val="a4"/>
    <w:uiPriority w:val="99"/>
    <w:rsid w:val="004B5D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4800">
      <w:bodyDiv w:val="1"/>
      <w:marLeft w:val="0"/>
      <w:marRight w:val="0"/>
      <w:marTop w:val="0"/>
      <w:marBottom w:val="0"/>
      <w:divBdr>
        <w:top w:val="none" w:sz="0" w:space="0" w:color="auto"/>
        <w:left w:val="none" w:sz="0" w:space="0" w:color="auto"/>
        <w:bottom w:val="none" w:sz="0" w:space="0" w:color="auto"/>
        <w:right w:val="none" w:sz="0" w:space="0" w:color="auto"/>
      </w:divBdr>
    </w:div>
    <w:div w:id="53166677">
      <w:bodyDiv w:val="1"/>
      <w:marLeft w:val="0"/>
      <w:marRight w:val="0"/>
      <w:marTop w:val="0"/>
      <w:marBottom w:val="0"/>
      <w:divBdr>
        <w:top w:val="none" w:sz="0" w:space="0" w:color="auto"/>
        <w:left w:val="none" w:sz="0" w:space="0" w:color="auto"/>
        <w:bottom w:val="none" w:sz="0" w:space="0" w:color="auto"/>
        <w:right w:val="none" w:sz="0" w:space="0" w:color="auto"/>
      </w:divBdr>
    </w:div>
    <w:div w:id="201403993">
      <w:bodyDiv w:val="1"/>
      <w:marLeft w:val="0"/>
      <w:marRight w:val="0"/>
      <w:marTop w:val="0"/>
      <w:marBottom w:val="0"/>
      <w:divBdr>
        <w:top w:val="none" w:sz="0" w:space="0" w:color="auto"/>
        <w:left w:val="none" w:sz="0" w:space="0" w:color="auto"/>
        <w:bottom w:val="none" w:sz="0" w:space="0" w:color="auto"/>
        <w:right w:val="none" w:sz="0" w:space="0" w:color="auto"/>
      </w:divBdr>
    </w:div>
    <w:div w:id="425544354">
      <w:bodyDiv w:val="1"/>
      <w:marLeft w:val="0"/>
      <w:marRight w:val="0"/>
      <w:marTop w:val="0"/>
      <w:marBottom w:val="0"/>
      <w:divBdr>
        <w:top w:val="none" w:sz="0" w:space="0" w:color="auto"/>
        <w:left w:val="none" w:sz="0" w:space="0" w:color="auto"/>
        <w:bottom w:val="none" w:sz="0" w:space="0" w:color="auto"/>
        <w:right w:val="none" w:sz="0" w:space="0" w:color="auto"/>
      </w:divBdr>
    </w:div>
    <w:div w:id="483937381">
      <w:bodyDiv w:val="1"/>
      <w:marLeft w:val="0"/>
      <w:marRight w:val="0"/>
      <w:marTop w:val="0"/>
      <w:marBottom w:val="0"/>
      <w:divBdr>
        <w:top w:val="none" w:sz="0" w:space="0" w:color="auto"/>
        <w:left w:val="none" w:sz="0" w:space="0" w:color="auto"/>
        <w:bottom w:val="none" w:sz="0" w:space="0" w:color="auto"/>
        <w:right w:val="none" w:sz="0" w:space="0" w:color="auto"/>
      </w:divBdr>
    </w:div>
    <w:div w:id="605886557">
      <w:bodyDiv w:val="1"/>
      <w:marLeft w:val="0"/>
      <w:marRight w:val="0"/>
      <w:marTop w:val="0"/>
      <w:marBottom w:val="0"/>
      <w:divBdr>
        <w:top w:val="none" w:sz="0" w:space="0" w:color="auto"/>
        <w:left w:val="none" w:sz="0" w:space="0" w:color="auto"/>
        <w:bottom w:val="none" w:sz="0" w:space="0" w:color="auto"/>
        <w:right w:val="none" w:sz="0" w:space="0" w:color="auto"/>
      </w:divBdr>
    </w:div>
    <w:div w:id="693461056">
      <w:bodyDiv w:val="1"/>
      <w:marLeft w:val="0"/>
      <w:marRight w:val="0"/>
      <w:marTop w:val="0"/>
      <w:marBottom w:val="0"/>
      <w:divBdr>
        <w:top w:val="none" w:sz="0" w:space="0" w:color="auto"/>
        <w:left w:val="none" w:sz="0" w:space="0" w:color="auto"/>
        <w:bottom w:val="none" w:sz="0" w:space="0" w:color="auto"/>
        <w:right w:val="none" w:sz="0" w:space="0" w:color="auto"/>
      </w:divBdr>
    </w:div>
    <w:div w:id="872890391">
      <w:bodyDiv w:val="1"/>
      <w:marLeft w:val="0"/>
      <w:marRight w:val="0"/>
      <w:marTop w:val="0"/>
      <w:marBottom w:val="0"/>
      <w:divBdr>
        <w:top w:val="none" w:sz="0" w:space="0" w:color="auto"/>
        <w:left w:val="none" w:sz="0" w:space="0" w:color="auto"/>
        <w:bottom w:val="none" w:sz="0" w:space="0" w:color="auto"/>
        <w:right w:val="none" w:sz="0" w:space="0" w:color="auto"/>
      </w:divBdr>
    </w:div>
    <w:div w:id="949320388">
      <w:bodyDiv w:val="1"/>
      <w:marLeft w:val="0"/>
      <w:marRight w:val="0"/>
      <w:marTop w:val="0"/>
      <w:marBottom w:val="0"/>
      <w:divBdr>
        <w:top w:val="none" w:sz="0" w:space="0" w:color="auto"/>
        <w:left w:val="none" w:sz="0" w:space="0" w:color="auto"/>
        <w:bottom w:val="none" w:sz="0" w:space="0" w:color="auto"/>
        <w:right w:val="none" w:sz="0" w:space="0" w:color="auto"/>
      </w:divBdr>
    </w:div>
    <w:div w:id="1116221576">
      <w:bodyDiv w:val="1"/>
      <w:marLeft w:val="0"/>
      <w:marRight w:val="0"/>
      <w:marTop w:val="0"/>
      <w:marBottom w:val="0"/>
      <w:divBdr>
        <w:top w:val="none" w:sz="0" w:space="0" w:color="auto"/>
        <w:left w:val="none" w:sz="0" w:space="0" w:color="auto"/>
        <w:bottom w:val="none" w:sz="0" w:space="0" w:color="auto"/>
        <w:right w:val="none" w:sz="0" w:space="0" w:color="auto"/>
      </w:divBdr>
    </w:div>
    <w:div w:id="1170482088">
      <w:bodyDiv w:val="1"/>
      <w:marLeft w:val="0"/>
      <w:marRight w:val="0"/>
      <w:marTop w:val="0"/>
      <w:marBottom w:val="0"/>
      <w:divBdr>
        <w:top w:val="none" w:sz="0" w:space="0" w:color="auto"/>
        <w:left w:val="none" w:sz="0" w:space="0" w:color="auto"/>
        <w:bottom w:val="none" w:sz="0" w:space="0" w:color="auto"/>
        <w:right w:val="none" w:sz="0" w:space="0" w:color="auto"/>
      </w:divBdr>
    </w:div>
    <w:div w:id="1232430120">
      <w:bodyDiv w:val="1"/>
      <w:marLeft w:val="0"/>
      <w:marRight w:val="0"/>
      <w:marTop w:val="0"/>
      <w:marBottom w:val="0"/>
      <w:divBdr>
        <w:top w:val="none" w:sz="0" w:space="0" w:color="auto"/>
        <w:left w:val="none" w:sz="0" w:space="0" w:color="auto"/>
        <w:bottom w:val="none" w:sz="0" w:space="0" w:color="auto"/>
        <w:right w:val="none" w:sz="0" w:space="0" w:color="auto"/>
      </w:divBdr>
    </w:div>
    <w:div w:id="1332368245">
      <w:bodyDiv w:val="1"/>
      <w:marLeft w:val="0"/>
      <w:marRight w:val="0"/>
      <w:marTop w:val="0"/>
      <w:marBottom w:val="0"/>
      <w:divBdr>
        <w:top w:val="none" w:sz="0" w:space="0" w:color="auto"/>
        <w:left w:val="none" w:sz="0" w:space="0" w:color="auto"/>
        <w:bottom w:val="none" w:sz="0" w:space="0" w:color="auto"/>
        <w:right w:val="none" w:sz="0" w:space="0" w:color="auto"/>
      </w:divBdr>
    </w:div>
    <w:div w:id="1395196356">
      <w:bodyDiv w:val="1"/>
      <w:marLeft w:val="0"/>
      <w:marRight w:val="0"/>
      <w:marTop w:val="0"/>
      <w:marBottom w:val="0"/>
      <w:divBdr>
        <w:top w:val="none" w:sz="0" w:space="0" w:color="auto"/>
        <w:left w:val="none" w:sz="0" w:space="0" w:color="auto"/>
        <w:bottom w:val="none" w:sz="0" w:space="0" w:color="auto"/>
        <w:right w:val="none" w:sz="0" w:space="0" w:color="auto"/>
      </w:divBdr>
    </w:div>
    <w:div w:id="1423528933">
      <w:bodyDiv w:val="1"/>
      <w:marLeft w:val="0"/>
      <w:marRight w:val="0"/>
      <w:marTop w:val="0"/>
      <w:marBottom w:val="0"/>
      <w:divBdr>
        <w:top w:val="none" w:sz="0" w:space="0" w:color="auto"/>
        <w:left w:val="none" w:sz="0" w:space="0" w:color="auto"/>
        <w:bottom w:val="none" w:sz="0" w:space="0" w:color="auto"/>
        <w:right w:val="none" w:sz="0" w:space="0" w:color="auto"/>
      </w:divBdr>
    </w:div>
    <w:div w:id="1479348074">
      <w:bodyDiv w:val="1"/>
      <w:marLeft w:val="0"/>
      <w:marRight w:val="0"/>
      <w:marTop w:val="0"/>
      <w:marBottom w:val="0"/>
      <w:divBdr>
        <w:top w:val="none" w:sz="0" w:space="0" w:color="auto"/>
        <w:left w:val="none" w:sz="0" w:space="0" w:color="auto"/>
        <w:bottom w:val="none" w:sz="0" w:space="0" w:color="auto"/>
        <w:right w:val="none" w:sz="0" w:space="0" w:color="auto"/>
      </w:divBdr>
    </w:div>
    <w:div w:id="1721706174">
      <w:bodyDiv w:val="1"/>
      <w:marLeft w:val="0"/>
      <w:marRight w:val="0"/>
      <w:marTop w:val="0"/>
      <w:marBottom w:val="0"/>
      <w:divBdr>
        <w:top w:val="none" w:sz="0" w:space="0" w:color="auto"/>
        <w:left w:val="none" w:sz="0" w:space="0" w:color="auto"/>
        <w:bottom w:val="none" w:sz="0" w:space="0" w:color="auto"/>
        <w:right w:val="none" w:sz="0" w:space="0" w:color="auto"/>
      </w:divBdr>
    </w:div>
    <w:div w:id="1800102679">
      <w:bodyDiv w:val="1"/>
      <w:marLeft w:val="0"/>
      <w:marRight w:val="0"/>
      <w:marTop w:val="0"/>
      <w:marBottom w:val="0"/>
      <w:divBdr>
        <w:top w:val="none" w:sz="0" w:space="0" w:color="auto"/>
        <w:left w:val="none" w:sz="0" w:space="0" w:color="auto"/>
        <w:bottom w:val="none" w:sz="0" w:space="0" w:color="auto"/>
        <w:right w:val="none" w:sz="0" w:space="0" w:color="auto"/>
      </w:divBdr>
    </w:div>
    <w:div w:id="1834175202">
      <w:bodyDiv w:val="1"/>
      <w:marLeft w:val="0"/>
      <w:marRight w:val="0"/>
      <w:marTop w:val="0"/>
      <w:marBottom w:val="0"/>
      <w:divBdr>
        <w:top w:val="none" w:sz="0" w:space="0" w:color="auto"/>
        <w:left w:val="none" w:sz="0" w:space="0" w:color="auto"/>
        <w:bottom w:val="none" w:sz="0" w:space="0" w:color="auto"/>
        <w:right w:val="none" w:sz="0" w:space="0" w:color="auto"/>
      </w:divBdr>
    </w:div>
    <w:div w:id="1938244839">
      <w:bodyDiv w:val="1"/>
      <w:marLeft w:val="0"/>
      <w:marRight w:val="0"/>
      <w:marTop w:val="0"/>
      <w:marBottom w:val="0"/>
      <w:divBdr>
        <w:top w:val="none" w:sz="0" w:space="0" w:color="auto"/>
        <w:left w:val="none" w:sz="0" w:space="0" w:color="auto"/>
        <w:bottom w:val="none" w:sz="0" w:space="0" w:color="auto"/>
        <w:right w:val="none" w:sz="0" w:space="0" w:color="auto"/>
      </w:divBdr>
    </w:div>
    <w:div w:id="208209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583</Words>
  <Characters>3325</Characters>
  <Application>Microsoft Office Word</Application>
  <DocSecurity>0</DocSecurity>
  <Lines>27</Lines>
  <Paragraphs>7</Paragraphs>
  <ScaleCrop>false</ScaleCrop>
  <Company>Lenovo</Company>
  <LinksUpToDate>false</LinksUpToDate>
  <CharactersWithSpaces>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2016-03-14T02:14:00Z</dcterms:created>
  <dcterms:modified xsi:type="dcterms:W3CDTF">2016-03-14T02:15:00Z</dcterms:modified>
</cp:coreProperties>
</file>