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5299" w:rsidRPr="00B65299" w:rsidRDefault="00B65299" w:rsidP="00B65299">
      <w:pPr>
        <w:widowControl/>
        <w:jc w:val="center"/>
        <w:rPr>
          <w:rFonts w:ascii="Courier New" w:eastAsia="宋体" w:hAnsi="Courier New" w:cs="Courier New"/>
          <w:b/>
          <w:bCs/>
          <w:kern w:val="0"/>
          <w:sz w:val="36"/>
          <w:szCs w:val="36"/>
        </w:rPr>
      </w:pPr>
      <w:r w:rsidRPr="00B65299">
        <w:rPr>
          <w:rFonts w:ascii="Courier New" w:eastAsia="宋体" w:hAnsi="Courier New" w:cs="Courier New"/>
          <w:b/>
          <w:bCs/>
          <w:kern w:val="0"/>
          <w:sz w:val="36"/>
          <w:szCs w:val="36"/>
        </w:rPr>
        <w:t>“</w:t>
      </w:r>
      <w:r w:rsidRPr="00B65299">
        <w:rPr>
          <w:rFonts w:ascii="Courier New" w:eastAsia="宋体" w:hAnsi="Courier New" w:cs="Courier New"/>
          <w:b/>
          <w:bCs/>
          <w:kern w:val="0"/>
          <w:sz w:val="36"/>
          <w:szCs w:val="36"/>
        </w:rPr>
        <w:t>宝盈理财</w:t>
      </w:r>
      <w:r w:rsidRPr="00B65299">
        <w:rPr>
          <w:rFonts w:ascii="Courier New" w:eastAsia="宋体" w:hAnsi="Courier New" w:cs="Courier New"/>
          <w:b/>
          <w:bCs/>
          <w:kern w:val="0"/>
          <w:sz w:val="36"/>
          <w:szCs w:val="36"/>
        </w:rPr>
        <w:t>”2016M02A02</w:t>
      </w:r>
      <w:r w:rsidRPr="00B65299">
        <w:rPr>
          <w:rFonts w:ascii="Courier New" w:eastAsia="宋体" w:hAnsi="Courier New" w:cs="Courier New"/>
          <w:b/>
          <w:bCs/>
          <w:kern w:val="0"/>
          <w:sz w:val="36"/>
          <w:szCs w:val="36"/>
        </w:rPr>
        <w:t>号人民币</w:t>
      </w:r>
      <w:r w:rsidRPr="00B65299">
        <w:rPr>
          <w:rFonts w:ascii="Courier New" w:eastAsia="宋体" w:hAnsi="Courier New" w:cs="Courier New"/>
          <w:b/>
          <w:bCs/>
          <w:kern w:val="0"/>
          <w:sz w:val="36"/>
          <w:szCs w:val="36"/>
        </w:rPr>
        <w:br/>
      </w:r>
      <w:r w:rsidRPr="00B65299">
        <w:rPr>
          <w:rFonts w:ascii="Courier New" w:eastAsia="宋体" w:hAnsi="Courier New" w:cs="Courier New"/>
          <w:b/>
          <w:bCs/>
          <w:kern w:val="0"/>
          <w:sz w:val="36"/>
          <w:szCs w:val="36"/>
        </w:rPr>
        <w:t>理财产品说明书</w:t>
      </w:r>
    </w:p>
    <w:p w:rsidR="00B65299" w:rsidRPr="00B65299" w:rsidRDefault="00B65299" w:rsidP="00B65299">
      <w:pPr>
        <w:widowControl/>
        <w:jc w:val="left"/>
        <w:rPr>
          <w:rFonts w:ascii="Courier New" w:eastAsia="宋体" w:hAnsi="Courier New" w:cs="Courier New"/>
          <w:b/>
          <w:bCs/>
          <w:color w:val="000000"/>
          <w:kern w:val="0"/>
          <w:sz w:val="24"/>
          <w:szCs w:val="24"/>
        </w:rPr>
      </w:pPr>
      <w:r w:rsidRPr="00B65299">
        <w:rPr>
          <w:rFonts w:ascii="Courier New" w:eastAsia="宋体" w:hAnsi="Courier New" w:cs="Courier New"/>
          <w:b/>
          <w:bCs/>
          <w:color w:val="000000"/>
          <w:kern w:val="0"/>
          <w:sz w:val="24"/>
          <w:szCs w:val="24"/>
        </w:rPr>
        <w:t>客户须知</w:t>
      </w:r>
    </w:p>
    <w:p w:rsidR="00B65299" w:rsidRPr="00B65299" w:rsidRDefault="00B65299" w:rsidP="00B65299">
      <w:pPr>
        <w:widowControl/>
        <w:jc w:val="left"/>
        <w:rPr>
          <w:rFonts w:ascii="楷体" w:eastAsia="楷体" w:hAnsi="楷体" w:cs="宋体"/>
          <w:color w:val="000000"/>
          <w:kern w:val="0"/>
          <w:sz w:val="24"/>
          <w:szCs w:val="24"/>
        </w:rPr>
      </w:pPr>
      <w:r w:rsidRPr="00B65299">
        <w:rPr>
          <w:rFonts w:ascii="楷体" w:eastAsia="楷体" w:hAnsi="楷体" w:cs="宋体" w:hint="eastAsia"/>
          <w:color w:val="000000"/>
          <w:kern w:val="0"/>
          <w:sz w:val="24"/>
          <w:szCs w:val="24"/>
        </w:rPr>
        <w:t xml:space="preserve">    1、本说明书与《广东南粤银行理财产品客户协议书》、《广东南粤银行“宝盈理财”理财产品适合度评估表及风险提示书》共同构成完整的不可分割的理财合同。</w:t>
      </w:r>
    </w:p>
    <w:p w:rsidR="00B65299" w:rsidRPr="00B65299" w:rsidRDefault="00B65299" w:rsidP="00B65299">
      <w:pPr>
        <w:widowControl/>
        <w:jc w:val="left"/>
        <w:rPr>
          <w:rFonts w:ascii="楷体" w:eastAsia="楷体" w:hAnsi="楷体" w:cs="宋体"/>
          <w:color w:val="000000"/>
          <w:kern w:val="0"/>
          <w:sz w:val="24"/>
          <w:szCs w:val="24"/>
        </w:rPr>
      </w:pPr>
      <w:r w:rsidRPr="00B65299">
        <w:rPr>
          <w:rFonts w:ascii="楷体" w:eastAsia="楷体" w:hAnsi="楷体" w:cs="宋体" w:hint="eastAsia"/>
          <w:color w:val="000000"/>
          <w:kern w:val="0"/>
          <w:sz w:val="24"/>
          <w:szCs w:val="24"/>
        </w:rPr>
        <w:t xml:space="preserve">    2、理财非存款，产品有风险，投资需谨慎。投资者应根据自身判断做出投资决策，不受任何误导、诱导。在认购本产品前，投资者应认真阅读本产品说明书，确保完全明白此类投资的性质、投资所涉及的风险以及自身承受风险的能力，并根据自身情况做出投资决策。</w:t>
      </w:r>
    </w:p>
    <w:p w:rsidR="00B65299" w:rsidRPr="00B65299" w:rsidRDefault="00B65299" w:rsidP="00B65299">
      <w:pPr>
        <w:widowControl/>
        <w:jc w:val="left"/>
        <w:rPr>
          <w:rFonts w:ascii="楷体" w:eastAsia="楷体" w:hAnsi="楷体" w:cs="宋体"/>
          <w:color w:val="000000"/>
          <w:kern w:val="0"/>
          <w:sz w:val="24"/>
          <w:szCs w:val="24"/>
        </w:rPr>
      </w:pPr>
      <w:r w:rsidRPr="00B65299">
        <w:rPr>
          <w:rFonts w:ascii="楷体" w:eastAsia="楷体" w:hAnsi="楷体" w:cs="宋体" w:hint="eastAsia"/>
          <w:color w:val="000000"/>
          <w:kern w:val="0"/>
          <w:sz w:val="24"/>
          <w:szCs w:val="24"/>
        </w:rPr>
        <w:t xml:space="preserve">    3、本理财产品为非保本浮动收益型产品，存在投资风险。广东南粤银行股份有限公司（以下简称“广东南粤银行”）将按照本产品说明书的约定，本着尽职勤勉的原则管理和运用投资者的理财资金，但理财产品相关的投资风险由投资者承担，相关的投资收益由投资者获得。本产品说明书对本理财产品的</w:t>
      </w:r>
      <w:proofErr w:type="gramStart"/>
      <w:r w:rsidRPr="00B65299">
        <w:rPr>
          <w:rFonts w:ascii="楷体" w:eastAsia="楷体" w:hAnsi="楷体" w:cs="宋体" w:hint="eastAsia"/>
          <w:color w:val="000000"/>
          <w:kern w:val="0"/>
          <w:sz w:val="24"/>
          <w:szCs w:val="24"/>
        </w:rPr>
        <w:t>预期年化投资收益率</w:t>
      </w:r>
      <w:proofErr w:type="gramEnd"/>
      <w:r w:rsidRPr="00B65299">
        <w:rPr>
          <w:rFonts w:ascii="楷体" w:eastAsia="楷体" w:hAnsi="楷体" w:cs="宋体" w:hint="eastAsia"/>
          <w:color w:val="000000"/>
          <w:kern w:val="0"/>
          <w:sz w:val="24"/>
          <w:szCs w:val="24"/>
        </w:rPr>
        <w:t>的表述仅供参考，属不具有法律约束力的用语，不代表投资者可能获得的实际收益，亦不构成广东南粤银行对本理财产品的任何收益承诺。</w:t>
      </w:r>
    </w:p>
    <w:p w:rsidR="00B65299" w:rsidRPr="00B65299" w:rsidRDefault="00B65299" w:rsidP="00B65299">
      <w:pPr>
        <w:widowControl/>
        <w:jc w:val="left"/>
        <w:rPr>
          <w:rFonts w:ascii="楷体" w:eastAsia="楷体" w:hAnsi="楷体" w:cs="宋体"/>
          <w:color w:val="000000"/>
          <w:kern w:val="0"/>
          <w:sz w:val="24"/>
          <w:szCs w:val="24"/>
        </w:rPr>
      </w:pPr>
      <w:r w:rsidRPr="00B65299">
        <w:rPr>
          <w:rFonts w:ascii="楷体" w:eastAsia="楷体" w:hAnsi="楷体" w:cs="宋体" w:hint="eastAsia"/>
          <w:color w:val="000000"/>
          <w:kern w:val="0"/>
          <w:sz w:val="24"/>
          <w:szCs w:val="24"/>
        </w:rPr>
        <w:t xml:space="preserve">    4、投资者若对本说明书的内容有任何疑问，请向广东南粤银行各营业网点咨询。</w:t>
      </w:r>
    </w:p>
    <w:p w:rsidR="00B65299" w:rsidRPr="00B65299" w:rsidRDefault="00B65299" w:rsidP="00B65299">
      <w:pPr>
        <w:widowControl/>
        <w:jc w:val="left"/>
        <w:rPr>
          <w:rFonts w:ascii="楷体" w:eastAsia="楷体" w:hAnsi="楷体" w:cs="宋体"/>
          <w:color w:val="000000"/>
          <w:kern w:val="0"/>
          <w:sz w:val="24"/>
          <w:szCs w:val="24"/>
        </w:rPr>
      </w:pPr>
      <w:r w:rsidRPr="00B65299">
        <w:rPr>
          <w:rFonts w:ascii="楷体" w:eastAsia="楷体" w:hAnsi="楷体" w:cs="宋体" w:hint="eastAsia"/>
          <w:color w:val="000000"/>
          <w:kern w:val="0"/>
          <w:sz w:val="24"/>
          <w:szCs w:val="24"/>
        </w:rPr>
        <w:t xml:space="preserve">    5、本说明书所有条款解释权归广东南粤银行所有。</w:t>
      </w:r>
    </w:p>
    <w:p w:rsidR="00B65299" w:rsidRPr="00B65299" w:rsidRDefault="00B65299" w:rsidP="00B65299">
      <w:pPr>
        <w:widowControl/>
        <w:jc w:val="left"/>
        <w:rPr>
          <w:rFonts w:ascii="楷体" w:eastAsia="楷体" w:hAnsi="楷体" w:cs="宋体"/>
          <w:color w:val="000000"/>
          <w:kern w:val="0"/>
          <w:sz w:val="24"/>
          <w:szCs w:val="24"/>
        </w:rPr>
      </w:pPr>
      <w:r w:rsidRPr="00B65299">
        <w:rPr>
          <w:rFonts w:ascii="楷体" w:eastAsia="楷体" w:hAnsi="楷体" w:cs="宋体" w:hint="eastAsia"/>
          <w:color w:val="000000"/>
          <w:kern w:val="0"/>
          <w:sz w:val="24"/>
          <w:szCs w:val="24"/>
        </w:rPr>
        <w:t>风险提示：</w:t>
      </w:r>
    </w:p>
    <w:p w:rsidR="00B65299" w:rsidRPr="00B65299" w:rsidRDefault="00B65299" w:rsidP="00B65299">
      <w:pPr>
        <w:widowControl/>
        <w:jc w:val="left"/>
        <w:rPr>
          <w:rFonts w:ascii="楷体" w:eastAsia="楷体" w:hAnsi="楷体" w:cs="宋体"/>
          <w:b/>
          <w:bCs/>
          <w:color w:val="000000"/>
          <w:kern w:val="0"/>
          <w:sz w:val="24"/>
          <w:szCs w:val="24"/>
        </w:rPr>
      </w:pPr>
      <w:r w:rsidRPr="00B65299">
        <w:rPr>
          <w:rFonts w:ascii="楷体" w:eastAsia="楷体" w:hAnsi="楷体" w:cs="宋体" w:hint="eastAsia"/>
          <w:b/>
          <w:bCs/>
          <w:color w:val="000000"/>
          <w:kern w:val="0"/>
          <w:sz w:val="24"/>
          <w:szCs w:val="24"/>
        </w:rPr>
        <w:t xml:space="preserve">    本理财产品为非保本浮动收益型理财产品，有投资风险，投资者应该充分认识投资风险，谨慎投资。以下风险揭示内容请投资者详细阅读，在充分了解并清楚知晓本产品蕴含风险的基础上，通过自身判断自主参与交易，并自愿承担相关风险：</w:t>
      </w:r>
    </w:p>
    <w:p w:rsidR="00B65299" w:rsidRPr="00B65299" w:rsidRDefault="00B65299" w:rsidP="00B65299">
      <w:pPr>
        <w:widowControl/>
        <w:jc w:val="left"/>
        <w:rPr>
          <w:rFonts w:ascii="楷体" w:eastAsia="楷体" w:hAnsi="楷体" w:cs="宋体"/>
          <w:color w:val="000000"/>
          <w:kern w:val="0"/>
          <w:sz w:val="24"/>
          <w:szCs w:val="24"/>
        </w:rPr>
      </w:pPr>
      <w:r w:rsidRPr="00B65299">
        <w:rPr>
          <w:rFonts w:ascii="楷体" w:eastAsia="楷体" w:hAnsi="楷体" w:cs="宋体" w:hint="eastAsia"/>
          <w:color w:val="000000"/>
          <w:kern w:val="0"/>
          <w:sz w:val="24"/>
          <w:szCs w:val="24"/>
        </w:rPr>
        <w:t xml:space="preserve">    1、信用风险：本理财产品投资但不限于信托计划、银行间市场债券、债券回购、央行票据、信托受益权等金融产品。如果信托融资的借款人、本理财产品的交易对手及债券发行人等发生信用违约，则可能影响投资收益，出现收益波动、收益为零甚至本金损失的情况；</w:t>
      </w:r>
    </w:p>
    <w:p w:rsidR="00B65299" w:rsidRPr="00B65299" w:rsidRDefault="00B65299" w:rsidP="00B65299">
      <w:pPr>
        <w:widowControl/>
        <w:jc w:val="left"/>
        <w:rPr>
          <w:rFonts w:ascii="楷体" w:eastAsia="楷体" w:hAnsi="楷体" w:cs="宋体"/>
          <w:color w:val="000000"/>
          <w:kern w:val="0"/>
          <w:sz w:val="24"/>
          <w:szCs w:val="24"/>
        </w:rPr>
      </w:pPr>
      <w:r w:rsidRPr="00B65299">
        <w:rPr>
          <w:rFonts w:ascii="楷体" w:eastAsia="楷体" w:hAnsi="楷体" w:cs="宋体" w:hint="eastAsia"/>
          <w:color w:val="000000"/>
          <w:kern w:val="0"/>
          <w:sz w:val="24"/>
          <w:szCs w:val="24"/>
        </w:rPr>
        <w:t xml:space="preserve">    2、市场风险：受各种市场因素、宏观政策因素等的影响，理财产品所投资的未到期债券、央行票据、金融债、信托融资等金融产品的市场价值可能下跌，影响理财产品收益。</w:t>
      </w:r>
      <w:r w:rsidRPr="00B65299">
        <w:rPr>
          <w:rFonts w:ascii="楷体" w:eastAsia="楷体" w:hAnsi="楷体" w:cs="宋体" w:hint="eastAsia"/>
          <w:color w:val="000000"/>
          <w:kern w:val="0"/>
          <w:sz w:val="24"/>
          <w:szCs w:val="24"/>
        </w:rPr>
        <w:br/>
        <w:t xml:space="preserve">    3、流动性风险：本理财产品存续期间，投资人在理财期限内没有提前终止权，也不设赎回，可能导致投资者需要资金时不能随时变现，隐藏流动性风险。</w:t>
      </w:r>
      <w:r w:rsidRPr="00B65299">
        <w:rPr>
          <w:rFonts w:ascii="楷体" w:eastAsia="楷体" w:hAnsi="楷体" w:cs="宋体" w:hint="eastAsia"/>
          <w:color w:val="000000"/>
          <w:kern w:val="0"/>
          <w:sz w:val="24"/>
          <w:szCs w:val="24"/>
        </w:rPr>
        <w:br/>
        <w:t xml:space="preserve">    4、政策风险：本理财产品是针对当前的相关法规和政策设计的。如国家宏观政策以及市场相关法规政策发生变化，可能影响理财产品的受理、投资、偿还等的正常进行，甚至导致本理财产品收益降低甚至本金损失。</w:t>
      </w:r>
    </w:p>
    <w:p w:rsidR="00B65299" w:rsidRPr="00B65299" w:rsidRDefault="00B65299" w:rsidP="00B65299">
      <w:pPr>
        <w:widowControl/>
        <w:jc w:val="left"/>
        <w:rPr>
          <w:rFonts w:ascii="楷体" w:eastAsia="楷体" w:hAnsi="楷体" w:cs="宋体"/>
          <w:color w:val="000000"/>
          <w:kern w:val="0"/>
          <w:sz w:val="24"/>
          <w:szCs w:val="24"/>
        </w:rPr>
      </w:pPr>
      <w:r w:rsidRPr="00B65299">
        <w:rPr>
          <w:rFonts w:ascii="楷体" w:eastAsia="楷体" w:hAnsi="楷体" w:cs="宋体" w:hint="eastAsia"/>
          <w:color w:val="000000"/>
          <w:kern w:val="0"/>
          <w:sz w:val="24"/>
          <w:szCs w:val="24"/>
        </w:rPr>
        <w:t xml:space="preserve">    5、管理风险：由于理财产品管理人受技能和管理水平等因素的限制，可能会影响本理财产品的本金和投资收益，导致本金遭受损失和理财收益处于较低水平甚至为零的风险。</w:t>
      </w:r>
    </w:p>
    <w:p w:rsidR="00B65299" w:rsidRPr="00B65299" w:rsidRDefault="00B65299" w:rsidP="00B65299">
      <w:pPr>
        <w:widowControl/>
        <w:jc w:val="left"/>
        <w:rPr>
          <w:rFonts w:ascii="楷体" w:eastAsia="楷体" w:hAnsi="楷体" w:cs="宋体"/>
          <w:color w:val="000000"/>
          <w:kern w:val="0"/>
          <w:sz w:val="24"/>
          <w:szCs w:val="24"/>
        </w:rPr>
      </w:pPr>
      <w:r w:rsidRPr="00B65299">
        <w:rPr>
          <w:rFonts w:ascii="楷体" w:eastAsia="楷体" w:hAnsi="楷体" w:cs="宋体" w:hint="eastAsia"/>
          <w:color w:val="000000"/>
          <w:kern w:val="0"/>
          <w:sz w:val="24"/>
          <w:szCs w:val="24"/>
        </w:rPr>
        <w:t xml:space="preserve">    6、理财产品不成立风险：如本理财产品募集期满，募集总额未达到规模下限或本理财产品在募集期间，市场发生剧烈波动，经广东南粤银行判断难以按照</w:t>
      </w:r>
      <w:r w:rsidRPr="00B65299">
        <w:rPr>
          <w:rFonts w:ascii="楷体" w:eastAsia="楷体" w:hAnsi="楷体" w:cs="宋体" w:hint="eastAsia"/>
          <w:color w:val="000000"/>
          <w:kern w:val="0"/>
          <w:sz w:val="24"/>
          <w:szCs w:val="24"/>
        </w:rPr>
        <w:lastRenderedPageBreak/>
        <w:t>理财产品说明书规定向投资者提供本理财产品，广东南粤银行有权决定本理财产品不成立。</w:t>
      </w:r>
    </w:p>
    <w:p w:rsidR="00B65299" w:rsidRPr="00B65299" w:rsidRDefault="00B65299" w:rsidP="00B65299">
      <w:pPr>
        <w:widowControl/>
        <w:jc w:val="left"/>
        <w:rPr>
          <w:rFonts w:ascii="楷体" w:eastAsia="楷体" w:hAnsi="楷体" w:cs="宋体"/>
          <w:color w:val="000000"/>
          <w:kern w:val="0"/>
          <w:sz w:val="24"/>
          <w:szCs w:val="24"/>
        </w:rPr>
      </w:pPr>
      <w:r w:rsidRPr="00B65299">
        <w:rPr>
          <w:rFonts w:ascii="楷体" w:eastAsia="楷体" w:hAnsi="楷体" w:cs="宋体" w:hint="eastAsia"/>
          <w:color w:val="000000"/>
          <w:kern w:val="0"/>
          <w:sz w:val="24"/>
          <w:szCs w:val="24"/>
        </w:rPr>
        <w:t xml:space="preserve">    7、提前终止的风险：在投资期内，如本理财产品发生本产品说明书 “提前终止”部分规定的情形，广东南粤银行有权提前终止本产品。投资者可能面临不能按预期期限取得预期收益及不能进行再投资的风险。</w:t>
      </w:r>
    </w:p>
    <w:p w:rsidR="00B65299" w:rsidRPr="00B65299" w:rsidRDefault="00B65299" w:rsidP="00B65299">
      <w:pPr>
        <w:widowControl/>
        <w:jc w:val="left"/>
        <w:rPr>
          <w:rFonts w:ascii="楷体" w:eastAsia="楷体" w:hAnsi="楷体" w:cs="宋体"/>
          <w:color w:val="000000"/>
          <w:kern w:val="0"/>
          <w:sz w:val="24"/>
          <w:szCs w:val="24"/>
        </w:rPr>
      </w:pPr>
      <w:r w:rsidRPr="00B65299">
        <w:rPr>
          <w:rFonts w:ascii="楷体" w:eastAsia="楷体" w:hAnsi="楷体" w:cs="宋体" w:hint="eastAsia"/>
          <w:color w:val="000000"/>
          <w:kern w:val="0"/>
          <w:sz w:val="24"/>
          <w:szCs w:val="24"/>
        </w:rPr>
        <w:t xml:space="preserve">    8、延期风险：如因理财产品项下对应的信托财产变现等原因（如信托融资逾期）造成理财产品不能按时还本付息，或因技术因素而产生的风险，如电脑系统故障等可能会造成本金及收益兑付延迟，投资者将面对理财期限延长的风险。</w:t>
      </w:r>
    </w:p>
    <w:p w:rsidR="00B65299" w:rsidRPr="00B65299" w:rsidRDefault="00B65299" w:rsidP="00B65299">
      <w:pPr>
        <w:widowControl/>
        <w:jc w:val="left"/>
        <w:rPr>
          <w:rFonts w:ascii="楷体" w:eastAsia="楷体" w:hAnsi="楷体" w:cs="宋体"/>
          <w:color w:val="000000"/>
          <w:kern w:val="0"/>
          <w:sz w:val="24"/>
          <w:szCs w:val="24"/>
        </w:rPr>
      </w:pPr>
      <w:r w:rsidRPr="00B65299">
        <w:rPr>
          <w:rFonts w:ascii="楷体" w:eastAsia="楷体" w:hAnsi="楷体" w:cs="宋体" w:hint="eastAsia"/>
          <w:color w:val="000000"/>
          <w:kern w:val="0"/>
          <w:sz w:val="24"/>
          <w:szCs w:val="24"/>
        </w:rPr>
        <w:t xml:space="preserve">    9、信息传递风险：本产品存续期内，投资者应根据本产品说明书所载明的信息披露方式及时查询本产品的相关信息。如果投资者未及时查询，或由于通讯故障、系统故障以及其他不可抗力等因素的影响使得投资者无法及时了解产品信息，并由此产生的责任和风险由投资者自行承担。</w:t>
      </w:r>
    </w:p>
    <w:p w:rsidR="00B65299" w:rsidRPr="00B65299" w:rsidRDefault="00B65299" w:rsidP="00B65299">
      <w:pPr>
        <w:widowControl/>
        <w:jc w:val="left"/>
        <w:rPr>
          <w:rFonts w:ascii="楷体" w:eastAsia="楷体" w:hAnsi="楷体" w:cs="宋体"/>
          <w:color w:val="000000"/>
          <w:kern w:val="0"/>
          <w:sz w:val="24"/>
          <w:szCs w:val="24"/>
        </w:rPr>
      </w:pPr>
      <w:r w:rsidRPr="00B65299">
        <w:rPr>
          <w:rFonts w:ascii="楷体" w:eastAsia="楷体" w:hAnsi="楷体" w:cs="宋体" w:hint="eastAsia"/>
          <w:color w:val="000000"/>
          <w:kern w:val="0"/>
          <w:sz w:val="24"/>
          <w:szCs w:val="24"/>
        </w:rPr>
        <w:t xml:space="preserve">    10、不可抗力风险：如自然灾害、金融市场危机、战争、投资市场停止交易等不可抗力、不可预见、不能克服的不可抗力事件出现，可能对本产品的产品成立、投资运作、资金返还、信息披露、公告通知或造成影响。</w:t>
      </w:r>
      <w:r w:rsidRPr="00B65299">
        <w:rPr>
          <w:rFonts w:ascii="楷体" w:eastAsia="楷体" w:hAnsi="楷体" w:cs="宋体" w:hint="eastAsia"/>
          <w:color w:val="000000"/>
          <w:kern w:val="0"/>
          <w:sz w:val="24"/>
          <w:szCs w:val="24"/>
        </w:rPr>
        <w:br/>
        <w:t xml:space="preserve">    （请投资者仔细阅读本产品说明书首页的风险提示）</w:t>
      </w:r>
    </w:p>
    <w:p w:rsidR="00B65299" w:rsidRPr="00B65299" w:rsidRDefault="00B65299" w:rsidP="00B65299">
      <w:pPr>
        <w:widowControl/>
        <w:jc w:val="left"/>
        <w:rPr>
          <w:rFonts w:ascii="楷体" w:eastAsia="楷体" w:hAnsi="楷体" w:cs="宋体"/>
          <w:b/>
          <w:bCs/>
          <w:color w:val="000000"/>
          <w:kern w:val="0"/>
          <w:sz w:val="24"/>
          <w:szCs w:val="24"/>
        </w:rPr>
      </w:pPr>
      <w:r w:rsidRPr="00B65299">
        <w:rPr>
          <w:rFonts w:ascii="楷体" w:eastAsia="楷体" w:hAnsi="楷体" w:cs="宋体" w:hint="eastAsia"/>
          <w:b/>
          <w:bCs/>
          <w:color w:val="000000"/>
          <w:kern w:val="0"/>
          <w:sz w:val="24"/>
          <w:szCs w:val="24"/>
        </w:rPr>
        <w:t>一、产品要素</w:t>
      </w:r>
    </w:p>
    <w:tbl>
      <w:tblPr>
        <w:tblW w:w="8620" w:type="dxa"/>
        <w:tblInd w:w="108" w:type="dxa"/>
        <w:tblLook w:val="04A0" w:firstRow="1" w:lastRow="0" w:firstColumn="1" w:lastColumn="0" w:noHBand="0" w:noVBand="1"/>
      </w:tblPr>
      <w:tblGrid>
        <w:gridCol w:w="1998"/>
        <w:gridCol w:w="6622"/>
      </w:tblGrid>
      <w:tr w:rsidR="00B65299" w:rsidRPr="00B65299" w:rsidTr="00B65299">
        <w:trPr>
          <w:trHeight w:val="285"/>
        </w:trPr>
        <w:tc>
          <w:tcPr>
            <w:tcW w:w="199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65299" w:rsidRPr="00B65299" w:rsidRDefault="00B65299" w:rsidP="00B65299">
            <w:pPr>
              <w:widowControl/>
              <w:jc w:val="left"/>
              <w:rPr>
                <w:rFonts w:ascii="楷体" w:eastAsia="楷体" w:hAnsi="楷体" w:cs="宋体"/>
                <w:color w:val="000000"/>
                <w:kern w:val="0"/>
                <w:sz w:val="24"/>
                <w:szCs w:val="24"/>
              </w:rPr>
            </w:pPr>
            <w:r w:rsidRPr="00B65299">
              <w:rPr>
                <w:rFonts w:ascii="楷体" w:eastAsia="楷体" w:hAnsi="楷体" w:cs="宋体" w:hint="eastAsia"/>
                <w:color w:val="000000"/>
                <w:kern w:val="0"/>
                <w:sz w:val="24"/>
                <w:szCs w:val="24"/>
              </w:rPr>
              <w:t>产品名称</w:t>
            </w:r>
          </w:p>
        </w:tc>
        <w:tc>
          <w:tcPr>
            <w:tcW w:w="6622" w:type="dxa"/>
            <w:tcBorders>
              <w:top w:val="single" w:sz="4" w:space="0" w:color="auto"/>
              <w:left w:val="nil"/>
              <w:bottom w:val="single" w:sz="4" w:space="0" w:color="auto"/>
              <w:right w:val="single" w:sz="4" w:space="0" w:color="auto"/>
            </w:tcBorders>
            <w:shd w:val="clear" w:color="auto" w:fill="auto"/>
            <w:vAlign w:val="center"/>
            <w:hideMark/>
          </w:tcPr>
          <w:p w:rsidR="00B65299" w:rsidRPr="00B65299" w:rsidRDefault="00B65299" w:rsidP="00B65299">
            <w:pPr>
              <w:widowControl/>
              <w:jc w:val="left"/>
              <w:rPr>
                <w:rFonts w:ascii="楷体" w:eastAsia="楷体" w:hAnsi="楷体" w:cs="宋体"/>
                <w:color w:val="000000"/>
                <w:kern w:val="0"/>
                <w:sz w:val="24"/>
                <w:szCs w:val="24"/>
              </w:rPr>
            </w:pPr>
            <w:r w:rsidRPr="00B65299">
              <w:rPr>
                <w:rFonts w:ascii="楷体" w:eastAsia="楷体" w:hAnsi="楷体" w:cs="宋体" w:hint="eastAsia"/>
                <w:color w:val="000000"/>
                <w:kern w:val="0"/>
                <w:sz w:val="24"/>
                <w:szCs w:val="24"/>
              </w:rPr>
              <w:t>“宝盈理财”2016M02A02号人民币理财产品</w:t>
            </w:r>
          </w:p>
        </w:tc>
      </w:tr>
      <w:tr w:rsidR="00B65299" w:rsidRPr="00B65299" w:rsidTr="00B65299">
        <w:trPr>
          <w:trHeight w:val="285"/>
        </w:trPr>
        <w:tc>
          <w:tcPr>
            <w:tcW w:w="1998" w:type="dxa"/>
            <w:vMerge/>
            <w:tcBorders>
              <w:top w:val="single" w:sz="4" w:space="0" w:color="auto"/>
              <w:left w:val="single" w:sz="4" w:space="0" w:color="auto"/>
              <w:bottom w:val="single" w:sz="4" w:space="0" w:color="auto"/>
              <w:right w:val="single" w:sz="4" w:space="0" w:color="auto"/>
            </w:tcBorders>
            <w:vAlign w:val="center"/>
            <w:hideMark/>
          </w:tcPr>
          <w:p w:rsidR="00B65299" w:rsidRPr="00B65299" w:rsidRDefault="00B65299" w:rsidP="00B65299">
            <w:pPr>
              <w:widowControl/>
              <w:jc w:val="left"/>
              <w:rPr>
                <w:rFonts w:ascii="楷体" w:eastAsia="楷体" w:hAnsi="楷体" w:cs="宋体"/>
                <w:color w:val="000000"/>
                <w:kern w:val="0"/>
                <w:sz w:val="24"/>
                <w:szCs w:val="24"/>
              </w:rPr>
            </w:pPr>
          </w:p>
        </w:tc>
        <w:tc>
          <w:tcPr>
            <w:tcW w:w="6622" w:type="dxa"/>
            <w:tcBorders>
              <w:top w:val="single" w:sz="4" w:space="0" w:color="auto"/>
              <w:left w:val="nil"/>
              <w:bottom w:val="single" w:sz="4" w:space="0" w:color="auto"/>
              <w:right w:val="single" w:sz="4" w:space="0" w:color="auto"/>
            </w:tcBorders>
            <w:shd w:val="clear" w:color="auto" w:fill="auto"/>
            <w:vAlign w:val="center"/>
            <w:hideMark/>
          </w:tcPr>
          <w:p w:rsidR="00B65299" w:rsidRPr="00B65299" w:rsidRDefault="00B65299" w:rsidP="00B65299">
            <w:pPr>
              <w:widowControl/>
              <w:jc w:val="left"/>
              <w:rPr>
                <w:rFonts w:ascii="楷体" w:eastAsia="楷体" w:hAnsi="楷体" w:cs="宋体"/>
                <w:color w:val="000000"/>
                <w:kern w:val="0"/>
                <w:sz w:val="24"/>
                <w:szCs w:val="24"/>
              </w:rPr>
            </w:pPr>
            <w:r w:rsidRPr="00B65299">
              <w:rPr>
                <w:rFonts w:ascii="楷体" w:eastAsia="楷体" w:hAnsi="楷体" w:cs="宋体" w:hint="eastAsia"/>
                <w:color w:val="000000"/>
                <w:kern w:val="0"/>
                <w:sz w:val="24"/>
                <w:szCs w:val="24"/>
              </w:rPr>
              <w:t>代码：GDNY_RY_2016_M02A02</w:t>
            </w:r>
          </w:p>
        </w:tc>
      </w:tr>
      <w:tr w:rsidR="00B65299" w:rsidRPr="00B65299" w:rsidTr="00B65299">
        <w:trPr>
          <w:trHeight w:val="285"/>
        </w:trPr>
        <w:tc>
          <w:tcPr>
            <w:tcW w:w="1998" w:type="dxa"/>
            <w:vMerge/>
            <w:tcBorders>
              <w:top w:val="single" w:sz="4" w:space="0" w:color="auto"/>
              <w:left w:val="single" w:sz="4" w:space="0" w:color="auto"/>
              <w:bottom w:val="single" w:sz="4" w:space="0" w:color="auto"/>
              <w:right w:val="single" w:sz="4" w:space="0" w:color="auto"/>
            </w:tcBorders>
            <w:vAlign w:val="center"/>
            <w:hideMark/>
          </w:tcPr>
          <w:p w:rsidR="00B65299" w:rsidRPr="00B65299" w:rsidRDefault="00B65299" w:rsidP="00B65299">
            <w:pPr>
              <w:widowControl/>
              <w:jc w:val="left"/>
              <w:rPr>
                <w:rFonts w:ascii="楷体" w:eastAsia="楷体" w:hAnsi="楷体" w:cs="宋体"/>
                <w:color w:val="000000"/>
                <w:kern w:val="0"/>
                <w:sz w:val="24"/>
                <w:szCs w:val="24"/>
              </w:rPr>
            </w:pPr>
          </w:p>
        </w:tc>
        <w:tc>
          <w:tcPr>
            <w:tcW w:w="6622" w:type="dxa"/>
            <w:tcBorders>
              <w:top w:val="single" w:sz="4" w:space="0" w:color="auto"/>
              <w:left w:val="nil"/>
              <w:bottom w:val="single" w:sz="4" w:space="0" w:color="auto"/>
              <w:right w:val="single" w:sz="4" w:space="0" w:color="auto"/>
            </w:tcBorders>
            <w:shd w:val="clear" w:color="auto" w:fill="auto"/>
            <w:vAlign w:val="center"/>
            <w:hideMark/>
          </w:tcPr>
          <w:p w:rsidR="00B65299" w:rsidRPr="00B65299" w:rsidRDefault="00B65299" w:rsidP="00B65299">
            <w:pPr>
              <w:widowControl/>
              <w:jc w:val="left"/>
              <w:rPr>
                <w:rFonts w:ascii="楷体" w:eastAsia="楷体" w:hAnsi="楷体" w:cs="宋体"/>
                <w:color w:val="000000"/>
                <w:kern w:val="0"/>
                <w:sz w:val="24"/>
                <w:szCs w:val="24"/>
              </w:rPr>
            </w:pPr>
            <w:r w:rsidRPr="00B65299">
              <w:rPr>
                <w:rFonts w:ascii="楷体" w:eastAsia="楷体" w:hAnsi="楷体" w:cs="宋体" w:hint="eastAsia"/>
                <w:color w:val="000000"/>
                <w:kern w:val="0"/>
                <w:sz w:val="24"/>
                <w:szCs w:val="24"/>
              </w:rPr>
              <w:t>发行登记号：C1083015000642</w:t>
            </w:r>
          </w:p>
        </w:tc>
      </w:tr>
      <w:tr w:rsidR="00B65299" w:rsidRPr="00B65299" w:rsidTr="00B65299">
        <w:trPr>
          <w:trHeight w:val="735"/>
        </w:trPr>
        <w:tc>
          <w:tcPr>
            <w:tcW w:w="19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5299" w:rsidRPr="00B65299" w:rsidRDefault="00B65299" w:rsidP="00B65299">
            <w:pPr>
              <w:widowControl/>
              <w:jc w:val="left"/>
              <w:rPr>
                <w:rFonts w:ascii="楷体" w:eastAsia="楷体" w:hAnsi="楷体" w:cs="宋体"/>
                <w:color w:val="000000"/>
                <w:kern w:val="0"/>
                <w:sz w:val="24"/>
                <w:szCs w:val="24"/>
              </w:rPr>
            </w:pPr>
            <w:r w:rsidRPr="00B65299">
              <w:rPr>
                <w:rFonts w:ascii="楷体" w:eastAsia="楷体" w:hAnsi="楷体" w:cs="宋体" w:hint="eastAsia"/>
                <w:color w:val="000000"/>
                <w:kern w:val="0"/>
                <w:sz w:val="24"/>
                <w:szCs w:val="24"/>
              </w:rPr>
              <w:t>目标客户</w:t>
            </w:r>
          </w:p>
        </w:tc>
        <w:tc>
          <w:tcPr>
            <w:tcW w:w="6622" w:type="dxa"/>
            <w:tcBorders>
              <w:top w:val="single" w:sz="4" w:space="0" w:color="auto"/>
              <w:left w:val="nil"/>
              <w:bottom w:val="single" w:sz="4" w:space="0" w:color="auto"/>
              <w:right w:val="single" w:sz="4" w:space="0" w:color="auto"/>
            </w:tcBorders>
            <w:shd w:val="clear" w:color="auto" w:fill="auto"/>
            <w:vAlign w:val="center"/>
            <w:hideMark/>
          </w:tcPr>
          <w:p w:rsidR="00B65299" w:rsidRPr="00B65299" w:rsidRDefault="00B65299" w:rsidP="00B65299">
            <w:pPr>
              <w:widowControl/>
              <w:jc w:val="left"/>
              <w:rPr>
                <w:rFonts w:ascii="楷体" w:eastAsia="楷体" w:hAnsi="楷体" w:cs="宋体"/>
                <w:color w:val="000000"/>
                <w:kern w:val="0"/>
                <w:sz w:val="24"/>
                <w:szCs w:val="24"/>
              </w:rPr>
            </w:pPr>
            <w:r w:rsidRPr="00B65299">
              <w:rPr>
                <w:rFonts w:ascii="楷体" w:eastAsia="楷体" w:hAnsi="楷体" w:cs="宋体" w:hint="eastAsia"/>
                <w:color w:val="000000"/>
                <w:kern w:val="0"/>
                <w:sz w:val="24"/>
                <w:szCs w:val="24"/>
              </w:rPr>
              <w:t>经我行风险评估，评定为稳健型、平衡型、成长型、进取</w:t>
            </w:r>
            <w:proofErr w:type="gramStart"/>
            <w:r w:rsidRPr="00B65299">
              <w:rPr>
                <w:rFonts w:ascii="楷体" w:eastAsia="楷体" w:hAnsi="楷体" w:cs="宋体" w:hint="eastAsia"/>
                <w:color w:val="000000"/>
                <w:kern w:val="0"/>
                <w:sz w:val="24"/>
                <w:szCs w:val="24"/>
              </w:rPr>
              <w:t>型个人</w:t>
            </w:r>
            <w:proofErr w:type="gramEnd"/>
            <w:r w:rsidRPr="00B65299">
              <w:rPr>
                <w:rFonts w:ascii="楷体" w:eastAsia="楷体" w:hAnsi="楷体" w:cs="宋体" w:hint="eastAsia"/>
                <w:color w:val="000000"/>
                <w:kern w:val="0"/>
                <w:sz w:val="24"/>
                <w:szCs w:val="24"/>
              </w:rPr>
              <w:t>及机构客户。</w:t>
            </w:r>
          </w:p>
        </w:tc>
      </w:tr>
      <w:tr w:rsidR="00B65299" w:rsidRPr="00B65299" w:rsidTr="00B65299">
        <w:trPr>
          <w:trHeight w:val="585"/>
        </w:trPr>
        <w:tc>
          <w:tcPr>
            <w:tcW w:w="19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5299" w:rsidRPr="00B65299" w:rsidRDefault="00B65299" w:rsidP="00B65299">
            <w:pPr>
              <w:widowControl/>
              <w:jc w:val="left"/>
              <w:rPr>
                <w:rFonts w:ascii="楷体" w:eastAsia="楷体" w:hAnsi="楷体" w:cs="宋体"/>
                <w:color w:val="000000"/>
                <w:kern w:val="0"/>
                <w:sz w:val="24"/>
                <w:szCs w:val="24"/>
              </w:rPr>
            </w:pPr>
            <w:r w:rsidRPr="00B65299">
              <w:rPr>
                <w:rFonts w:ascii="楷体" w:eastAsia="楷体" w:hAnsi="楷体" w:cs="宋体" w:hint="eastAsia"/>
                <w:color w:val="000000"/>
                <w:kern w:val="0"/>
                <w:sz w:val="24"/>
                <w:szCs w:val="24"/>
              </w:rPr>
              <w:t>认购起点金额</w:t>
            </w:r>
          </w:p>
        </w:tc>
        <w:tc>
          <w:tcPr>
            <w:tcW w:w="6622" w:type="dxa"/>
            <w:tcBorders>
              <w:top w:val="single" w:sz="4" w:space="0" w:color="auto"/>
              <w:left w:val="nil"/>
              <w:bottom w:val="single" w:sz="4" w:space="0" w:color="auto"/>
              <w:right w:val="single" w:sz="4" w:space="0" w:color="auto"/>
            </w:tcBorders>
            <w:shd w:val="clear" w:color="auto" w:fill="auto"/>
            <w:vAlign w:val="center"/>
            <w:hideMark/>
          </w:tcPr>
          <w:p w:rsidR="00B65299" w:rsidRPr="00B65299" w:rsidRDefault="00B65299" w:rsidP="00B65299">
            <w:pPr>
              <w:widowControl/>
              <w:jc w:val="left"/>
              <w:rPr>
                <w:rFonts w:ascii="楷体" w:eastAsia="楷体" w:hAnsi="楷体" w:cs="宋体"/>
                <w:color w:val="000000"/>
                <w:kern w:val="0"/>
                <w:sz w:val="24"/>
                <w:szCs w:val="24"/>
              </w:rPr>
            </w:pPr>
            <w:r w:rsidRPr="00B65299">
              <w:rPr>
                <w:rFonts w:ascii="楷体" w:eastAsia="楷体" w:hAnsi="楷体" w:cs="宋体" w:hint="eastAsia"/>
                <w:color w:val="000000"/>
                <w:kern w:val="0"/>
                <w:sz w:val="24"/>
                <w:szCs w:val="24"/>
              </w:rPr>
              <w:t>个人客户5万元起，以1万元整数</w:t>
            </w:r>
            <w:proofErr w:type="gramStart"/>
            <w:r w:rsidRPr="00B65299">
              <w:rPr>
                <w:rFonts w:ascii="楷体" w:eastAsia="楷体" w:hAnsi="楷体" w:cs="宋体" w:hint="eastAsia"/>
                <w:color w:val="000000"/>
                <w:kern w:val="0"/>
                <w:sz w:val="24"/>
                <w:szCs w:val="24"/>
              </w:rPr>
              <w:t>倍</w:t>
            </w:r>
            <w:proofErr w:type="gramEnd"/>
            <w:r w:rsidRPr="00B65299">
              <w:rPr>
                <w:rFonts w:ascii="楷体" w:eastAsia="楷体" w:hAnsi="楷体" w:cs="宋体" w:hint="eastAsia"/>
                <w:color w:val="000000"/>
                <w:kern w:val="0"/>
                <w:sz w:val="24"/>
                <w:szCs w:val="24"/>
              </w:rPr>
              <w:t>递增，最高不超过3000万元；机构客户50万元起，以1万元整数</w:t>
            </w:r>
            <w:proofErr w:type="gramStart"/>
            <w:r w:rsidRPr="00B65299">
              <w:rPr>
                <w:rFonts w:ascii="楷体" w:eastAsia="楷体" w:hAnsi="楷体" w:cs="宋体" w:hint="eastAsia"/>
                <w:color w:val="000000"/>
                <w:kern w:val="0"/>
                <w:sz w:val="24"/>
                <w:szCs w:val="24"/>
              </w:rPr>
              <w:t>倍</w:t>
            </w:r>
            <w:proofErr w:type="gramEnd"/>
            <w:r w:rsidRPr="00B65299">
              <w:rPr>
                <w:rFonts w:ascii="楷体" w:eastAsia="楷体" w:hAnsi="楷体" w:cs="宋体" w:hint="eastAsia"/>
                <w:color w:val="000000"/>
                <w:kern w:val="0"/>
                <w:sz w:val="24"/>
                <w:szCs w:val="24"/>
              </w:rPr>
              <w:t>递增，最高不超过600万元</w:t>
            </w:r>
          </w:p>
        </w:tc>
      </w:tr>
      <w:tr w:rsidR="00B65299" w:rsidRPr="00B65299" w:rsidTr="00B65299">
        <w:trPr>
          <w:trHeight w:val="450"/>
        </w:trPr>
        <w:tc>
          <w:tcPr>
            <w:tcW w:w="19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5299" w:rsidRPr="00B65299" w:rsidRDefault="00B65299" w:rsidP="00B65299">
            <w:pPr>
              <w:widowControl/>
              <w:jc w:val="left"/>
              <w:rPr>
                <w:rFonts w:ascii="楷体" w:eastAsia="楷体" w:hAnsi="楷体" w:cs="宋体"/>
                <w:color w:val="000000"/>
                <w:kern w:val="0"/>
                <w:sz w:val="24"/>
                <w:szCs w:val="24"/>
              </w:rPr>
            </w:pPr>
            <w:r w:rsidRPr="00B65299">
              <w:rPr>
                <w:rFonts w:ascii="楷体" w:eastAsia="楷体" w:hAnsi="楷体" w:cs="宋体" w:hint="eastAsia"/>
                <w:color w:val="000000"/>
                <w:kern w:val="0"/>
                <w:sz w:val="24"/>
                <w:szCs w:val="24"/>
              </w:rPr>
              <w:t>购买方式</w:t>
            </w:r>
          </w:p>
        </w:tc>
        <w:tc>
          <w:tcPr>
            <w:tcW w:w="6622" w:type="dxa"/>
            <w:tcBorders>
              <w:top w:val="single" w:sz="4" w:space="0" w:color="auto"/>
              <w:left w:val="nil"/>
              <w:bottom w:val="single" w:sz="4" w:space="0" w:color="auto"/>
              <w:right w:val="single" w:sz="4" w:space="0" w:color="auto"/>
            </w:tcBorders>
            <w:shd w:val="clear" w:color="auto" w:fill="auto"/>
            <w:vAlign w:val="center"/>
            <w:hideMark/>
          </w:tcPr>
          <w:p w:rsidR="00B65299" w:rsidRPr="00B65299" w:rsidRDefault="00B65299" w:rsidP="00B65299">
            <w:pPr>
              <w:widowControl/>
              <w:jc w:val="left"/>
              <w:rPr>
                <w:rFonts w:ascii="楷体" w:eastAsia="楷体" w:hAnsi="楷体" w:cs="宋体"/>
                <w:color w:val="000000"/>
                <w:kern w:val="0"/>
                <w:sz w:val="24"/>
                <w:szCs w:val="24"/>
              </w:rPr>
            </w:pPr>
            <w:r w:rsidRPr="00B65299">
              <w:rPr>
                <w:rFonts w:ascii="楷体" w:eastAsia="楷体" w:hAnsi="楷体" w:cs="宋体" w:hint="eastAsia"/>
                <w:color w:val="000000"/>
                <w:kern w:val="0"/>
                <w:sz w:val="24"/>
                <w:szCs w:val="24"/>
              </w:rPr>
              <w:t>通过广东南粤银行各营业网点或</w:t>
            </w:r>
            <w:proofErr w:type="gramStart"/>
            <w:r w:rsidRPr="00B65299">
              <w:rPr>
                <w:rFonts w:ascii="楷体" w:eastAsia="楷体" w:hAnsi="楷体" w:cs="宋体" w:hint="eastAsia"/>
                <w:color w:val="000000"/>
                <w:kern w:val="0"/>
                <w:sz w:val="24"/>
                <w:szCs w:val="24"/>
              </w:rPr>
              <w:t>广东南粤银行网银认购</w:t>
            </w:r>
            <w:proofErr w:type="gramEnd"/>
          </w:p>
        </w:tc>
      </w:tr>
      <w:tr w:rsidR="00B65299" w:rsidRPr="00B65299" w:rsidTr="00B65299">
        <w:trPr>
          <w:trHeight w:val="285"/>
        </w:trPr>
        <w:tc>
          <w:tcPr>
            <w:tcW w:w="19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5299" w:rsidRPr="00B65299" w:rsidRDefault="00B65299" w:rsidP="00B65299">
            <w:pPr>
              <w:widowControl/>
              <w:jc w:val="left"/>
              <w:rPr>
                <w:rFonts w:ascii="楷体" w:eastAsia="楷体" w:hAnsi="楷体" w:cs="宋体"/>
                <w:color w:val="000000"/>
                <w:kern w:val="0"/>
                <w:sz w:val="24"/>
                <w:szCs w:val="24"/>
              </w:rPr>
            </w:pPr>
            <w:r w:rsidRPr="00B65299">
              <w:rPr>
                <w:rFonts w:ascii="楷体" w:eastAsia="楷体" w:hAnsi="楷体" w:cs="宋体" w:hint="eastAsia"/>
                <w:color w:val="000000"/>
                <w:kern w:val="0"/>
                <w:sz w:val="24"/>
                <w:szCs w:val="24"/>
              </w:rPr>
              <w:t>期限</w:t>
            </w:r>
          </w:p>
        </w:tc>
        <w:tc>
          <w:tcPr>
            <w:tcW w:w="6622" w:type="dxa"/>
            <w:tcBorders>
              <w:top w:val="single" w:sz="4" w:space="0" w:color="auto"/>
              <w:left w:val="nil"/>
              <w:bottom w:val="single" w:sz="4" w:space="0" w:color="auto"/>
              <w:right w:val="single" w:sz="4" w:space="0" w:color="auto"/>
            </w:tcBorders>
            <w:shd w:val="clear" w:color="auto" w:fill="auto"/>
            <w:vAlign w:val="center"/>
            <w:hideMark/>
          </w:tcPr>
          <w:p w:rsidR="00B65299" w:rsidRPr="00B65299" w:rsidRDefault="00B65299" w:rsidP="00B65299">
            <w:pPr>
              <w:widowControl/>
              <w:jc w:val="left"/>
              <w:rPr>
                <w:rFonts w:ascii="楷体" w:eastAsia="楷体" w:hAnsi="楷体" w:cs="宋体"/>
                <w:color w:val="000000"/>
                <w:kern w:val="0"/>
                <w:sz w:val="24"/>
                <w:szCs w:val="24"/>
              </w:rPr>
            </w:pPr>
            <w:r w:rsidRPr="00B65299">
              <w:rPr>
                <w:rFonts w:ascii="楷体" w:eastAsia="楷体" w:hAnsi="楷体" w:cs="宋体" w:hint="eastAsia"/>
                <w:color w:val="000000"/>
                <w:kern w:val="0"/>
                <w:sz w:val="24"/>
                <w:szCs w:val="24"/>
              </w:rPr>
              <w:t>63天</w:t>
            </w:r>
          </w:p>
        </w:tc>
      </w:tr>
      <w:tr w:rsidR="00B65299" w:rsidRPr="00B65299" w:rsidTr="00B65299">
        <w:trPr>
          <w:trHeight w:val="285"/>
        </w:trPr>
        <w:tc>
          <w:tcPr>
            <w:tcW w:w="19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5299" w:rsidRPr="00B65299" w:rsidRDefault="00B65299" w:rsidP="00B65299">
            <w:pPr>
              <w:widowControl/>
              <w:jc w:val="left"/>
              <w:rPr>
                <w:rFonts w:ascii="楷体" w:eastAsia="楷体" w:hAnsi="楷体" w:cs="宋体"/>
                <w:color w:val="000000"/>
                <w:kern w:val="0"/>
                <w:sz w:val="24"/>
                <w:szCs w:val="24"/>
              </w:rPr>
            </w:pPr>
            <w:r w:rsidRPr="00B65299">
              <w:rPr>
                <w:rFonts w:ascii="楷体" w:eastAsia="楷体" w:hAnsi="楷体" w:cs="宋体" w:hint="eastAsia"/>
                <w:color w:val="000000"/>
                <w:kern w:val="0"/>
                <w:sz w:val="24"/>
                <w:szCs w:val="24"/>
              </w:rPr>
              <w:t>投资及收益币种</w:t>
            </w:r>
          </w:p>
        </w:tc>
        <w:tc>
          <w:tcPr>
            <w:tcW w:w="6622" w:type="dxa"/>
            <w:tcBorders>
              <w:top w:val="single" w:sz="4" w:space="0" w:color="auto"/>
              <w:left w:val="nil"/>
              <w:bottom w:val="single" w:sz="4" w:space="0" w:color="auto"/>
              <w:right w:val="single" w:sz="4" w:space="0" w:color="auto"/>
            </w:tcBorders>
            <w:shd w:val="clear" w:color="auto" w:fill="auto"/>
            <w:vAlign w:val="center"/>
            <w:hideMark/>
          </w:tcPr>
          <w:p w:rsidR="00B65299" w:rsidRPr="00B65299" w:rsidRDefault="00B65299" w:rsidP="00B65299">
            <w:pPr>
              <w:widowControl/>
              <w:jc w:val="left"/>
              <w:rPr>
                <w:rFonts w:ascii="楷体" w:eastAsia="楷体" w:hAnsi="楷体" w:cs="宋体"/>
                <w:color w:val="000000"/>
                <w:kern w:val="0"/>
                <w:sz w:val="24"/>
                <w:szCs w:val="24"/>
              </w:rPr>
            </w:pPr>
            <w:r w:rsidRPr="00B65299">
              <w:rPr>
                <w:rFonts w:ascii="楷体" w:eastAsia="楷体" w:hAnsi="楷体" w:cs="宋体" w:hint="eastAsia"/>
                <w:color w:val="000000"/>
                <w:kern w:val="0"/>
                <w:sz w:val="24"/>
                <w:szCs w:val="24"/>
              </w:rPr>
              <w:t>人民币</w:t>
            </w:r>
          </w:p>
        </w:tc>
      </w:tr>
      <w:tr w:rsidR="00B65299" w:rsidRPr="00B65299" w:rsidTr="00B65299">
        <w:trPr>
          <w:trHeight w:val="285"/>
        </w:trPr>
        <w:tc>
          <w:tcPr>
            <w:tcW w:w="19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5299" w:rsidRPr="00B65299" w:rsidRDefault="00B65299" w:rsidP="00B65299">
            <w:pPr>
              <w:widowControl/>
              <w:jc w:val="left"/>
              <w:rPr>
                <w:rFonts w:ascii="楷体" w:eastAsia="楷体" w:hAnsi="楷体" w:cs="宋体"/>
                <w:color w:val="000000"/>
                <w:kern w:val="0"/>
                <w:sz w:val="24"/>
                <w:szCs w:val="24"/>
              </w:rPr>
            </w:pPr>
            <w:r w:rsidRPr="00B65299">
              <w:rPr>
                <w:rFonts w:ascii="楷体" w:eastAsia="楷体" w:hAnsi="楷体" w:cs="宋体" w:hint="eastAsia"/>
                <w:color w:val="000000"/>
                <w:kern w:val="0"/>
                <w:sz w:val="24"/>
                <w:szCs w:val="24"/>
              </w:rPr>
              <w:t>产品类型</w:t>
            </w:r>
          </w:p>
        </w:tc>
        <w:tc>
          <w:tcPr>
            <w:tcW w:w="6622" w:type="dxa"/>
            <w:tcBorders>
              <w:top w:val="single" w:sz="4" w:space="0" w:color="auto"/>
              <w:left w:val="nil"/>
              <w:bottom w:val="single" w:sz="4" w:space="0" w:color="auto"/>
              <w:right w:val="single" w:sz="4" w:space="0" w:color="auto"/>
            </w:tcBorders>
            <w:shd w:val="clear" w:color="auto" w:fill="auto"/>
            <w:vAlign w:val="center"/>
            <w:hideMark/>
          </w:tcPr>
          <w:p w:rsidR="00B65299" w:rsidRPr="00B65299" w:rsidRDefault="00B65299" w:rsidP="00B65299">
            <w:pPr>
              <w:widowControl/>
              <w:jc w:val="left"/>
              <w:rPr>
                <w:rFonts w:ascii="楷体" w:eastAsia="楷体" w:hAnsi="楷体" w:cs="宋体"/>
                <w:color w:val="000000"/>
                <w:kern w:val="0"/>
                <w:sz w:val="24"/>
                <w:szCs w:val="24"/>
              </w:rPr>
            </w:pPr>
            <w:r w:rsidRPr="00B65299">
              <w:rPr>
                <w:rFonts w:ascii="楷体" w:eastAsia="楷体" w:hAnsi="楷体" w:cs="宋体" w:hint="eastAsia"/>
                <w:color w:val="000000"/>
                <w:kern w:val="0"/>
                <w:sz w:val="24"/>
                <w:szCs w:val="24"/>
              </w:rPr>
              <w:t>非保本浮动收益型</w:t>
            </w:r>
          </w:p>
        </w:tc>
      </w:tr>
      <w:tr w:rsidR="00B65299" w:rsidRPr="00B65299" w:rsidTr="00B65299">
        <w:trPr>
          <w:trHeight w:val="285"/>
        </w:trPr>
        <w:tc>
          <w:tcPr>
            <w:tcW w:w="19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5299" w:rsidRPr="00B65299" w:rsidRDefault="00B65299" w:rsidP="00B65299">
            <w:pPr>
              <w:widowControl/>
              <w:jc w:val="left"/>
              <w:rPr>
                <w:rFonts w:ascii="楷体" w:eastAsia="楷体" w:hAnsi="楷体" w:cs="宋体"/>
                <w:color w:val="000000"/>
                <w:kern w:val="0"/>
                <w:sz w:val="24"/>
                <w:szCs w:val="24"/>
              </w:rPr>
            </w:pPr>
            <w:r w:rsidRPr="00B65299">
              <w:rPr>
                <w:rFonts w:ascii="楷体" w:eastAsia="楷体" w:hAnsi="楷体" w:cs="宋体" w:hint="eastAsia"/>
                <w:color w:val="000000"/>
                <w:kern w:val="0"/>
                <w:sz w:val="24"/>
                <w:szCs w:val="24"/>
              </w:rPr>
              <w:t>发行规模</w:t>
            </w:r>
          </w:p>
        </w:tc>
        <w:tc>
          <w:tcPr>
            <w:tcW w:w="6622" w:type="dxa"/>
            <w:tcBorders>
              <w:top w:val="single" w:sz="4" w:space="0" w:color="auto"/>
              <w:left w:val="nil"/>
              <w:bottom w:val="single" w:sz="4" w:space="0" w:color="auto"/>
              <w:right w:val="single" w:sz="4" w:space="0" w:color="auto"/>
            </w:tcBorders>
            <w:shd w:val="clear" w:color="auto" w:fill="auto"/>
            <w:vAlign w:val="center"/>
            <w:hideMark/>
          </w:tcPr>
          <w:p w:rsidR="00B65299" w:rsidRPr="00B65299" w:rsidRDefault="00B65299" w:rsidP="00B65299">
            <w:pPr>
              <w:widowControl/>
              <w:jc w:val="left"/>
              <w:rPr>
                <w:rFonts w:ascii="楷体" w:eastAsia="楷体" w:hAnsi="楷体" w:cs="宋体"/>
                <w:color w:val="000000"/>
                <w:kern w:val="0"/>
                <w:sz w:val="24"/>
                <w:szCs w:val="24"/>
              </w:rPr>
            </w:pPr>
            <w:r w:rsidRPr="00B65299">
              <w:rPr>
                <w:rFonts w:ascii="楷体" w:eastAsia="楷体" w:hAnsi="楷体" w:cs="宋体" w:hint="eastAsia"/>
                <w:color w:val="000000"/>
                <w:kern w:val="0"/>
                <w:sz w:val="24"/>
                <w:szCs w:val="24"/>
              </w:rPr>
              <w:t>以实际募集金额为准</w:t>
            </w:r>
          </w:p>
        </w:tc>
      </w:tr>
      <w:tr w:rsidR="00B65299" w:rsidRPr="00B65299" w:rsidTr="00B65299">
        <w:trPr>
          <w:trHeight w:val="285"/>
        </w:trPr>
        <w:tc>
          <w:tcPr>
            <w:tcW w:w="19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5299" w:rsidRPr="00B65299" w:rsidRDefault="00B65299" w:rsidP="00B65299">
            <w:pPr>
              <w:widowControl/>
              <w:jc w:val="left"/>
              <w:rPr>
                <w:rFonts w:ascii="楷体" w:eastAsia="楷体" w:hAnsi="楷体" w:cs="宋体"/>
                <w:color w:val="000000"/>
                <w:kern w:val="0"/>
                <w:sz w:val="24"/>
                <w:szCs w:val="24"/>
              </w:rPr>
            </w:pPr>
            <w:r w:rsidRPr="00B65299">
              <w:rPr>
                <w:rFonts w:ascii="楷体" w:eastAsia="楷体" w:hAnsi="楷体" w:cs="宋体" w:hint="eastAsia"/>
                <w:color w:val="000000"/>
                <w:kern w:val="0"/>
                <w:sz w:val="24"/>
                <w:szCs w:val="24"/>
              </w:rPr>
              <w:t>申购与赎回</w:t>
            </w:r>
          </w:p>
        </w:tc>
        <w:tc>
          <w:tcPr>
            <w:tcW w:w="6622" w:type="dxa"/>
            <w:tcBorders>
              <w:top w:val="single" w:sz="4" w:space="0" w:color="auto"/>
              <w:left w:val="nil"/>
              <w:bottom w:val="single" w:sz="4" w:space="0" w:color="auto"/>
              <w:right w:val="single" w:sz="4" w:space="0" w:color="auto"/>
            </w:tcBorders>
            <w:shd w:val="clear" w:color="auto" w:fill="auto"/>
            <w:vAlign w:val="center"/>
            <w:hideMark/>
          </w:tcPr>
          <w:p w:rsidR="00B65299" w:rsidRPr="00B65299" w:rsidRDefault="00B65299" w:rsidP="00B65299">
            <w:pPr>
              <w:widowControl/>
              <w:jc w:val="left"/>
              <w:rPr>
                <w:rFonts w:ascii="楷体" w:eastAsia="楷体" w:hAnsi="楷体" w:cs="宋体"/>
                <w:color w:val="000000"/>
                <w:kern w:val="0"/>
                <w:sz w:val="24"/>
                <w:szCs w:val="24"/>
              </w:rPr>
            </w:pPr>
            <w:r w:rsidRPr="00B65299">
              <w:rPr>
                <w:rFonts w:ascii="楷体" w:eastAsia="楷体" w:hAnsi="楷体" w:cs="宋体" w:hint="eastAsia"/>
                <w:color w:val="000000"/>
                <w:kern w:val="0"/>
                <w:sz w:val="24"/>
                <w:szCs w:val="24"/>
              </w:rPr>
              <w:t>产品起息后不设申购与赎回</w:t>
            </w:r>
          </w:p>
        </w:tc>
      </w:tr>
      <w:tr w:rsidR="00B65299" w:rsidRPr="00B65299" w:rsidTr="00B65299">
        <w:trPr>
          <w:trHeight w:val="1545"/>
        </w:trPr>
        <w:tc>
          <w:tcPr>
            <w:tcW w:w="19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5299" w:rsidRPr="00B65299" w:rsidRDefault="00B65299" w:rsidP="00B65299">
            <w:pPr>
              <w:widowControl/>
              <w:jc w:val="left"/>
              <w:rPr>
                <w:rFonts w:ascii="楷体" w:eastAsia="楷体" w:hAnsi="楷体" w:cs="宋体"/>
                <w:color w:val="000000"/>
                <w:kern w:val="0"/>
                <w:sz w:val="24"/>
                <w:szCs w:val="24"/>
              </w:rPr>
            </w:pPr>
            <w:r w:rsidRPr="00B65299">
              <w:rPr>
                <w:rFonts w:ascii="楷体" w:eastAsia="楷体" w:hAnsi="楷体" w:cs="宋体" w:hint="eastAsia"/>
                <w:color w:val="000000"/>
                <w:kern w:val="0"/>
                <w:sz w:val="24"/>
                <w:szCs w:val="24"/>
              </w:rPr>
              <w:t>滚动方式</w:t>
            </w:r>
          </w:p>
        </w:tc>
        <w:tc>
          <w:tcPr>
            <w:tcW w:w="6622" w:type="dxa"/>
            <w:tcBorders>
              <w:top w:val="single" w:sz="4" w:space="0" w:color="auto"/>
              <w:left w:val="nil"/>
              <w:bottom w:val="single" w:sz="4" w:space="0" w:color="auto"/>
              <w:right w:val="single" w:sz="4" w:space="0" w:color="auto"/>
            </w:tcBorders>
            <w:shd w:val="clear" w:color="auto" w:fill="auto"/>
            <w:vAlign w:val="center"/>
            <w:hideMark/>
          </w:tcPr>
          <w:p w:rsidR="00B65299" w:rsidRPr="00B65299" w:rsidRDefault="00B65299" w:rsidP="00B65299">
            <w:pPr>
              <w:widowControl/>
              <w:jc w:val="left"/>
              <w:rPr>
                <w:rFonts w:ascii="楷体" w:eastAsia="楷体" w:hAnsi="楷体" w:cs="宋体"/>
                <w:color w:val="000000"/>
                <w:kern w:val="0"/>
                <w:sz w:val="24"/>
                <w:szCs w:val="24"/>
              </w:rPr>
            </w:pPr>
            <w:r w:rsidRPr="00B65299">
              <w:rPr>
                <w:rFonts w:ascii="楷体" w:eastAsia="楷体" w:hAnsi="楷体" w:cs="宋体" w:hint="eastAsia"/>
                <w:color w:val="000000"/>
                <w:kern w:val="0"/>
                <w:sz w:val="24"/>
                <w:szCs w:val="24"/>
              </w:rPr>
              <w:t>若客户不提前预约终止，则产品到期后，理财收益将于理财到期日后2个工作日内划入客户理财账户，本金将自动滚入下一运作周期（运作周期届满日如遇节假日，则顺延至下一个非节假日周期届满日）；若客户提前预约终止，则理财本金与收益将于理财到期后2个工作日内划入客户理财账户。</w:t>
            </w:r>
          </w:p>
        </w:tc>
      </w:tr>
      <w:tr w:rsidR="00B65299" w:rsidRPr="00B65299" w:rsidTr="00B65299">
        <w:trPr>
          <w:trHeight w:val="285"/>
        </w:trPr>
        <w:tc>
          <w:tcPr>
            <w:tcW w:w="19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5299" w:rsidRPr="00B65299" w:rsidRDefault="00B65299" w:rsidP="00B65299">
            <w:pPr>
              <w:widowControl/>
              <w:jc w:val="left"/>
              <w:rPr>
                <w:rFonts w:ascii="楷体" w:eastAsia="楷体" w:hAnsi="楷体" w:cs="宋体"/>
                <w:color w:val="000000"/>
                <w:kern w:val="0"/>
                <w:sz w:val="24"/>
                <w:szCs w:val="24"/>
              </w:rPr>
            </w:pPr>
            <w:r w:rsidRPr="00B65299">
              <w:rPr>
                <w:rFonts w:ascii="楷体" w:eastAsia="楷体" w:hAnsi="楷体" w:cs="宋体" w:hint="eastAsia"/>
                <w:color w:val="000000"/>
                <w:kern w:val="0"/>
                <w:sz w:val="24"/>
                <w:szCs w:val="24"/>
              </w:rPr>
              <w:t>募集期</w:t>
            </w:r>
          </w:p>
        </w:tc>
        <w:tc>
          <w:tcPr>
            <w:tcW w:w="6622" w:type="dxa"/>
            <w:tcBorders>
              <w:top w:val="single" w:sz="4" w:space="0" w:color="auto"/>
              <w:left w:val="nil"/>
              <w:bottom w:val="single" w:sz="4" w:space="0" w:color="auto"/>
              <w:right w:val="single" w:sz="4" w:space="0" w:color="auto"/>
            </w:tcBorders>
            <w:shd w:val="clear" w:color="auto" w:fill="auto"/>
            <w:vAlign w:val="center"/>
            <w:hideMark/>
          </w:tcPr>
          <w:p w:rsidR="00B65299" w:rsidRPr="00B65299" w:rsidRDefault="00B65299" w:rsidP="00B65299">
            <w:pPr>
              <w:widowControl/>
              <w:jc w:val="left"/>
              <w:rPr>
                <w:rFonts w:ascii="楷体" w:eastAsia="楷体" w:hAnsi="楷体" w:cs="宋体"/>
                <w:color w:val="000000"/>
                <w:kern w:val="0"/>
                <w:sz w:val="24"/>
                <w:szCs w:val="24"/>
              </w:rPr>
            </w:pPr>
            <w:r w:rsidRPr="00B65299">
              <w:rPr>
                <w:rFonts w:ascii="楷体" w:eastAsia="楷体" w:hAnsi="楷体" w:cs="宋体" w:hint="eastAsia"/>
                <w:color w:val="000000"/>
                <w:kern w:val="0"/>
                <w:sz w:val="24"/>
                <w:szCs w:val="24"/>
              </w:rPr>
              <w:t>2016年3月11日至2016年3月17日</w:t>
            </w:r>
          </w:p>
        </w:tc>
      </w:tr>
      <w:tr w:rsidR="00B65299" w:rsidRPr="00B65299" w:rsidTr="00B65299">
        <w:trPr>
          <w:trHeight w:val="285"/>
        </w:trPr>
        <w:tc>
          <w:tcPr>
            <w:tcW w:w="19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5299" w:rsidRPr="00B65299" w:rsidRDefault="00B65299" w:rsidP="00B65299">
            <w:pPr>
              <w:widowControl/>
              <w:jc w:val="left"/>
              <w:rPr>
                <w:rFonts w:ascii="楷体" w:eastAsia="楷体" w:hAnsi="楷体" w:cs="宋体"/>
                <w:color w:val="000000"/>
                <w:kern w:val="0"/>
                <w:sz w:val="24"/>
                <w:szCs w:val="24"/>
              </w:rPr>
            </w:pPr>
            <w:r w:rsidRPr="00B65299">
              <w:rPr>
                <w:rFonts w:ascii="楷体" w:eastAsia="楷体" w:hAnsi="楷体" w:cs="宋体" w:hint="eastAsia"/>
                <w:color w:val="000000"/>
                <w:kern w:val="0"/>
                <w:sz w:val="24"/>
                <w:szCs w:val="24"/>
              </w:rPr>
              <w:t>起始日</w:t>
            </w:r>
          </w:p>
        </w:tc>
        <w:tc>
          <w:tcPr>
            <w:tcW w:w="6622" w:type="dxa"/>
            <w:tcBorders>
              <w:top w:val="single" w:sz="4" w:space="0" w:color="auto"/>
              <w:left w:val="nil"/>
              <w:bottom w:val="single" w:sz="4" w:space="0" w:color="auto"/>
              <w:right w:val="single" w:sz="4" w:space="0" w:color="auto"/>
            </w:tcBorders>
            <w:shd w:val="clear" w:color="auto" w:fill="auto"/>
            <w:vAlign w:val="center"/>
            <w:hideMark/>
          </w:tcPr>
          <w:p w:rsidR="00B65299" w:rsidRPr="00B65299" w:rsidRDefault="00B65299" w:rsidP="00B65299">
            <w:pPr>
              <w:widowControl/>
              <w:jc w:val="left"/>
              <w:rPr>
                <w:rFonts w:ascii="楷体" w:eastAsia="楷体" w:hAnsi="楷体" w:cs="宋体"/>
                <w:color w:val="000000"/>
                <w:kern w:val="0"/>
                <w:sz w:val="24"/>
                <w:szCs w:val="24"/>
              </w:rPr>
            </w:pPr>
            <w:r w:rsidRPr="00B65299">
              <w:rPr>
                <w:rFonts w:ascii="楷体" w:eastAsia="楷体" w:hAnsi="楷体" w:cs="宋体" w:hint="eastAsia"/>
                <w:color w:val="000000"/>
                <w:kern w:val="0"/>
                <w:sz w:val="24"/>
                <w:szCs w:val="24"/>
              </w:rPr>
              <w:t>2016年3月18日。理财产品自起始日起息。</w:t>
            </w:r>
          </w:p>
        </w:tc>
      </w:tr>
      <w:tr w:rsidR="00B65299" w:rsidRPr="00B65299" w:rsidTr="00B65299">
        <w:trPr>
          <w:trHeight w:val="285"/>
        </w:trPr>
        <w:tc>
          <w:tcPr>
            <w:tcW w:w="19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5299" w:rsidRPr="00B65299" w:rsidRDefault="00B65299" w:rsidP="00B65299">
            <w:pPr>
              <w:widowControl/>
              <w:jc w:val="left"/>
              <w:rPr>
                <w:rFonts w:ascii="楷体" w:eastAsia="楷体" w:hAnsi="楷体" w:cs="宋体"/>
                <w:color w:val="000000"/>
                <w:kern w:val="0"/>
                <w:sz w:val="24"/>
                <w:szCs w:val="24"/>
              </w:rPr>
            </w:pPr>
            <w:r w:rsidRPr="00B65299">
              <w:rPr>
                <w:rFonts w:ascii="楷体" w:eastAsia="楷体" w:hAnsi="楷体" w:cs="宋体" w:hint="eastAsia"/>
                <w:color w:val="000000"/>
                <w:kern w:val="0"/>
                <w:sz w:val="24"/>
                <w:szCs w:val="24"/>
              </w:rPr>
              <w:t>到期日</w:t>
            </w:r>
          </w:p>
        </w:tc>
        <w:tc>
          <w:tcPr>
            <w:tcW w:w="6622" w:type="dxa"/>
            <w:tcBorders>
              <w:top w:val="single" w:sz="4" w:space="0" w:color="auto"/>
              <w:left w:val="nil"/>
              <w:bottom w:val="single" w:sz="4" w:space="0" w:color="auto"/>
              <w:right w:val="single" w:sz="4" w:space="0" w:color="auto"/>
            </w:tcBorders>
            <w:shd w:val="clear" w:color="auto" w:fill="auto"/>
            <w:vAlign w:val="center"/>
            <w:hideMark/>
          </w:tcPr>
          <w:p w:rsidR="00B65299" w:rsidRPr="00B65299" w:rsidRDefault="00B65299" w:rsidP="00B65299">
            <w:pPr>
              <w:widowControl/>
              <w:jc w:val="left"/>
              <w:rPr>
                <w:rFonts w:ascii="楷体" w:eastAsia="楷体" w:hAnsi="楷体" w:cs="宋体"/>
                <w:color w:val="000000"/>
                <w:kern w:val="0"/>
                <w:sz w:val="24"/>
                <w:szCs w:val="24"/>
              </w:rPr>
            </w:pPr>
            <w:r w:rsidRPr="00B65299">
              <w:rPr>
                <w:rFonts w:ascii="楷体" w:eastAsia="楷体" w:hAnsi="楷体" w:cs="宋体" w:hint="eastAsia"/>
                <w:color w:val="000000"/>
                <w:kern w:val="0"/>
                <w:sz w:val="24"/>
                <w:szCs w:val="24"/>
              </w:rPr>
              <w:t>2016年5月20日</w:t>
            </w:r>
          </w:p>
        </w:tc>
      </w:tr>
      <w:tr w:rsidR="00B65299" w:rsidRPr="00B65299" w:rsidTr="00B65299">
        <w:trPr>
          <w:trHeight w:val="285"/>
        </w:trPr>
        <w:tc>
          <w:tcPr>
            <w:tcW w:w="19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5299" w:rsidRPr="00B65299" w:rsidRDefault="00B65299" w:rsidP="00B65299">
            <w:pPr>
              <w:widowControl/>
              <w:jc w:val="left"/>
              <w:rPr>
                <w:rFonts w:ascii="楷体" w:eastAsia="楷体" w:hAnsi="楷体" w:cs="宋体"/>
                <w:color w:val="000000"/>
                <w:kern w:val="0"/>
                <w:sz w:val="24"/>
                <w:szCs w:val="24"/>
              </w:rPr>
            </w:pPr>
            <w:r w:rsidRPr="00B65299">
              <w:rPr>
                <w:rFonts w:ascii="楷体" w:eastAsia="楷体" w:hAnsi="楷体" w:cs="宋体" w:hint="eastAsia"/>
                <w:color w:val="000000"/>
                <w:kern w:val="0"/>
                <w:sz w:val="24"/>
                <w:szCs w:val="24"/>
              </w:rPr>
              <w:t>产品到期资金到账日</w:t>
            </w:r>
          </w:p>
        </w:tc>
        <w:tc>
          <w:tcPr>
            <w:tcW w:w="6622" w:type="dxa"/>
            <w:tcBorders>
              <w:top w:val="single" w:sz="4" w:space="0" w:color="auto"/>
              <w:left w:val="nil"/>
              <w:bottom w:val="single" w:sz="4" w:space="0" w:color="auto"/>
              <w:right w:val="single" w:sz="4" w:space="0" w:color="auto"/>
            </w:tcBorders>
            <w:shd w:val="clear" w:color="auto" w:fill="auto"/>
            <w:vAlign w:val="center"/>
            <w:hideMark/>
          </w:tcPr>
          <w:p w:rsidR="00B65299" w:rsidRPr="00B65299" w:rsidRDefault="00B65299" w:rsidP="00B65299">
            <w:pPr>
              <w:widowControl/>
              <w:jc w:val="left"/>
              <w:rPr>
                <w:rFonts w:ascii="楷体" w:eastAsia="楷体" w:hAnsi="楷体" w:cs="宋体"/>
                <w:color w:val="000000"/>
                <w:kern w:val="0"/>
                <w:sz w:val="24"/>
                <w:szCs w:val="24"/>
              </w:rPr>
            </w:pPr>
            <w:r w:rsidRPr="00B65299">
              <w:rPr>
                <w:rFonts w:ascii="楷体" w:eastAsia="楷体" w:hAnsi="楷体" w:cs="宋体" w:hint="eastAsia"/>
                <w:color w:val="000000"/>
                <w:kern w:val="0"/>
                <w:sz w:val="24"/>
                <w:szCs w:val="24"/>
              </w:rPr>
              <w:t>到期日后2个工作日内</w:t>
            </w:r>
          </w:p>
        </w:tc>
      </w:tr>
      <w:tr w:rsidR="00B65299" w:rsidRPr="00B65299" w:rsidTr="00B65299">
        <w:trPr>
          <w:trHeight w:val="285"/>
        </w:trPr>
        <w:tc>
          <w:tcPr>
            <w:tcW w:w="19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5299" w:rsidRPr="00B65299" w:rsidRDefault="00B65299" w:rsidP="00B65299">
            <w:pPr>
              <w:widowControl/>
              <w:jc w:val="left"/>
              <w:rPr>
                <w:rFonts w:ascii="楷体" w:eastAsia="楷体" w:hAnsi="楷体" w:cs="宋体"/>
                <w:color w:val="000000"/>
                <w:kern w:val="0"/>
                <w:sz w:val="24"/>
                <w:szCs w:val="24"/>
              </w:rPr>
            </w:pPr>
            <w:r w:rsidRPr="00B65299">
              <w:rPr>
                <w:rFonts w:ascii="楷体" w:eastAsia="楷体" w:hAnsi="楷体" w:cs="宋体" w:hint="eastAsia"/>
                <w:color w:val="000000"/>
                <w:kern w:val="0"/>
                <w:sz w:val="24"/>
                <w:szCs w:val="24"/>
              </w:rPr>
              <w:t>下期产品预约终止日</w:t>
            </w:r>
          </w:p>
        </w:tc>
        <w:tc>
          <w:tcPr>
            <w:tcW w:w="6622" w:type="dxa"/>
            <w:tcBorders>
              <w:top w:val="single" w:sz="4" w:space="0" w:color="auto"/>
              <w:left w:val="nil"/>
              <w:bottom w:val="single" w:sz="4" w:space="0" w:color="auto"/>
              <w:right w:val="single" w:sz="4" w:space="0" w:color="auto"/>
            </w:tcBorders>
            <w:shd w:val="clear" w:color="auto" w:fill="auto"/>
            <w:vAlign w:val="center"/>
            <w:hideMark/>
          </w:tcPr>
          <w:p w:rsidR="00B65299" w:rsidRPr="00B65299" w:rsidRDefault="00B65299" w:rsidP="00B65299">
            <w:pPr>
              <w:widowControl/>
              <w:jc w:val="left"/>
              <w:rPr>
                <w:rFonts w:ascii="楷体" w:eastAsia="楷体" w:hAnsi="楷体" w:cs="宋体"/>
                <w:color w:val="000000"/>
                <w:kern w:val="0"/>
                <w:sz w:val="24"/>
                <w:szCs w:val="24"/>
              </w:rPr>
            </w:pPr>
            <w:r w:rsidRPr="00B65299">
              <w:rPr>
                <w:rFonts w:ascii="楷体" w:eastAsia="楷体" w:hAnsi="楷体" w:cs="宋体" w:hint="eastAsia"/>
                <w:color w:val="000000"/>
                <w:kern w:val="0"/>
                <w:sz w:val="24"/>
                <w:szCs w:val="24"/>
              </w:rPr>
              <w:t>起始日-到期日前2天</w:t>
            </w:r>
          </w:p>
        </w:tc>
      </w:tr>
      <w:tr w:rsidR="00B65299" w:rsidRPr="00B65299" w:rsidTr="00B65299">
        <w:trPr>
          <w:trHeight w:val="285"/>
        </w:trPr>
        <w:tc>
          <w:tcPr>
            <w:tcW w:w="19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5299" w:rsidRPr="00B65299" w:rsidRDefault="00B65299" w:rsidP="00B65299">
            <w:pPr>
              <w:widowControl/>
              <w:jc w:val="left"/>
              <w:rPr>
                <w:rFonts w:ascii="楷体" w:eastAsia="楷体" w:hAnsi="楷体" w:cs="宋体"/>
                <w:color w:val="000000"/>
                <w:kern w:val="0"/>
                <w:sz w:val="24"/>
                <w:szCs w:val="24"/>
              </w:rPr>
            </w:pPr>
            <w:r w:rsidRPr="00B65299">
              <w:rPr>
                <w:rFonts w:ascii="楷体" w:eastAsia="楷体" w:hAnsi="楷体" w:cs="宋体" w:hint="eastAsia"/>
                <w:color w:val="000000"/>
                <w:kern w:val="0"/>
                <w:sz w:val="24"/>
                <w:szCs w:val="24"/>
              </w:rPr>
              <w:lastRenderedPageBreak/>
              <w:t>理财资金托管行</w:t>
            </w:r>
          </w:p>
        </w:tc>
        <w:tc>
          <w:tcPr>
            <w:tcW w:w="6622" w:type="dxa"/>
            <w:tcBorders>
              <w:top w:val="single" w:sz="4" w:space="0" w:color="auto"/>
              <w:left w:val="nil"/>
              <w:bottom w:val="single" w:sz="4" w:space="0" w:color="auto"/>
              <w:right w:val="single" w:sz="4" w:space="0" w:color="auto"/>
            </w:tcBorders>
            <w:shd w:val="clear" w:color="auto" w:fill="auto"/>
            <w:vAlign w:val="center"/>
            <w:hideMark/>
          </w:tcPr>
          <w:p w:rsidR="00B65299" w:rsidRPr="00B65299" w:rsidRDefault="00B65299" w:rsidP="00B65299">
            <w:pPr>
              <w:widowControl/>
              <w:jc w:val="left"/>
              <w:rPr>
                <w:rFonts w:ascii="楷体" w:eastAsia="楷体" w:hAnsi="楷体" w:cs="宋体"/>
                <w:color w:val="000000"/>
                <w:kern w:val="0"/>
                <w:sz w:val="24"/>
                <w:szCs w:val="24"/>
              </w:rPr>
            </w:pPr>
            <w:r w:rsidRPr="00B65299">
              <w:rPr>
                <w:rFonts w:ascii="楷体" w:eastAsia="楷体" w:hAnsi="楷体" w:cs="宋体" w:hint="eastAsia"/>
                <w:color w:val="000000"/>
                <w:kern w:val="0"/>
                <w:sz w:val="24"/>
                <w:szCs w:val="24"/>
              </w:rPr>
              <w:t>广发银行股份有限公司</w:t>
            </w:r>
          </w:p>
        </w:tc>
      </w:tr>
      <w:tr w:rsidR="00B65299" w:rsidRPr="00B65299" w:rsidTr="00B65299">
        <w:trPr>
          <w:trHeight w:val="3105"/>
        </w:trPr>
        <w:tc>
          <w:tcPr>
            <w:tcW w:w="19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5299" w:rsidRPr="00B65299" w:rsidRDefault="00B65299" w:rsidP="00B65299">
            <w:pPr>
              <w:widowControl/>
              <w:jc w:val="left"/>
              <w:rPr>
                <w:rFonts w:ascii="楷体" w:eastAsia="楷体" w:hAnsi="楷体" w:cs="宋体"/>
                <w:color w:val="000000"/>
                <w:kern w:val="0"/>
                <w:sz w:val="24"/>
                <w:szCs w:val="24"/>
              </w:rPr>
            </w:pPr>
            <w:r w:rsidRPr="00B65299">
              <w:rPr>
                <w:rFonts w:ascii="楷体" w:eastAsia="楷体" w:hAnsi="楷体" w:cs="宋体" w:hint="eastAsia"/>
                <w:color w:val="000000"/>
                <w:kern w:val="0"/>
                <w:sz w:val="24"/>
                <w:szCs w:val="24"/>
              </w:rPr>
              <w:t>资金投向</w:t>
            </w:r>
          </w:p>
        </w:tc>
        <w:tc>
          <w:tcPr>
            <w:tcW w:w="6622" w:type="dxa"/>
            <w:tcBorders>
              <w:top w:val="single" w:sz="4" w:space="0" w:color="auto"/>
              <w:left w:val="nil"/>
              <w:bottom w:val="single" w:sz="4" w:space="0" w:color="auto"/>
              <w:right w:val="single" w:sz="4" w:space="0" w:color="auto"/>
            </w:tcBorders>
            <w:shd w:val="clear" w:color="auto" w:fill="auto"/>
            <w:vAlign w:val="center"/>
            <w:hideMark/>
          </w:tcPr>
          <w:p w:rsidR="00B65299" w:rsidRPr="00B65299" w:rsidRDefault="00B65299" w:rsidP="00B65299">
            <w:pPr>
              <w:widowControl/>
              <w:jc w:val="left"/>
              <w:rPr>
                <w:rFonts w:ascii="楷体" w:eastAsia="楷体" w:hAnsi="楷体" w:cs="宋体"/>
                <w:color w:val="000000"/>
                <w:kern w:val="0"/>
                <w:sz w:val="24"/>
                <w:szCs w:val="24"/>
              </w:rPr>
            </w:pPr>
            <w:r w:rsidRPr="00B65299">
              <w:rPr>
                <w:rFonts w:ascii="楷体" w:eastAsia="楷体" w:hAnsi="楷体" w:cs="宋体" w:hint="eastAsia"/>
                <w:color w:val="000000"/>
                <w:kern w:val="0"/>
                <w:sz w:val="24"/>
                <w:szCs w:val="24"/>
              </w:rPr>
              <w:t>本期产品募集的资金全额投资但不限于银行间市场债券、同业存款、融资租赁资产、货币基金、债券基金、信托计划以及固定收益类券商集合资产管理计划、定向资产管理计划等金融产品（具体以每期产品的实际投向为准），其中现金比例不高于净资产的10%，银行间市场债券、同业存款、融资租赁资产、货币基金、债券基金、信托计划以及固定收益类券商集合资产管理计划、定向资产管理计划等金融产品合计占净资产比例为90%-100%（理财产品存续期内可能因市场的重大变化导致投资比例暂时超出上述区间，银行将</w:t>
            </w:r>
            <w:proofErr w:type="gramStart"/>
            <w:r w:rsidRPr="00B65299">
              <w:rPr>
                <w:rFonts w:ascii="楷体" w:eastAsia="楷体" w:hAnsi="楷体" w:cs="宋体" w:hint="eastAsia"/>
                <w:color w:val="000000"/>
                <w:kern w:val="0"/>
                <w:sz w:val="24"/>
                <w:szCs w:val="24"/>
              </w:rPr>
              <w:t>尽合理</w:t>
            </w:r>
            <w:proofErr w:type="gramEnd"/>
            <w:r w:rsidRPr="00B65299">
              <w:rPr>
                <w:rFonts w:ascii="楷体" w:eastAsia="楷体" w:hAnsi="楷体" w:cs="宋体" w:hint="eastAsia"/>
                <w:color w:val="000000"/>
                <w:kern w:val="0"/>
                <w:sz w:val="24"/>
                <w:szCs w:val="24"/>
              </w:rPr>
              <w:t>努力，以客户利益最大化为原则尽快使投资比例恢复至上述规定区间）。</w:t>
            </w:r>
          </w:p>
        </w:tc>
      </w:tr>
      <w:tr w:rsidR="00B65299" w:rsidRPr="00B65299" w:rsidTr="00B65299">
        <w:trPr>
          <w:trHeight w:val="1245"/>
        </w:trPr>
        <w:tc>
          <w:tcPr>
            <w:tcW w:w="19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5299" w:rsidRPr="00B65299" w:rsidRDefault="00B65299" w:rsidP="00B65299">
            <w:pPr>
              <w:widowControl/>
              <w:jc w:val="left"/>
              <w:rPr>
                <w:rFonts w:ascii="楷体" w:eastAsia="楷体" w:hAnsi="楷体" w:cs="宋体"/>
                <w:color w:val="000000"/>
                <w:kern w:val="0"/>
                <w:sz w:val="24"/>
                <w:szCs w:val="24"/>
              </w:rPr>
            </w:pPr>
            <w:r w:rsidRPr="00B65299">
              <w:rPr>
                <w:rFonts w:ascii="楷体" w:eastAsia="楷体" w:hAnsi="楷体" w:cs="宋体" w:hint="eastAsia"/>
                <w:color w:val="000000"/>
                <w:kern w:val="0"/>
                <w:sz w:val="24"/>
                <w:szCs w:val="24"/>
              </w:rPr>
              <w:t>预期</w:t>
            </w:r>
            <w:proofErr w:type="gramStart"/>
            <w:r w:rsidRPr="00B65299">
              <w:rPr>
                <w:rFonts w:ascii="楷体" w:eastAsia="楷体" w:hAnsi="楷体" w:cs="宋体" w:hint="eastAsia"/>
                <w:color w:val="000000"/>
                <w:kern w:val="0"/>
                <w:sz w:val="24"/>
                <w:szCs w:val="24"/>
              </w:rPr>
              <w:t>参考年化收益率</w:t>
            </w:r>
            <w:proofErr w:type="gramEnd"/>
          </w:p>
        </w:tc>
        <w:tc>
          <w:tcPr>
            <w:tcW w:w="6622" w:type="dxa"/>
            <w:tcBorders>
              <w:top w:val="single" w:sz="4" w:space="0" w:color="auto"/>
              <w:left w:val="nil"/>
              <w:bottom w:val="single" w:sz="4" w:space="0" w:color="auto"/>
              <w:right w:val="single" w:sz="4" w:space="0" w:color="auto"/>
            </w:tcBorders>
            <w:shd w:val="clear" w:color="auto" w:fill="auto"/>
            <w:vAlign w:val="center"/>
            <w:hideMark/>
          </w:tcPr>
          <w:p w:rsidR="00B65299" w:rsidRPr="00B65299" w:rsidRDefault="00B65299" w:rsidP="00B65299">
            <w:pPr>
              <w:widowControl/>
              <w:jc w:val="left"/>
              <w:rPr>
                <w:rFonts w:ascii="楷体" w:eastAsia="楷体" w:hAnsi="楷体" w:cs="宋体"/>
                <w:color w:val="000000"/>
                <w:kern w:val="0"/>
                <w:sz w:val="24"/>
                <w:szCs w:val="24"/>
              </w:rPr>
            </w:pPr>
            <w:r w:rsidRPr="00B65299">
              <w:rPr>
                <w:rFonts w:ascii="楷体" w:eastAsia="楷体" w:hAnsi="楷体" w:cs="宋体" w:hint="eastAsia"/>
                <w:color w:val="000000"/>
                <w:kern w:val="0"/>
                <w:sz w:val="24"/>
                <w:szCs w:val="24"/>
              </w:rPr>
              <w:t>证券公司、信托公司收取管理费（年化）0.2%-1%（若有），理财产品托管人收取托管费率（年化）为产品募集总金额的0.03%，若扣除上述费用及相关税、费后，客户预期</w:t>
            </w:r>
            <w:proofErr w:type="gramStart"/>
            <w:r w:rsidRPr="00B65299">
              <w:rPr>
                <w:rFonts w:ascii="楷体" w:eastAsia="楷体" w:hAnsi="楷体" w:cs="宋体" w:hint="eastAsia"/>
                <w:color w:val="000000"/>
                <w:kern w:val="0"/>
                <w:sz w:val="24"/>
                <w:szCs w:val="24"/>
              </w:rPr>
              <w:t>参考年化收益率</w:t>
            </w:r>
            <w:proofErr w:type="gramEnd"/>
            <w:r w:rsidRPr="00B65299">
              <w:rPr>
                <w:rFonts w:ascii="楷体" w:eastAsia="楷体" w:hAnsi="楷体" w:cs="宋体" w:hint="eastAsia"/>
                <w:color w:val="000000"/>
                <w:kern w:val="0"/>
                <w:sz w:val="24"/>
                <w:szCs w:val="24"/>
              </w:rPr>
              <w:t>为4.7%。</w:t>
            </w:r>
          </w:p>
        </w:tc>
      </w:tr>
      <w:tr w:rsidR="00B65299" w:rsidRPr="00B65299" w:rsidTr="00B65299">
        <w:trPr>
          <w:trHeight w:val="1470"/>
        </w:trPr>
        <w:tc>
          <w:tcPr>
            <w:tcW w:w="19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5299" w:rsidRPr="00B65299" w:rsidRDefault="00B65299" w:rsidP="00B65299">
            <w:pPr>
              <w:widowControl/>
              <w:jc w:val="left"/>
              <w:rPr>
                <w:rFonts w:ascii="楷体" w:eastAsia="楷体" w:hAnsi="楷体" w:cs="宋体"/>
                <w:color w:val="000000"/>
                <w:kern w:val="0"/>
                <w:sz w:val="24"/>
                <w:szCs w:val="24"/>
              </w:rPr>
            </w:pPr>
            <w:r w:rsidRPr="00B65299">
              <w:rPr>
                <w:rFonts w:ascii="楷体" w:eastAsia="楷体" w:hAnsi="楷体" w:cs="宋体" w:hint="eastAsia"/>
                <w:color w:val="000000"/>
                <w:kern w:val="0"/>
                <w:sz w:val="24"/>
                <w:szCs w:val="24"/>
              </w:rPr>
              <w:t>收益率测算</w:t>
            </w:r>
          </w:p>
        </w:tc>
        <w:tc>
          <w:tcPr>
            <w:tcW w:w="6622" w:type="dxa"/>
            <w:tcBorders>
              <w:top w:val="single" w:sz="4" w:space="0" w:color="auto"/>
              <w:left w:val="nil"/>
              <w:bottom w:val="single" w:sz="4" w:space="0" w:color="auto"/>
              <w:right w:val="single" w:sz="4" w:space="0" w:color="auto"/>
            </w:tcBorders>
            <w:shd w:val="clear" w:color="auto" w:fill="auto"/>
            <w:vAlign w:val="center"/>
            <w:hideMark/>
          </w:tcPr>
          <w:p w:rsidR="00B65299" w:rsidRPr="00B65299" w:rsidRDefault="00B65299" w:rsidP="00B65299">
            <w:pPr>
              <w:widowControl/>
              <w:jc w:val="left"/>
              <w:rPr>
                <w:rFonts w:ascii="楷体" w:eastAsia="楷体" w:hAnsi="楷体" w:cs="宋体"/>
                <w:color w:val="000000"/>
                <w:kern w:val="0"/>
                <w:sz w:val="24"/>
                <w:szCs w:val="24"/>
              </w:rPr>
            </w:pPr>
            <w:r w:rsidRPr="00B65299">
              <w:rPr>
                <w:rFonts w:ascii="楷体" w:eastAsia="楷体" w:hAnsi="楷体" w:cs="宋体" w:hint="eastAsia"/>
                <w:color w:val="000000"/>
                <w:kern w:val="0"/>
                <w:sz w:val="24"/>
                <w:szCs w:val="24"/>
              </w:rPr>
              <w:t>在理财资产完全按预期价格足额收回情况下，本理财计划持有到</w:t>
            </w:r>
            <w:proofErr w:type="gramStart"/>
            <w:r w:rsidRPr="00B65299">
              <w:rPr>
                <w:rFonts w:ascii="楷体" w:eastAsia="楷体" w:hAnsi="楷体" w:cs="宋体" w:hint="eastAsia"/>
                <w:color w:val="000000"/>
                <w:kern w:val="0"/>
                <w:sz w:val="24"/>
                <w:szCs w:val="24"/>
              </w:rPr>
              <w:t>期年化</w:t>
            </w:r>
            <w:proofErr w:type="gramEnd"/>
            <w:r w:rsidRPr="00B65299">
              <w:rPr>
                <w:rFonts w:ascii="楷体" w:eastAsia="楷体" w:hAnsi="楷体" w:cs="宋体" w:hint="eastAsia"/>
                <w:color w:val="000000"/>
                <w:kern w:val="0"/>
                <w:sz w:val="24"/>
                <w:szCs w:val="24"/>
              </w:rPr>
              <w:t>收益率按照客户实际购买理财金额对应的理财收益率进行分配；在部分或全部资产未能完全按预期价格足额收回的情况下，需要根据资产实际处分情况，来计算投资者应得理财收益。</w:t>
            </w:r>
          </w:p>
        </w:tc>
      </w:tr>
      <w:tr w:rsidR="00B65299" w:rsidRPr="00B65299" w:rsidTr="00B65299">
        <w:trPr>
          <w:trHeight w:val="1215"/>
        </w:trPr>
        <w:tc>
          <w:tcPr>
            <w:tcW w:w="1998"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B65299" w:rsidRPr="00B65299" w:rsidRDefault="00B65299" w:rsidP="00B65299">
            <w:pPr>
              <w:widowControl/>
              <w:jc w:val="left"/>
              <w:rPr>
                <w:rFonts w:ascii="楷体" w:eastAsia="楷体" w:hAnsi="楷体" w:cs="宋体"/>
                <w:color w:val="000000"/>
                <w:kern w:val="0"/>
                <w:sz w:val="24"/>
                <w:szCs w:val="24"/>
              </w:rPr>
            </w:pPr>
            <w:r w:rsidRPr="00B65299">
              <w:rPr>
                <w:rFonts w:ascii="楷体" w:eastAsia="楷体" w:hAnsi="楷体" w:cs="宋体" w:hint="eastAsia"/>
                <w:color w:val="000000"/>
                <w:kern w:val="0"/>
                <w:sz w:val="24"/>
                <w:szCs w:val="24"/>
              </w:rPr>
              <w:t>募集期是否计算</w:t>
            </w:r>
            <w:r w:rsidRPr="00B65299">
              <w:rPr>
                <w:rFonts w:ascii="楷体" w:eastAsia="楷体" w:hAnsi="楷体" w:cs="宋体" w:hint="eastAsia"/>
                <w:color w:val="000000"/>
                <w:kern w:val="0"/>
                <w:sz w:val="24"/>
                <w:szCs w:val="24"/>
              </w:rPr>
              <w:br/>
              <w:t>存款利息</w:t>
            </w:r>
          </w:p>
        </w:tc>
        <w:tc>
          <w:tcPr>
            <w:tcW w:w="6622" w:type="dxa"/>
            <w:tcBorders>
              <w:top w:val="single" w:sz="4" w:space="0" w:color="auto"/>
              <w:left w:val="nil"/>
              <w:bottom w:val="single" w:sz="4" w:space="0" w:color="auto"/>
              <w:right w:val="single" w:sz="4" w:space="0" w:color="000000"/>
            </w:tcBorders>
            <w:shd w:val="clear" w:color="auto" w:fill="auto"/>
            <w:vAlign w:val="center"/>
            <w:hideMark/>
          </w:tcPr>
          <w:p w:rsidR="00B65299" w:rsidRPr="00B65299" w:rsidRDefault="00B65299" w:rsidP="00B65299">
            <w:pPr>
              <w:widowControl/>
              <w:jc w:val="left"/>
              <w:rPr>
                <w:rFonts w:ascii="楷体" w:eastAsia="楷体" w:hAnsi="楷体" w:cs="宋体"/>
                <w:color w:val="000000"/>
                <w:kern w:val="0"/>
                <w:sz w:val="24"/>
                <w:szCs w:val="24"/>
              </w:rPr>
            </w:pPr>
            <w:r w:rsidRPr="00B65299">
              <w:rPr>
                <w:rFonts w:ascii="楷体" w:eastAsia="楷体" w:hAnsi="楷体" w:cs="宋体" w:hint="eastAsia"/>
                <w:color w:val="000000"/>
                <w:kern w:val="0"/>
                <w:sz w:val="24"/>
                <w:szCs w:val="24"/>
              </w:rPr>
              <w:t>是，但募集期间内的利息不计入认购本金。</w:t>
            </w:r>
          </w:p>
        </w:tc>
      </w:tr>
      <w:tr w:rsidR="00B65299" w:rsidRPr="00B65299" w:rsidTr="00B65299">
        <w:trPr>
          <w:trHeight w:val="810"/>
        </w:trPr>
        <w:tc>
          <w:tcPr>
            <w:tcW w:w="19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5299" w:rsidRPr="00B65299" w:rsidRDefault="00B65299" w:rsidP="00B65299">
            <w:pPr>
              <w:widowControl/>
              <w:jc w:val="left"/>
              <w:rPr>
                <w:rFonts w:ascii="楷体" w:eastAsia="楷体" w:hAnsi="楷体" w:cs="宋体"/>
                <w:color w:val="000000"/>
                <w:kern w:val="0"/>
                <w:sz w:val="24"/>
                <w:szCs w:val="24"/>
              </w:rPr>
            </w:pPr>
            <w:r w:rsidRPr="00B65299">
              <w:rPr>
                <w:rFonts w:ascii="楷体" w:eastAsia="楷体" w:hAnsi="楷体" w:cs="宋体" w:hint="eastAsia"/>
                <w:color w:val="000000"/>
                <w:kern w:val="0"/>
                <w:sz w:val="24"/>
                <w:szCs w:val="24"/>
              </w:rPr>
              <w:t>认购起点金额</w:t>
            </w:r>
          </w:p>
        </w:tc>
        <w:tc>
          <w:tcPr>
            <w:tcW w:w="6622" w:type="dxa"/>
            <w:tcBorders>
              <w:top w:val="single" w:sz="4" w:space="0" w:color="auto"/>
              <w:left w:val="nil"/>
              <w:bottom w:val="single" w:sz="4" w:space="0" w:color="auto"/>
              <w:right w:val="single" w:sz="4" w:space="0" w:color="auto"/>
            </w:tcBorders>
            <w:shd w:val="clear" w:color="auto" w:fill="auto"/>
            <w:vAlign w:val="center"/>
            <w:hideMark/>
          </w:tcPr>
          <w:p w:rsidR="00B65299" w:rsidRPr="00B65299" w:rsidRDefault="00B65299" w:rsidP="00B65299">
            <w:pPr>
              <w:widowControl/>
              <w:jc w:val="left"/>
              <w:rPr>
                <w:rFonts w:ascii="楷体" w:eastAsia="楷体" w:hAnsi="楷体" w:cs="宋体"/>
                <w:color w:val="000000"/>
                <w:kern w:val="0"/>
                <w:sz w:val="24"/>
                <w:szCs w:val="24"/>
              </w:rPr>
            </w:pPr>
            <w:r w:rsidRPr="00B65299">
              <w:rPr>
                <w:rFonts w:ascii="楷体" w:eastAsia="楷体" w:hAnsi="楷体" w:cs="宋体" w:hint="eastAsia"/>
                <w:color w:val="000000"/>
                <w:kern w:val="0"/>
                <w:sz w:val="24"/>
                <w:szCs w:val="24"/>
              </w:rPr>
              <w:t>个人客户5万元起，以1万元整数</w:t>
            </w:r>
            <w:proofErr w:type="gramStart"/>
            <w:r w:rsidRPr="00B65299">
              <w:rPr>
                <w:rFonts w:ascii="楷体" w:eastAsia="楷体" w:hAnsi="楷体" w:cs="宋体" w:hint="eastAsia"/>
                <w:color w:val="000000"/>
                <w:kern w:val="0"/>
                <w:sz w:val="24"/>
                <w:szCs w:val="24"/>
              </w:rPr>
              <w:t>倍</w:t>
            </w:r>
            <w:proofErr w:type="gramEnd"/>
            <w:r w:rsidRPr="00B65299">
              <w:rPr>
                <w:rFonts w:ascii="楷体" w:eastAsia="楷体" w:hAnsi="楷体" w:cs="宋体" w:hint="eastAsia"/>
                <w:color w:val="000000"/>
                <w:kern w:val="0"/>
                <w:sz w:val="24"/>
                <w:szCs w:val="24"/>
              </w:rPr>
              <w:t>递增，最高不超过3000万元；机构客户50万元起，以1万元整数</w:t>
            </w:r>
            <w:proofErr w:type="gramStart"/>
            <w:r w:rsidRPr="00B65299">
              <w:rPr>
                <w:rFonts w:ascii="楷体" w:eastAsia="楷体" w:hAnsi="楷体" w:cs="宋体" w:hint="eastAsia"/>
                <w:color w:val="000000"/>
                <w:kern w:val="0"/>
                <w:sz w:val="24"/>
                <w:szCs w:val="24"/>
              </w:rPr>
              <w:t>倍</w:t>
            </w:r>
            <w:proofErr w:type="gramEnd"/>
            <w:r w:rsidRPr="00B65299">
              <w:rPr>
                <w:rFonts w:ascii="楷体" w:eastAsia="楷体" w:hAnsi="楷体" w:cs="宋体" w:hint="eastAsia"/>
                <w:color w:val="000000"/>
                <w:kern w:val="0"/>
                <w:sz w:val="24"/>
                <w:szCs w:val="24"/>
              </w:rPr>
              <w:t>递增，最高不超过600万元</w:t>
            </w:r>
          </w:p>
        </w:tc>
      </w:tr>
      <w:tr w:rsidR="00B65299" w:rsidRPr="00B65299" w:rsidTr="00B65299">
        <w:trPr>
          <w:trHeight w:val="285"/>
        </w:trPr>
        <w:tc>
          <w:tcPr>
            <w:tcW w:w="19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5299" w:rsidRPr="00B65299" w:rsidRDefault="00B65299" w:rsidP="00B65299">
            <w:pPr>
              <w:widowControl/>
              <w:jc w:val="left"/>
              <w:rPr>
                <w:rFonts w:ascii="楷体" w:eastAsia="楷体" w:hAnsi="楷体" w:cs="宋体"/>
                <w:color w:val="000000"/>
                <w:kern w:val="0"/>
                <w:sz w:val="24"/>
                <w:szCs w:val="24"/>
              </w:rPr>
            </w:pPr>
            <w:r w:rsidRPr="00B65299">
              <w:rPr>
                <w:rFonts w:ascii="楷体" w:eastAsia="楷体" w:hAnsi="楷体" w:cs="宋体" w:hint="eastAsia"/>
                <w:color w:val="000000"/>
                <w:kern w:val="0"/>
                <w:sz w:val="24"/>
                <w:szCs w:val="24"/>
              </w:rPr>
              <w:t>收益计算方法</w:t>
            </w:r>
          </w:p>
        </w:tc>
        <w:tc>
          <w:tcPr>
            <w:tcW w:w="6622" w:type="dxa"/>
            <w:tcBorders>
              <w:top w:val="single" w:sz="4" w:space="0" w:color="auto"/>
              <w:left w:val="nil"/>
              <w:bottom w:val="single" w:sz="4" w:space="0" w:color="auto"/>
              <w:right w:val="single" w:sz="4" w:space="0" w:color="auto"/>
            </w:tcBorders>
            <w:shd w:val="clear" w:color="auto" w:fill="auto"/>
            <w:vAlign w:val="center"/>
            <w:hideMark/>
          </w:tcPr>
          <w:p w:rsidR="00B65299" w:rsidRPr="00B65299" w:rsidRDefault="00B65299" w:rsidP="00B65299">
            <w:pPr>
              <w:widowControl/>
              <w:jc w:val="left"/>
              <w:rPr>
                <w:rFonts w:ascii="楷体" w:eastAsia="楷体" w:hAnsi="楷体" w:cs="宋体"/>
                <w:color w:val="000000"/>
                <w:kern w:val="0"/>
                <w:sz w:val="24"/>
                <w:szCs w:val="24"/>
              </w:rPr>
            </w:pPr>
            <w:r w:rsidRPr="00B65299">
              <w:rPr>
                <w:rFonts w:ascii="楷体" w:eastAsia="楷体" w:hAnsi="楷体" w:cs="宋体" w:hint="eastAsia"/>
                <w:color w:val="000000"/>
                <w:kern w:val="0"/>
                <w:sz w:val="24"/>
                <w:szCs w:val="24"/>
              </w:rPr>
              <w:t>期末收益＝投资本金×实际收益率×实际理财天数/365</w:t>
            </w:r>
          </w:p>
        </w:tc>
      </w:tr>
      <w:tr w:rsidR="00B65299" w:rsidRPr="00B65299" w:rsidTr="00B65299">
        <w:trPr>
          <w:trHeight w:val="1005"/>
        </w:trPr>
        <w:tc>
          <w:tcPr>
            <w:tcW w:w="19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5299" w:rsidRPr="00B65299" w:rsidRDefault="00B65299" w:rsidP="00B65299">
            <w:pPr>
              <w:widowControl/>
              <w:jc w:val="left"/>
              <w:rPr>
                <w:rFonts w:ascii="楷体" w:eastAsia="楷体" w:hAnsi="楷体" w:cs="宋体"/>
                <w:color w:val="000000"/>
                <w:kern w:val="0"/>
                <w:sz w:val="24"/>
                <w:szCs w:val="24"/>
              </w:rPr>
            </w:pPr>
            <w:r w:rsidRPr="00B65299">
              <w:rPr>
                <w:rFonts w:ascii="楷体" w:eastAsia="楷体" w:hAnsi="楷体" w:cs="宋体" w:hint="eastAsia"/>
                <w:color w:val="000000"/>
                <w:kern w:val="0"/>
                <w:sz w:val="24"/>
                <w:szCs w:val="24"/>
              </w:rPr>
              <w:t>客户提前终止权</w:t>
            </w:r>
          </w:p>
        </w:tc>
        <w:tc>
          <w:tcPr>
            <w:tcW w:w="6622" w:type="dxa"/>
            <w:tcBorders>
              <w:top w:val="single" w:sz="4" w:space="0" w:color="auto"/>
              <w:left w:val="nil"/>
              <w:bottom w:val="single" w:sz="4" w:space="0" w:color="auto"/>
              <w:right w:val="single" w:sz="4" w:space="0" w:color="auto"/>
            </w:tcBorders>
            <w:shd w:val="clear" w:color="auto" w:fill="auto"/>
            <w:vAlign w:val="center"/>
            <w:hideMark/>
          </w:tcPr>
          <w:p w:rsidR="00B65299" w:rsidRPr="00B65299" w:rsidRDefault="00B65299" w:rsidP="00B65299">
            <w:pPr>
              <w:widowControl/>
              <w:jc w:val="left"/>
              <w:rPr>
                <w:rFonts w:ascii="楷体" w:eastAsia="楷体" w:hAnsi="楷体" w:cs="宋体"/>
                <w:color w:val="000000"/>
                <w:kern w:val="0"/>
                <w:sz w:val="24"/>
                <w:szCs w:val="24"/>
              </w:rPr>
            </w:pPr>
            <w:r w:rsidRPr="00B65299">
              <w:rPr>
                <w:rFonts w:ascii="楷体" w:eastAsia="楷体" w:hAnsi="楷体" w:cs="宋体" w:hint="eastAsia"/>
                <w:color w:val="000000"/>
                <w:kern w:val="0"/>
                <w:sz w:val="24"/>
                <w:szCs w:val="24"/>
              </w:rPr>
              <w:t>客户无提前终止权，但在投资期内，客户可在本周期起息日至到期日前二天（不含）期间选择预约终止（只能预约全部资金终止），下一周期起息日即为终止日。</w:t>
            </w:r>
          </w:p>
        </w:tc>
      </w:tr>
      <w:tr w:rsidR="00B65299" w:rsidRPr="00B65299" w:rsidTr="00B65299">
        <w:trPr>
          <w:trHeight w:val="1005"/>
        </w:trPr>
        <w:tc>
          <w:tcPr>
            <w:tcW w:w="19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5299" w:rsidRPr="00B65299" w:rsidRDefault="00B65299" w:rsidP="00B65299">
            <w:pPr>
              <w:widowControl/>
              <w:jc w:val="left"/>
              <w:rPr>
                <w:rFonts w:ascii="楷体" w:eastAsia="楷体" w:hAnsi="楷体" w:cs="宋体"/>
                <w:color w:val="000000"/>
                <w:kern w:val="0"/>
                <w:sz w:val="24"/>
                <w:szCs w:val="24"/>
              </w:rPr>
            </w:pPr>
            <w:r w:rsidRPr="00B65299">
              <w:rPr>
                <w:rFonts w:ascii="楷体" w:eastAsia="楷体" w:hAnsi="楷体" w:cs="宋体" w:hint="eastAsia"/>
                <w:color w:val="000000"/>
                <w:kern w:val="0"/>
                <w:sz w:val="24"/>
                <w:szCs w:val="24"/>
              </w:rPr>
              <w:t>银行提前终止权</w:t>
            </w:r>
          </w:p>
        </w:tc>
        <w:tc>
          <w:tcPr>
            <w:tcW w:w="6622" w:type="dxa"/>
            <w:tcBorders>
              <w:top w:val="single" w:sz="4" w:space="0" w:color="auto"/>
              <w:left w:val="nil"/>
              <w:bottom w:val="single" w:sz="4" w:space="0" w:color="auto"/>
              <w:right w:val="single" w:sz="4" w:space="0" w:color="auto"/>
            </w:tcBorders>
            <w:shd w:val="clear" w:color="auto" w:fill="auto"/>
            <w:vAlign w:val="center"/>
            <w:hideMark/>
          </w:tcPr>
          <w:p w:rsidR="00B65299" w:rsidRPr="00B65299" w:rsidRDefault="00B65299" w:rsidP="00B65299">
            <w:pPr>
              <w:widowControl/>
              <w:jc w:val="left"/>
              <w:rPr>
                <w:rFonts w:ascii="楷体" w:eastAsia="楷体" w:hAnsi="楷体" w:cs="宋体"/>
                <w:color w:val="000000"/>
                <w:kern w:val="0"/>
                <w:sz w:val="24"/>
                <w:szCs w:val="24"/>
              </w:rPr>
            </w:pPr>
            <w:r w:rsidRPr="00B65299">
              <w:rPr>
                <w:rFonts w:ascii="楷体" w:eastAsia="楷体" w:hAnsi="楷体" w:cs="宋体" w:hint="eastAsia"/>
                <w:color w:val="000000"/>
                <w:kern w:val="0"/>
                <w:sz w:val="24"/>
                <w:szCs w:val="24"/>
              </w:rPr>
              <w:t>如遇国家金融政策出现重大调整、市场发生重大变动或突发事件并影响到本理财产品的正常运作时，广东南粤银行有权提前终止本理财产品。</w:t>
            </w:r>
          </w:p>
        </w:tc>
      </w:tr>
      <w:tr w:rsidR="00B65299" w:rsidRPr="00B65299" w:rsidTr="00B65299">
        <w:trPr>
          <w:trHeight w:val="375"/>
        </w:trPr>
        <w:tc>
          <w:tcPr>
            <w:tcW w:w="19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5299" w:rsidRPr="00B65299" w:rsidRDefault="00B65299" w:rsidP="00B65299">
            <w:pPr>
              <w:widowControl/>
              <w:jc w:val="left"/>
              <w:rPr>
                <w:rFonts w:ascii="楷体" w:eastAsia="楷体" w:hAnsi="楷体" w:cs="宋体"/>
                <w:color w:val="000000"/>
                <w:kern w:val="0"/>
                <w:sz w:val="24"/>
                <w:szCs w:val="24"/>
              </w:rPr>
            </w:pPr>
            <w:r w:rsidRPr="00B65299">
              <w:rPr>
                <w:rFonts w:ascii="楷体" w:eastAsia="楷体" w:hAnsi="楷体" w:cs="宋体" w:hint="eastAsia"/>
                <w:color w:val="000000"/>
                <w:kern w:val="0"/>
                <w:sz w:val="24"/>
                <w:szCs w:val="24"/>
              </w:rPr>
              <w:t>税务处理</w:t>
            </w:r>
          </w:p>
        </w:tc>
        <w:tc>
          <w:tcPr>
            <w:tcW w:w="6622" w:type="dxa"/>
            <w:tcBorders>
              <w:top w:val="single" w:sz="4" w:space="0" w:color="auto"/>
              <w:left w:val="nil"/>
              <w:bottom w:val="single" w:sz="4" w:space="0" w:color="auto"/>
              <w:right w:val="single" w:sz="4" w:space="0" w:color="auto"/>
            </w:tcBorders>
            <w:shd w:val="clear" w:color="auto" w:fill="auto"/>
            <w:vAlign w:val="center"/>
            <w:hideMark/>
          </w:tcPr>
          <w:p w:rsidR="00B65299" w:rsidRPr="00B65299" w:rsidRDefault="00B65299" w:rsidP="00B65299">
            <w:pPr>
              <w:widowControl/>
              <w:jc w:val="left"/>
              <w:rPr>
                <w:rFonts w:ascii="楷体" w:eastAsia="楷体" w:hAnsi="楷体" w:cs="宋体"/>
                <w:color w:val="000000"/>
                <w:kern w:val="0"/>
                <w:sz w:val="24"/>
                <w:szCs w:val="24"/>
              </w:rPr>
            </w:pPr>
            <w:r w:rsidRPr="00B65299">
              <w:rPr>
                <w:rFonts w:ascii="楷体" w:eastAsia="楷体" w:hAnsi="楷体" w:cs="宋体" w:hint="eastAsia"/>
                <w:color w:val="000000"/>
                <w:kern w:val="0"/>
                <w:sz w:val="24"/>
                <w:szCs w:val="24"/>
              </w:rPr>
              <w:t>我行不代扣代缴，但法律、法规另有规定除外</w:t>
            </w:r>
          </w:p>
        </w:tc>
      </w:tr>
      <w:tr w:rsidR="00B65299" w:rsidRPr="00B65299" w:rsidTr="00B65299">
        <w:trPr>
          <w:trHeight w:val="1035"/>
        </w:trPr>
        <w:tc>
          <w:tcPr>
            <w:tcW w:w="1998" w:type="dxa"/>
            <w:tcBorders>
              <w:top w:val="nil"/>
              <w:left w:val="single" w:sz="4" w:space="0" w:color="auto"/>
              <w:bottom w:val="single" w:sz="4" w:space="0" w:color="auto"/>
              <w:right w:val="single" w:sz="4" w:space="0" w:color="000000"/>
            </w:tcBorders>
            <w:shd w:val="clear" w:color="auto" w:fill="auto"/>
            <w:vAlign w:val="center"/>
            <w:hideMark/>
          </w:tcPr>
          <w:p w:rsidR="00B65299" w:rsidRPr="00B65299" w:rsidRDefault="00B65299" w:rsidP="00B65299">
            <w:pPr>
              <w:widowControl/>
              <w:jc w:val="left"/>
              <w:rPr>
                <w:rFonts w:ascii="楷体" w:eastAsia="楷体" w:hAnsi="楷体" w:cs="宋体"/>
                <w:color w:val="000000"/>
                <w:kern w:val="0"/>
                <w:sz w:val="24"/>
                <w:szCs w:val="24"/>
              </w:rPr>
            </w:pPr>
            <w:r w:rsidRPr="00B65299">
              <w:rPr>
                <w:rFonts w:ascii="楷体" w:eastAsia="楷体" w:hAnsi="楷体" w:cs="宋体" w:hint="eastAsia"/>
                <w:color w:val="000000"/>
                <w:kern w:val="0"/>
                <w:sz w:val="24"/>
                <w:szCs w:val="24"/>
              </w:rPr>
              <w:t>其他规定</w:t>
            </w:r>
          </w:p>
        </w:tc>
        <w:tc>
          <w:tcPr>
            <w:tcW w:w="6622" w:type="dxa"/>
            <w:tcBorders>
              <w:top w:val="single" w:sz="4" w:space="0" w:color="auto"/>
              <w:left w:val="nil"/>
              <w:bottom w:val="single" w:sz="4" w:space="0" w:color="auto"/>
              <w:right w:val="single" w:sz="4" w:space="0" w:color="auto"/>
            </w:tcBorders>
            <w:shd w:val="clear" w:color="auto" w:fill="auto"/>
            <w:vAlign w:val="center"/>
            <w:hideMark/>
          </w:tcPr>
          <w:p w:rsidR="00B65299" w:rsidRPr="00B65299" w:rsidRDefault="00B65299" w:rsidP="00B65299">
            <w:pPr>
              <w:widowControl/>
              <w:jc w:val="left"/>
              <w:rPr>
                <w:rFonts w:ascii="楷体" w:eastAsia="楷体" w:hAnsi="楷体" w:cs="宋体"/>
                <w:color w:val="000000"/>
                <w:kern w:val="0"/>
                <w:sz w:val="24"/>
                <w:szCs w:val="24"/>
              </w:rPr>
            </w:pPr>
            <w:r w:rsidRPr="00B65299">
              <w:rPr>
                <w:rFonts w:ascii="楷体" w:eastAsia="楷体" w:hAnsi="楷体" w:cs="宋体" w:hint="eastAsia"/>
                <w:color w:val="000000"/>
                <w:kern w:val="0"/>
                <w:sz w:val="24"/>
                <w:szCs w:val="24"/>
              </w:rPr>
              <w:t>投资者签署《广东南粤银行理财产品客户协议书》后，即视为投资者同意广东南粤银行有权在认购日从投资者账户中冻结其签约本金，募集期间冻结资金按同期活期利率计算利息。</w:t>
            </w:r>
          </w:p>
        </w:tc>
      </w:tr>
    </w:tbl>
    <w:p w:rsidR="00B65299" w:rsidRPr="00B65299" w:rsidRDefault="00B65299" w:rsidP="00B65299">
      <w:pPr>
        <w:widowControl/>
        <w:jc w:val="left"/>
        <w:rPr>
          <w:rFonts w:ascii="楷体" w:eastAsia="楷体" w:hAnsi="楷体" w:cs="宋体"/>
          <w:color w:val="000000"/>
          <w:kern w:val="0"/>
          <w:sz w:val="24"/>
          <w:szCs w:val="24"/>
        </w:rPr>
      </w:pPr>
      <w:r w:rsidRPr="00B65299">
        <w:rPr>
          <w:rFonts w:ascii="楷体" w:eastAsia="楷体" w:hAnsi="楷体" w:cs="宋体" w:hint="eastAsia"/>
          <w:color w:val="000000"/>
          <w:kern w:val="0"/>
          <w:sz w:val="24"/>
          <w:szCs w:val="24"/>
        </w:rPr>
        <w:t>二、 投资管理</w:t>
      </w:r>
      <w:r w:rsidRPr="00B65299">
        <w:rPr>
          <w:rFonts w:ascii="楷体" w:eastAsia="楷体" w:hAnsi="楷体" w:cs="宋体" w:hint="eastAsia"/>
          <w:color w:val="000000"/>
          <w:kern w:val="0"/>
          <w:sz w:val="24"/>
          <w:szCs w:val="24"/>
        </w:rPr>
        <w:br/>
        <w:t xml:space="preserve">    1、 基础资产构成</w:t>
      </w:r>
      <w:r w:rsidRPr="00B65299">
        <w:rPr>
          <w:rFonts w:ascii="楷体" w:eastAsia="楷体" w:hAnsi="楷体" w:cs="宋体" w:hint="eastAsia"/>
          <w:color w:val="000000"/>
          <w:kern w:val="0"/>
          <w:sz w:val="24"/>
          <w:szCs w:val="24"/>
        </w:rPr>
        <w:br/>
        <w:t xml:space="preserve">    本理财产品投资但不限于银行间市场债券、同业存款、融资租赁资产、货币基金、债券基金、信托计划以及固定收益类券商集合资产管理计划、定向资产管理计划等金融产品（具体以每期产品的实际投向为准）。</w:t>
      </w:r>
      <w:r w:rsidRPr="00B65299">
        <w:rPr>
          <w:rFonts w:ascii="楷体" w:eastAsia="楷体" w:hAnsi="楷体" w:cs="宋体" w:hint="eastAsia"/>
          <w:color w:val="000000"/>
          <w:kern w:val="0"/>
          <w:sz w:val="24"/>
          <w:szCs w:val="24"/>
        </w:rPr>
        <w:br/>
      </w:r>
      <w:r w:rsidRPr="00B65299">
        <w:rPr>
          <w:rFonts w:ascii="楷体" w:eastAsia="楷体" w:hAnsi="楷体" w:cs="宋体" w:hint="eastAsia"/>
          <w:color w:val="000000"/>
          <w:kern w:val="0"/>
          <w:sz w:val="24"/>
          <w:szCs w:val="24"/>
        </w:rPr>
        <w:lastRenderedPageBreak/>
        <w:t xml:space="preserve">    2、 投资管理人</w:t>
      </w:r>
      <w:r w:rsidRPr="00B65299">
        <w:rPr>
          <w:rFonts w:ascii="楷体" w:eastAsia="楷体" w:hAnsi="楷体" w:cs="宋体" w:hint="eastAsia"/>
          <w:color w:val="000000"/>
          <w:kern w:val="0"/>
          <w:sz w:val="24"/>
          <w:szCs w:val="24"/>
        </w:rPr>
        <w:br/>
        <w:t xml:space="preserve">    广东南粤银行为本理财计划的投资管理人，负责本理财计划的投资运作与产品管理。</w:t>
      </w:r>
      <w:r w:rsidRPr="00B65299">
        <w:rPr>
          <w:rFonts w:ascii="楷体" w:eastAsia="楷体" w:hAnsi="楷体" w:cs="宋体" w:hint="eastAsia"/>
          <w:color w:val="000000"/>
          <w:kern w:val="0"/>
          <w:sz w:val="24"/>
          <w:szCs w:val="24"/>
        </w:rPr>
        <w:br/>
        <w:t xml:space="preserve">    3、 基本原理原则</w:t>
      </w:r>
      <w:r w:rsidRPr="00B65299">
        <w:rPr>
          <w:rFonts w:ascii="楷体" w:eastAsia="楷体" w:hAnsi="楷体" w:cs="宋体" w:hint="eastAsia"/>
          <w:color w:val="000000"/>
          <w:kern w:val="0"/>
          <w:sz w:val="24"/>
          <w:szCs w:val="24"/>
        </w:rPr>
        <w:br/>
        <w:t xml:space="preserve">    （1）合</w:t>
      </w:r>
      <w:proofErr w:type="gramStart"/>
      <w:r w:rsidRPr="00B65299">
        <w:rPr>
          <w:rFonts w:ascii="楷体" w:eastAsia="楷体" w:hAnsi="楷体" w:cs="宋体" w:hint="eastAsia"/>
          <w:color w:val="000000"/>
          <w:kern w:val="0"/>
          <w:sz w:val="24"/>
          <w:szCs w:val="24"/>
        </w:rPr>
        <w:t>规</w:t>
      </w:r>
      <w:proofErr w:type="gramEnd"/>
      <w:r w:rsidRPr="00B65299">
        <w:rPr>
          <w:rFonts w:ascii="楷体" w:eastAsia="楷体" w:hAnsi="楷体" w:cs="宋体" w:hint="eastAsia"/>
          <w:color w:val="000000"/>
          <w:kern w:val="0"/>
          <w:sz w:val="24"/>
          <w:szCs w:val="24"/>
        </w:rPr>
        <w:t>运作：严格遵守国家有关法律法规，严格遵守广东南粤银行相关规章制度。</w:t>
      </w:r>
      <w:r w:rsidRPr="00B65299">
        <w:rPr>
          <w:rFonts w:ascii="楷体" w:eastAsia="楷体" w:hAnsi="楷体" w:cs="宋体" w:hint="eastAsia"/>
          <w:color w:val="000000"/>
          <w:kern w:val="0"/>
          <w:sz w:val="24"/>
          <w:szCs w:val="24"/>
        </w:rPr>
        <w:br/>
        <w:t xml:space="preserve">    （2）客户利益最大化：以维护本理财产品的本金安全和收益保障作为组合构建的最高准则。</w:t>
      </w:r>
      <w:r w:rsidRPr="00B65299">
        <w:rPr>
          <w:rFonts w:ascii="楷体" w:eastAsia="楷体" w:hAnsi="楷体" w:cs="宋体" w:hint="eastAsia"/>
          <w:color w:val="000000"/>
          <w:kern w:val="0"/>
          <w:sz w:val="24"/>
          <w:szCs w:val="24"/>
        </w:rPr>
        <w:br/>
        <w:t xml:space="preserve">    （3）尽职透明：严格在本理财产品说明书及对应协议书约定的专项理财资产运作方式范围内履行尽职管理责任，并对本理财产品风险予以充分揭示和披露。</w:t>
      </w:r>
    </w:p>
    <w:p w:rsidR="00B65299" w:rsidRPr="00B65299" w:rsidRDefault="00B65299" w:rsidP="00B65299">
      <w:pPr>
        <w:widowControl/>
        <w:jc w:val="left"/>
        <w:rPr>
          <w:rFonts w:ascii="楷体" w:eastAsia="楷体" w:hAnsi="楷体" w:cs="宋体"/>
          <w:color w:val="000000"/>
          <w:kern w:val="0"/>
          <w:sz w:val="24"/>
          <w:szCs w:val="24"/>
        </w:rPr>
      </w:pPr>
      <w:r w:rsidRPr="00B65299">
        <w:rPr>
          <w:rFonts w:ascii="楷体" w:eastAsia="楷体" w:hAnsi="楷体" w:cs="宋体" w:hint="eastAsia"/>
          <w:color w:val="000000"/>
          <w:kern w:val="0"/>
          <w:sz w:val="24"/>
          <w:szCs w:val="24"/>
        </w:rPr>
        <w:t>三、 理财收益计算示例</w:t>
      </w:r>
    </w:p>
    <w:p w:rsidR="00B65299" w:rsidRPr="00B65299" w:rsidRDefault="00B65299" w:rsidP="00B65299">
      <w:pPr>
        <w:widowControl/>
        <w:jc w:val="left"/>
        <w:rPr>
          <w:rFonts w:ascii="楷体" w:eastAsia="楷体" w:hAnsi="楷体" w:cs="宋体"/>
          <w:color w:val="000000"/>
          <w:kern w:val="0"/>
          <w:sz w:val="24"/>
          <w:szCs w:val="24"/>
        </w:rPr>
      </w:pPr>
      <w:r w:rsidRPr="00B65299">
        <w:rPr>
          <w:rFonts w:ascii="楷体" w:eastAsia="楷体" w:hAnsi="楷体" w:cs="宋体" w:hint="eastAsia"/>
          <w:color w:val="000000"/>
          <w:kern w:val="0"/>
          <w:sz w:val="24"/>
          <w:szCs w:val="24"/>
        </w:rPr>
        <w:t xml:space="preserve">    1、 本金及理财收益风险</w:t>
      </w:r>
      <w:r w:rsidRPr="00B65299">
        <w:rPr>
          <w:rFonts w:ascii="楷体" w:eastAsia="楷体" w:hAnsi="楷体" w:cs="宋体" w:hint="eastAsia"/>
          <w:color w:val="000000"/>
          <w:kern w:val="0"/>
          <w:sz w:val="24"/>
          <w:szCs w:val="24"/>
        </w:rPr>
        <w:br/>
        <w:t>本理财产品不保证本金及收益，广东南粤银行对本理财产品不做出任何保本或收益承诺。</w:t>
      </w:r>
      <w:r w:rsidRPr="00B65299">
        <w:rPr>
          <w:rFonts w:ascii="楷体" w:eastAsia="楷体" w:hAnsi="楷体" w:cs="宋体" w:hint="eastAsia"/>
          <w:color w:val="000000"/>
          <w:kern w:val="0"/>
          <w:sz w:val="24"/>
          <w:szCs w:val="24"/>
        </w:rPr>
        <w:br/>
        <w:t xml:space="preserve">    2、 风险示例</w:t>
      </w:r>
    </w:p>
    <w:p w:rsidR="00B65299" w:rsidRPr="00B65299" w:rsidRDefault="00B65299" w:rsidP="00B65299">
      <w:pPr>
        <w:widowControl/>
        <w:jc w:val="left"/>
        <w:rPr>
          <w:rFonts w:ascii="楷体" w:eastAsia="楷体" w:hAnsi="楷体" w:cs="宋体"/>
          <w:color w:val="000000"/>
          <w:kern w:val="0"/>
          <w:sz w:val="24"/>
          <w:szCs w:val="24"/>
        </w:rPr>
      </w:pPr>
      <w:r w:rsidRPr="00B65299">
        <w:rPr>
          <w:rFonts w:ascii="楷体" w:eastAsia="楷体" w:hAnsi="楷体" w:cs="宋体" w:hint="eastAsia"/>
          <w:color w:val="000000"/>
          <w:kern w:val="0"/>
          <w:sz w:val="24"/>
          <w:szCs w:val="24"/>
        </w:rPr>
        <w:t xml:space="preserve">    在投资于基础资产的本金和获得利息未按时足额回收的情况下，本理财产品将根据投资本息实际回收情况计算投资者应得的本金及理财收益。如到期只能收回本金及部分利息，则本理财产品实际收益率可能低于预期最高收益；如到期未能按时收回任何利息，则本理财产品收益为负，投资者将损失部分本金；如发生基础资产无法回收全部本金的最不利情况下，投资者将损失全部本金。</w:t>
      </w:r>
    </w:p>
    <w:p w:rsidR="00B65299" w:rsidRPr="00B65299" w:rsidRDefault="00B65299" w:rsidP="00B65299">
      <w:pPr>
        <w:widowControl/>
        <w:jc w:val="left"/>
        <w:rPr>
          <w:rFonts w:ascii="楷体" w:eastAsia="楷体" w:hAnsi="楷体" w:cs="宋体"/>
          <w:color w:val="000000"/>
          <w:kern w:val="0"/>
          <w:sz w:val="24"/>
          <w:szCs w:val="24"/>
        </w:rPr>
      </w:pPr>
      <w:r w:rsidRPr="00B65299">
        <w:rPr>
          <w:rFonts w:ascii="楷体" w:eastAsia="楷体" w:hAnsi="楷体" w:cs="宋体" w:hint="eastAsia"/>
          <w:color w:val="000000"/>
          <w:kern w:val="0"/>
          <w:sz w:val="24"/>
          <w:szCs w:val="24"/>
        </w:rPr>
        <w:t xml:space="preserve">    3、 投资者所得收益说明</w:t>
      </w:r>
      <w:r w:rsidRPr="00B65299">
        <w:rPr>
          <w:rFonts w:ascii="楷体" w:eastAsia="楷体" w:hAnsi="楷体" w:cs="宋体" w:hint="eastAsia"/>
          <w:color w:val="000000"/>
          <w:kern w:val="0"/>
          <w:sz w:val="24"/>
          <w:szCs w:val="24"/>
        </w:rPr>
        <w:br/>
        <w:t xml:space="preserve">    本理财产品为非保本浮动收益产品，广东南粤银行对本理财产品不做出任何保本或收益承诺。</w:t>
      </w:r>
    </w:p>
    <w:p w:rsidR="00B65299" w:rsidRPr="00B65299" w:rsidRDefault="00B65299" w:rsidP="00B65299">
      <w:pPr>
        <w:widowControl/>
        <w:jc w:val="left"/>
        <w:rPr>
          <w:rFonts w:ascii="楷体" w:eastAsia="楷体" w:hAnsi="楷体" w:cs="宋体"/>
          <w:color w:val="000000"/>
          <w:kern w:val="0"/>
          <w:sz w:val="24"/>
          <w:szCs w:val="24"/>
        </w:rPr>
      </w:pPr>
      <w:r w:rsidRPr="00B65299">
        <w:rPr>
          <w:rFonts w:ascii="楷体" w:eastAsia="楷体" w:hAnsi="楷体" w:cs="宋体" w:hint="eastAsia"/>
          <w:color w:val="000000"/>
          <w:kern w:val="0"/>
          <w:sz w:val="24"/>
          <w:szCs w:val="24"/>
        </w:rPr>
        <w:t xml:space="preserve">    当理财计划实现</w:t>
      </w:r>
      <w:proofErr w:type="gramStart"/>
      <w:r w:rsidRPr="00B65299">
        <w:rPr>
          <w:rFonts w:ascii="楷体" w:eastAsia="楷体" w:hAnsi="楷体" w:cs="宋体" w:hint="eastAsia"/>
          <w:color w:val="000000"/>
          <w:kern w:val="0"/>
          <w:sz w:val="24"/>
          <w:szCs w:val="24"/>
        </w:rPr>
        <w:t>的年化收益率</w:t>
      </w:r>
      <w:proofErr w:type="gramEnd"/>
      <w:r w:rsidRPr="00B65299">
        <w:rPr>
          <w:rFonts w:ascii="楷体" w:eastAsia="楷体" w:hAnsi="楷体" w:cs="宋体" w:hint="eastAsia"/>
          <w:color w:val="000000"/>
          <w:kern w:val="0"/>
          <w:sz w:val="24"/>
          <w:szCs w:val="24"/>
        </w:rPr>
        <w:t>超出</w:t>
      </w:r>
      <w:proofErr w:type="gramStart"/>
      <w:r w:rsidRPr="00B65299">
        <w:rPr>
          <w:rFonts w:ascii="楷体" w:eastAsia="楷体" w:hAnsi="楷体" w:cs="宋体" w:hint="eastAsia"/>
          <w:color w:val="000000"/>
          <w:kern w:val="0"/>
          <w:sz w:val="24"/>
          <w:szCs w:val="24"/>
        </w:rPr>
        <w:t>参考年化收益率</w:t>
      </w:r>
      <w:proofErr w:type="gramEnd"/>
      <w:r w:rsidRPr="00B65299">
        <w:rPr>
          <w:rFonts w:ascii="楷体" w:eastAsia="楷体" w:hAnsi="楷体" w:cs="宋体" w:hint="eastAsia"/>
          <w:color w:val="000000"/>
          <w:kern w:val="0"/>
          <w:sz w:val="24"/>
          <w:szCs w:val="24"/>
        </w:rPr>
        <w:t>时，投资者只能获得本说明书中注明的对应档次</w:t>
      </w:r>
      <w:proofErr w:type="gramStart"/>
      <w:r w:rsidRPr="00B65299">
        <w:rPr>
          <w:rFonts w:ascii="楷体" w:eastAsia="楷体" w:hAnsi="楷体" w:cs="宋体" w:hint="eastAsia"/>
          <w:color w:val="000000"/>
          <w:kern w:val="0"/>
          <w:sz w:val="24"/>
          <w:szCs w:val="24"/>
        </w:rPr>
        <w:t>参考年化收益率</w:t>
      </w:r>
      <w:proofErr w:type="gramEnd"/>
      <w:r w:rsidRPr="00B65299">
        <w:rPr>
          <w:rFonts w:ascii="楷体" w:eastAsia="楷体" w:hAnsi="楷体" w:cs="宋体" w:hint="eastAsia"/>
          <w:color w:val="000000"/>
          <w:kern w:val="0"/>
          <w:sz w:val="24"/>
          <w:szCs w:val="24"/>
        </w:rPr>
        <w:t>，超出部分作为广东南粤银行管理费；若小于本说明书中的对应档次的</w:t>
      </w:r>
      <w:proofErr w:type="gramStart"/>
      <w:r w:rsidRPr="00B65299">
        <w:rPr>
          <w:rFonts w:ascii="楷体" w:eastAsia="楷体" w:hAnsi="楷体" w:cs="宋体" w:hint="eastAsia"/>
          <w:color w:val="000000"/>
          <w:kern w:val="0"/>
          <w:sz w:val="24"/>
          <w:szCs w:val="24"/>
        </w:rPr>
        <w:t>参考年化收益率</w:t>
      </w:r>
      <w:proofErr w:type="gramEnd"/>
      <w:r w:rsidRPr="00B65299">
        <w:rPr>
          <w:rFonts w:ascii="楷体" w:eastAsia="楷体" w:hAnsi="楷体" w:cs="宋体" w:hint="eastAsia"/>
          <w:color w:val="000000"/>
          <w:kern w:val="0"/>
          <w:sz w:val="24"/>
          <w:szCs w:val="24"/>
        </w:rPr>
        <w:t>，投资者到</w:t>
      </w:r>
      <w:proofErr w:type="gramStart"/>
      <w:r w:rsidRPr="00B65299">
        <w:rPr>
          <w:rFonts w:ascii="楷体" w:eastAsia="楷体" w:hAnsi="楷体" w:cs="宋体" w:hint="eastAsia"/>
          <w:color w:val="000000"/>
          <w:kern w:val="0"/>
          <w:sz w:val="24"/>
          <w:szCs w:val="24"/>
        </w:rPr>
        <w:t>期年化</w:t>
      </w:r>
      <w:proofErr w:type="gramEnd"/>
      <w:r w:rsidRPr="00B65299">
        <w:rPr>
          <w:rFonts w:ascii="楷体" w:eastAsia="楷体" w:hAnsi="楷体" w:cs="宋体" w:hint="eastAsia"/>
          <w:color w:val="000000"/>
          <w:kern w:val="0"/>
          <w:sz w:val="24"/>
          <w:szCs w:val="24"/>
        </w:rPr>
        <w:t>收益率则根据资产实际回收情况计算。</w:t>
      </w:r>
    </w:p>
    <w:p w:rsidR="00B65299" w:rsidRPr="00B65299" w:rsidRDefault="00B65299" w:rsidP="00B65299">
      <w:pPr>
        <w:widowControl/>
        <w:jc w:val="left"/>
        <w:rPr>
          <w:rFonts w:ascii="楷体" w:eastAsia="楷体" w:hAnsi="楷体" w:cs="宋体"/>
          <w:color w:val="000000"/>
          <w:kern w:val="0"/>
          <w:sz w:val="24"/>
          <w:szCs w:val="24"/>
        </w:rPr>
      </w:pPr>
      <w:r w:rsidRPr="00B65299">
        <w:rPr>
          <w:rFonts w:ascii="楷体" w:eastAsia="楷体" w:hAnsi="楷体" w:cs="宋体" w:hint="eastAsia"/>
          <w:color w:val="000000"/>
          <w:kern w:val="0"/>
          <w:sz w:val="24"/>
          <w:szCs w:val="24"/>
        </w:rPr>
        <w:t xml:space="preserve">    4、 投资者所得收益计算示例</w:t>
      </w:r>
    </w:p>
    <w:p w:rsidR="00B65299" w:rsidRPr="00B65299" w:rsidRDefault="00B65299" w:rsidP="00B65299">
      <w:pPr>
        <w:widowControl/>
        <w:jc w:val="left"/>
        <w:rPr>
          <w:rFonts w:ascii="楷体" w:eastAsia="楷体" w:hAnsi="楷体" w:cs="宋体"/>
          <w:color w:val="000000"/>
          <w:kern w:val="0"/>
          <w:sz w:val="24"/>
          <w:szCs w:val="24"/>
        </w:rPr>
      </w:pPr>
      <w:r w:rsidRPr="00B65299">
        <w:rPr>
          <w:rFonts w:ascii="楷体" w:eastAsia="楷体" w:hAnsi="楷体" w:cs="宋体" w:hint="eastAsia"/>
          <w:color w:val="000000"/>
          <w:kern w:val="0"/>
          <w:sz w:val="24"/>
          <w:szCs w:val="24"/>
        </w:rPr>
        <w:t xml:space="preserve">    （1） 计算公式：</w:t>
      </w:r>
      <w:r w:rsidRPr="00B65299">
        <w:rPr>
          <w:rFonts w:ascii="楷体" w:eastAsia="楷体" w:hAnsi="楷体" w:cs="宋体" w:hint="eastAsia"/>
          <w:color w:val="000000"/>
          <w:kern w:val="0"/>
          <w:sz w:val="24"/>
          <w:szCs w:val="24"/>
        </w:rPr>
        <w:br/>
        <w:t xml:space="preserve">    投资者理财收益=认购本金*理财产品</w:t>
      </w:r>
      <w:proofErr w:type="gramStart"/>
      <w:r w:rsidRPr="00B65299">
        <w:rPr>
          <w:rFonts w:ascii="楷体" w:eastAsia="楷体" w:hAnsi="楷体" w:cs="宋体" w:hint="eastAsia"/>
          <w:color w:val="000000"/>
          <w:kern w:val="0"/>
          <w:sz w:val="24"/>
          <w:szCs w:val="24"/>
        </w:rPr>
        <w:t>实际年化收益率</w:t>
      </w:r>
      <w:proofErr w:type="gramEnd"/>
      <w:r w:rsidRPr="00B65299">
        <w:rPr>
          <w:rFonts w:ascii="楷体" w:eastAsia="楷体" w:hAnsi="楷体" w:cs="宋体" w:hint="eastAsia"/>
          <w:color w:val="000000"/>
          <w:kern w:val="0"/>
          <w:sz w:val="24"/>
          <w:szCs w:val="24"/>
        </w:rPr>
        <w:t>*实际理财天数/365，</w:t>
      </w:r>
      <w:r w:rsidRPr="00B65299">
        <w:rPr>
          <w:rFonts w:ascii="楷体" w:eastAsia="楷体" w:hAnsi="楷体" w:cs="宋体" w:hint="eastAsia"/>
          <w:color w:val="000000"/>
          <w:kern w:val="0"/>
          <w:sz w:val="24"/>
          <w:szCs w:val="24"/>
        </w:rPr>
        <w:br/>
        <w:t xml:space="preserve">    投资者到期收到款项按四舍五入法保留两位小数。</w:t>
      </w:r>
      <w:r w:rsidRPr="00B65299">
        <w:rPr>
          <w:rFonts w:ascii="楷体" w:eastAsia="楷体" w:hAnsi="楷体" w:cs="宋体" w:hint="eastAsia"/>
          <w:color w:val="000000"/>
          <w:kern w:val="0"/>
          <w:sz w:val="24"/>
          <w:szCs w:val="24"/>
        </w:rPr>
        <w:br/>
        <w:t xml:space="preserve">    （2） 计算示例：</w:t>
      </w:r>
    </w:p>
    <w:p w:rsidR="00B65299" w:rsidRPr="00B65299" w:rsidRDefault="00B65299" w:rsidP="00B65299">
      <w:pPr>
        <w:widowControl/>
        <w:jc w:val="left"/>
        <w:rPr>
          <w:rFonts w:ascii="楷体" w:eastAsia="楷体" w:hAnsi="楷体" w:cs="宋体"/>
          <w:color w:val="000000"/>
          <w:kern w:val="0"/>
          <w:sz w:val="24"/>
          <w:szCs w:val="24"/>
        </w:rPr>
      </w:pPr>
      <w:r w:rsidRPr="00B65299">
        <w:rPr>
          <w:rFonts w:ascii="楷体" w:eastAsia="楷体" w:hAnsi="楷体" w:cs="宋体" w:hint="eastAsia"/>
          <w:color w:val="000000"/>
          <w:kern w:val="0"/>
          <w:sz w:val="24"/>
          <w:szCs w:val="24"/>
        </w:rPr>
        <w:t xml:space="preserve">    假设客户理财本金为50,000元，对应档次的预期最高</w:t>
      </w:r>
      <w:proofErr w:type="gramStart"/>
      <w:r w:rsidRPr="00B65299">
        <w:rPr>
          <w:rFonts w:ascii="楷体" w:eastAsia="楷体" w:hAnsi="楷体" w:cs="宋体" w:hint="eastAsia"/>
          <w:color w:val="000000"/>
          <w:kern w:val="0"/>
          <w:sz w:val="24"/>
          <w:szCs w:val="24"/>
        </w:rPr>
        <w:t>年化参考</w:t>
      </w:r>
      <w:proofErr w:type="gramEnd"/>
      <w:r w:rsidRPr="00B65299">
        <w:rPr>
          <w:rFonts w:ascii="楷体" w:eastAsia="楷体" w:hAnsi="楷体" w:cs="宋体" w:hint="eastAsia"/>
          <w:color w:val="000000"/>
          <w:kern w:val="0"/>
          <w:sz w:val="24"/>
          <w:szCs w:val="24"/>
        </w:rPr>
        <w:t>收益率为4.7%，实际理财天数63天，</w:t>
      </w:r>
    </w:p>
    <w:p w:rsidR="00B65299" w:rsidRPr="00B65299" w:rsidRDefault="00B65299" w:rsidP="00B65299">
      <w:pPr>
        <w:widowControl/>
        <w:jc w:val="left"/>
        <w:rPr>
          <w:rFonts w:ascii="楷体" w:eastAsia="楷体" w:hAnsi="楷体" w:cs="宋体"/>
          <w:color w:val="000000"/>
          <w:kern w:val="0"/>
          <w:sz w:val="24"/>
          <w:szCs w:val="24"/>
        </w:rPr>
      </w:pPr>
      <w:r w:rsidRPr="00B65299">
        <w:rPr>
          <w:rFonts w:ascii="楷体" w:eastAsia="楷体" w:hAnsi="楷体" w:cs="宋体" w:hint="eastAsia"/>
          <w:color w:val="000000"/>
          <w:kern w:val="0"/>
          <w:sz w:val="24"/>
          <w:szCs w:val="24"/>
        </w:rPr>
        <w:t xml:space="preserve">    A:若客户理财产品到期实现</w:t>
      </w:r>
      <w:proofErr w:type="gramStart"/>
      <w:r w:rsidRPr="00B65299">
        <w:rPr>
          <w:rFonts w:ascii="楷体" w:eastAsia="楷体" w:hAnsi="楷体" w:cs="宋体" w:hint="eastAsia"/>
          <w:color w:val="000000"/>
          <w:kern w:val="0"/>
          <w:sz w:val="24"/>
          <w:szCs w:val="24"/>
        </w:rPr>
        <w:t>的年化收益率</w:t>
      </w:r>
      <w:proofErr w:type="gramEnd"/>
      <w:r w:rsidRPr="00B65299">
        <w:rPr>
          <w:rFonts w:ascii="楷体" w:eastAsia="楷体" w:hAnsi="楷体" w:cs="宋体" w:hint="eastAsia"/>
          <w:color w:val="000000"/>
          <w:kern w:val="0"/>
          <w:sz w:val="24"/>
          <w:szCs w:val="24"/>
        </w:rPr>
        <w:t>为4.8%，则投资者的理财收益为：</w:t>
      </w:r>
    </w:p>
    <w:p w:rsidR="00B65299" w:rsidRPr="00B65299" w:rsidRDefault="00B65299" w:rsidP="00B65299">
      <w:pPr>
        <w:widowControl/>
        <w:jc w:val="left"/>
        <w:rPr>
          <w:rFonts w:ascii="楷体" w:eastAsia="楷体" w:hAnsi="楷体" w:cs="宋体"/>
          <w:color w:val="000000"/>
          <w:kern w:val="0"/>
          <w:sz w:val="24"/>
          <w:szCs w:val="24"/>
        </w:rPr>
      </w:pPr>
      <w:r w:rsidRPr="00B65299">
        <w:rPr>
          <w:rFonts w:ascii="楷体" w:eastAsia="楷体" w:hAnsi="楷体" w:cs="宋体" w:hint="eastAsia"/>
          <w:color w:val="000000"/>
          <w:kern w:val="0"/>
          <w:sz w:val="24"/>
          <w:szCs w:val="24"/>
        </w:rPr>
        <w:t xml:space="preserve">    投资者的理财收益=50,000×4.7%×63/365= 405.62元</w:t>
      </w:r>
    </w:p>
    <w:p w:rsidR="00B65299" w:rsidRPr="00B65299" w:rsidRDefault="00B65299" w:rsidP="00B65299">
      <w:pPr>
        <w:widowControl/>
        <w:jc w:val="left"/>
        <w:rPr>
          <w:rFonts w:ascii="楷体" w:eastAsia="楷体" w:hAnsi="楷体" w:cs="宋体"/>
          <w:color w:val="000000"/>
          <w:kern w:val="0"/>
          <w:sz w:val="24"/>
          <w:szCs w:val="24"/>
        </w:rPr>
      </w:pPr>
      <w:r w:rsidRPr="00B65299">
        <w:rPr>
          <w:rFonts w:ascii="楷体" w:eastAsia="楷体" w:hAnsi="楷体" w:cs="宋体" w:hint="eastAsia"/>
          <w:color w:val="000000"/>
          <w:kern w:val="0"/>
          <w:sz w:val="24"/>
          <w:szCs w:val="24"/>
        </w:rPr>
        <w:t xml:space="preserve">    B:若客户理财产品到期实现</w:t>
      </w:r>
      <w:proofErr w:type="gramStart"/>
      <w:r w:rsidRPr="00B65299">
        <w:rPr>
          <w:rFonts w:ascii="楷体" w:eastAsia="楷体" w:hAnsi="楷体" w:cs="宋体" w:hint="eastAsia"/>
          <w:color w:val="000000"/>
          <w:kern w:val="0"/>
          <w:sz w:val="24"/>
          <w:szCs w:val="24"/>
        </w:rPr>
        <w:t>的年化收益率</w:t>
      </w:r>
      <w:proofErr w:type="gramEnd"/>
      <w:r w:rsidRPr="00B65299">
        <w:rPr>
          <w:rFonts w:ascii="楷体" w:eastAsia="楷体" w:hAnsi="楷体" w:cs="宋体" w:hint="eastAsia"/>
          <w:color w:val="000000"/>
          <w:kern w:val="0"/>
          <w:sz w:val="24"/>
          <w:szCs w:val="24"/>
        </w:rPr>
        <w:t>为4.6%，则投资者的理财收益为：</w:t>
      </w:r>
    </w:p>
    <w:p w:rsidR="00B65299" w:rsidRPr="00B65299" w:rsidRDefault="00B65299" w:rsidP="00B65299">
      <w:pPr>
        <w:widowControl/>
        <w:jc w:val="left"/>
        <w:rPr>
          <w:rFonts w:ascii="楷体" w:eastAsia="楷体" w:hAnsi="楷体" w:cs="宋体"/>
          <w:color w:val="000000"/>
          <w:kern w:val="0"/>
          <w:sz w:val="24"/>
          <w:szCs w:val="24"/>
        </w:rPr>
      </w:pPr>
      <w:r w:rsidRPr="00B65299">
        <w:rPr>
          <w:rFonts w:ascii="楷体" w:eastAsia="楷体" w:hAnsi="楷体" w:cs="宋体" w:hint="eastAsia"/>
          <w:color w:val="000000"/>
          <w:kern w:val="0"/>
          <w:sz w:val="24"/>
          <w:szCs w:val="24"/>
        </w:rPr>
        <w:t xml:space="preserve">    投资者的理财收益=50,000×4.6%×63/365= 396.99元</w:t>
      </w:r>
    </w:p>
    <w:p w:rsidR="00B65299" w:rsidRPr="00B65299" w:rsidRDefault="00B65299" w:rsidP="00B65299">
      <w:pPr>
        <w:widowControl/>
        <w:jc w:val="left"/>
        <w:rPr>
          <w:rFonts w:ascii="楷体" w:eastAsia="楷体" w:hAnsi="楷体" w:cs="宋体"/>
          <w:color w:val="000000"/>
          <w:kern w:val="0"/>
          <w:sz w:val="24"/>
          <w:szCs w:val="24"/>
        </w:rPr>
      </w:pPr>
      <w:r w:rsidRPr="00B65299">
        <w:rPr>
          <w:rFonts w:ascii="楷体" w:eastAsia="楷体" w:hAnsi="楷体" w:cs="宋体" w:hint="eastAsia"/>
          <w:color w:val="000000"/>
          <w:kern w:val="0"/>
          <w:sz w:val="24"/>
          <w:szCs w:val="24"/>
        </w:rPr>
        <w:t xml:space="preserve"> （上述示例数据均采用假设数据计算，测算收益不等于实际收益，投资须谨慎）</w:t>
      </w:r>
      <w:r w:rsidRPr="00B65299">
        <w:rPr>
          <w:rFonts w:ascii="楷体" w:eastAsia="楷体" w:hAnsi="楷体" w:cs="宋体" w:hint="eastAsia"/>
          <w:color w:val="000000"/>
          <w:kern w:val="0"/>
          <w:sz w:val="24"/>
          <w:szCs w:val="24"/>
        </w:rPr>
        <w:br/>
      </w:r>
      <w:r w:rsidRPr="00B65299">
        <w:rPr>
          <w:rFonts w:ascii="楷体" w:eastAsia="楷体" w:hAnsi="楷体" w:cs="宋体" w:hint="eastAsia"/>
          <w:b/>
          <w:bCs/>
          <w:color w:val="000000"/>
          <w:kern w:val="0"/>
          <w:sz w:val="24"/>
          <w:szCs w:val="24"/>
        </w:rPr>
        <w:t>四、 内部风险评级</w:t>
      </w:r>
      <w:r w:rsidRPr="00B65299">
        <w:rPr>
          <w:rFonts w:ascii="楷体" w:eastAsia="楷体" w:hAnsi="楷体" w:cs="宋体" w:hint="eastAsia"/>
          <w:color w:val="000000"/>
          <w:kern w:val="0"/>
          <w:sz w:val="24"/>
          <w:szCs w:val="24"/>
        </w:rPr>
        <w:br/>
        <w:t xml:space="preserve">    1、本产品为非保本浮动收益型理财产品，内部风险评级级别分别为较低风险级别。</w:t>
      </w:r>
      <w:r w:rsidRPr="00B65299">
        <w:rPr>
          <w:rFonts w:ascii="楷体" w:eastAsia="楷体" w:hAnsi="楷体" w:cs="宋体" w:hint="eastAsia"/>
          <w:color w:val="000000"/>
          <w:kern w:val="0"/>
          <w:sz w:val="24"/>
          <w:szCs w:val="24"/>
        </w:rPr>
        <w:br/>
        <w:t xml:space="preserve">    2、</w:t>
      </w:r>
      <w:proofErr w:type="gramStart"/>
      <w:r w:rsidRPr="00B65299">
        <w:rPr>
          <w:rFonts w:ascii="楷体" w:eastAsia="楷体" w:hAnsi="楷体" w:cs="宋体" w:hint="eastAsia"/>
          <w:color w:val="000000"/>
          <w:kern w:val="0"/>
          <w:sz w:val="24"/>
          <w:szCs w:val="24"/>
        </w:rPr>
        <w:t>本风险</w:t>
      </w:r>
      <w:proofErr w:type="gramEnd"/>
      <w:r w:rsidRPr="00B65299">
        <w:rPr>
          <w:rFonts w:ascii="楷体" w:eastAsia="楷体" w:hAnsi="楷体" w:cs="宋体" w:hint="eastAsia"/>
          <w:color w:val="000000"/>
          <w:kern w:val="0"/>
          <w:sz w:val="24"/>
          <w:szCs w:val="24"/>
        </w:rPr>
        <w:t>评级为广东南粤银行内部评级结果，仅供投资者参考，不具备法律效力。</w:t>
      </w:r>
    </w:p>
    <w:p w:rsidR="00B65299" w:rsidRPr="00B65299" w:rsidRDefault="00B65299" w:rsidP="00B65299">
      <w:pPr>
        <w:widowControl/>
        <w:jc w:val="left"/>
        <w:rPr>
          <w:rFonts w:ascii="楷体" w:eastAsia="楷体" w:hAnsi="楷体" w:cs="宋体"/>
          <w:color w:val="000000"/>
          <w:kern w:val="0"/>
          <w:sz w:val="24"/>
          <w:szCs w:val="24"/>
        </w:rPr>
      </w:pPr>
      <w:r w:rsidRPr="00B65299">
        <w:rPr>
          <w:rFonts w:ascii="楷体" w:eastAsia="楷体" w:hAnsi="楷体" w:cs="宋体" w:hint="eastAsia"/>
          <w:color w:val="000000"/>
          <w:kern w:val="0"/>
          <w:sz w:val="24"/>
          <w:szCs w:val="24"/>
        </w:rPr>
        <w:lastRenderedPageBreak/>
        <w:t>本理财产品风险评级：R2</w:t>
      </w:r>
    </w:p>
    <w:tbl>
      <w:tblPr>
        <w:tblW w:w="8620" w:type="dxa"/>
        <w:tblInd w:w="108" w:type="dxa"/>
        <w:tblLook w:val="04A0" w:firstRow="1" w:lastRow="0" w:firstColumn="1" w:lastColumn="0" w:noHBand="0" w:noVBand="1"/>
      </w:tblPr>
      <w:tblGrid>
        <w:gridCol w:w="846"/>
        <w:gridCol w:w="1327"/>
        <w:gridCol w:w="1407"/>
        <w:gridCol w:w="1537"/>
        <w:gridCol w:w="3503"/>
      </w:tblGrid>
      <w:tr w:rsidR="00B65299" w:rsidRPr="00B65299" w:rsidTr="00B65299">
        <w:trPr>
          <w:trHeight w:val="285"/>
        </w:trPr>
        <w:tc>
          <w:tcPr>
            <w:tcW w:w="640"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tbRlV"/>
            <w:vAlign w:val="center"/>
            <w:hideMark/>
          </w:tcPr>
          <w:p w:rsidR="00B65299" w:rsidRPr="00B65299" w:rsidRDefault="00B65299" w:rsidP="00B65299">
            <w:pPr>
              <w:widowControl/>
              <w:jc w:val="center"/>
              <w:rPr>
                <w:rFonts w:ascii="楷体" w:eastAsia="楷体" w:hAnsi="楷体" w:cs="宋体"/>
                <w:color w:val="000000"/>
                <w:kern w:val="0"/>
                <w:sz w:val="24"/>
                <w:szCs w:val="24"/>
              </w:rPr>
            </w:pPr>
            <w:r w:rsidRPr="00B65299">
              <w:rPr>
                <w:rFonts w:ascii="楷体" w:eastAsia="楷体" w:hAnsi="楷体" w:cs="宋体" w:hint="eastAsia"/>
                <w:color w:val="000000"/>
                <w:kern w:val="0"/>
                <w:sz w:val="24"/>
                <w:szCs w:val="24"/>
              </w:rPr>
              <w:t>内部风险评级</w:t>
            </w:r>
          </w:p>
        </w:tc>
        <w:tc>
          <w:tcPr>
            <w:tcW w:w="7980" w:type="dxa"/>
            <w:gridSpan w:val="4"/>
            <w:tcBorders>
              <w:top w:val="single" w:sz="4" w:space="0" w:color="auto"/>
              <w:left w:val="nil"/>
              <w:bottom w:val="single" w:sz="4" w:space="0" w:color="auto"/>
              <w:right w:val="single" w:sz="4" w:space="0" w:color="auto"/>
            </w:tcBorders>
            <w:shd w:val="clear" w:color="auto" w:fill="auto"/>
            <w:vAlign w:val="center"/>
            <w:hideMark/>
          </w:tcPr>
          <w:p w:rsidR="00B65299" w:rsidRPr="00B65299" w:rsidRDefault="00B65299" w:rsidP="00B65299">
            <w:pPr>
              <w:widowControl/>
              <w:jc w:val="center"/>
              <w:rPr>
                <w:rFonts w:ascii="楷体" w:eastAsia="楷体" w:hAnsi="楷体" w:cs="宋体"/>
                <w:color w:val="000000"/>
                <w:kern w:val="0"/>
                <w:sz w:val="24"/>
                <w:szCs w:val="24"/>
              </w:rPr>
            </w:pPr>
            <w:r w:rsidRPr="00B65299">
              <w:rPr>
                <w:rFonts w:ascii="楷体" w:eastAsia="楷体" w:hAnsi="楷体" w:cs="宋体" w:hint="eastAsia"/>
                <w:color w:val="000000"/>
                <w:kern w:val="0"/>
                <w:sz w:val="24"/>
                <w:szCs w:val="24"/>
              </w:rPr>
              <w:t>本理财产品风险评级：R2</w:t>
            </w:r>
          </w:p>
        </w:tc>
      </w:tr>
      <w:tr w:rsidR="00B65299" w:rsidRPr="00B65299" w:rsidTr="00B65299">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B65299" w:rsidRPr="00B65299" w:rsidRDefault="00B65299" w:rsidP="00B65299">
            <w:pPr>
              <w:widowControl/>
              <w:jc w:val="left"/>
              <w:rPr>
                <w:rFonts w:ascii="楷体" w:eastAsia="楷体" w:hAnsi="楷体" w:cs="宋体"/>
                <w:color w:val="000000"/>
                <w:kern w:val="0"/>
                <w:sz w:val="24"/>
                <w:szCs w:val="24"/>
              </w:rPr>
            </w:pPr>
          </w:p>
        </w:tc>
        <w:tc>
          <w:tcPr>
            <w:tcW w:w="1358" w:type="dxa"/>
            <w:tcBorders>
              <w:top w:val="nil"/>
              <w:left w:val="nil"/>
              <w:bottom w:val="single" w:sz="4" w:space="0" w:color="auto"/>
              <w:right w:val="single" w:sz="4" w:space="0" w:color="auto"/>
            </w:tcBorders>
            <w:shd w:val="clear" w:color="auto" w:fill="auto"/>
            <w:vAlign w:val="center"/>
            <w:hideMark/>
          </w:tcPr>
          <w:p w:rsidR="00B65299" w:rsidRPr="00B65299" w:rsidRDefault="00B65299" w:rsidP="00B65299">
            <w:pPr>
              <w:widowControl/>
              <w:jc w:val="center"/>
              <w:rPr>
                <w:rFonts w:ascii="楷体" w:eastAsia="楷体" w:hAnsi="楷体" w:cs="宋体"/>
                <w:color w:val="000000"/>
                <w:kern w:val="0"/>
                <w:sz w:val="24"/>
                <w:szCs w:val="24"/>
              </w:rPr>
            </w:pPr>
            <w:r w:rsidRPr="00B65299">
              <w:rPr>
                <w:rFonts w:ascii="楷体" w:eastAsia="楷体" w:hAnsi="楷体" w:cs="宋体" w:hint="eastAsia"/>
                <w:color w:val="000000"/>
                <w:kern w:val="0"/>
                <w:sz w:val="24"/>
                <w:szCs w:val="24"/>
              </w:rPr>
              <w:t>风险评级</w:t>
            </w:r>
          </w:p>
        </w:tc>
        <w:tc>
          <w:tcPr>
            <w:tcW w:w="1440" w:type="dxa"/>
            <w:tcBorders>
              <w:top w:val="nil"/>
              <w:left w:val="nil"/>
              <w:bottom w:val="single" w:sz="4" w:space="0" w:color="auto"/>
              <w:right w:val="single" w:sz="4" w:space="0" w:color="auto"/>
            </w:tcBorders>
            <w:shd w:val="clear" w:color="auto" w:fill="auto"/>
            <w:vAlign w:val="center"/>
            <w:hideMark/>
          </w:tcPr>
          <w:p w:rsidR="00B65299" w:rsidRPr="00B65299" w:rsidRDefault="00B65299" w:rsidP="00B65299">
            <w:pPr>
              <w:widowControl/>
              <w:jc w:val="center"/>
              <w:rPr>
                <w:rFonts w:ascii="楷体" w:eastAsia="楷体" w:hAnsi="楷体" w:cs="宋体"/>
                <w:color w:val="000000"/>
                <w:kern w:val="0"/>
                <w:sz w:val="24"/>
                <w:szCs w:val="24"/>
              </w:rPr>
            </w:pPr>
            <w:r w:rsidRPr="00B65299">
              <w:rPr>
                <w:rFonts w:ascii="楷体" w:eastAsia="楷体" w:hAnsi="楷体" w:cs="宋体" w:hint="eastAsia"/>
                <w:color w:val="000000"/>
                <w:kern w:val="0"/>
                <w:sz w:val="24"/>
                <w:szCs w:val="24"/>
              </w:rPr>
              <w:t>风险程度</w:t>
            </w:r>
          </w:p>
        </w:tc>
        <w:tc>
          <w:tcPr>
            <w:tcW w:w="1574" w:type="dxa"/>
            <w:tcBorders>
              <w:top w:val="nil"/>
              <w:left w:val="nil"/>
              <w:bottom w:val="single" w:sz="4" w:space="0" w:color="auto"/>
              <w:right w:val="single" w:sz="4" w:space="0" w:color="auto"/>
            </w:tcBorders>
            <w:shd w:val="clear" w:color="auto" w:fill="auto"/>
            <w:vAlign w:val="center"/>
            <w:hideMark/>
          </w:tcPr>
          <w:p w:rsidR="00B65299" w:rsidRPr="00B65299" w:rsidRDefault="00B65299" w:rsidP="00B65299">
            <w:pPr>
              <w:widowControl/>
              <w:jc w:val="center"/>
              <w:rPr>
                <w:rFonts w:ascii="楷体" w:eastAsia="楷体" w:hAnsi="楷体" w:cs="宋体"/>
                <w:color w:val="000000"/>
                <w:kern w:val="0"/>
                <w:sz w:val="24"/>
                <w:szCs w:val="24"/>
              </w:rPr>
            </w:pPr>
            <w:r w:rsidRPr="00B65299">
              <w:rPr>
                <w:rFonts w:ascii="楷体" w:eastAsia="楷体" w:hAnsi="楷体" w:cs="宋体" w:hint="eastAsia"/>
                <w:color w:val="000000"/>
                <w:kern w:val="0"/>
                <w:sz w:val="24"/>
                <w:szCs w:val="24"/>
              </w:rPr>
              <w:t>适合的投资者</w:t>
            </w:r>
          </w:p>
        </w:tc>
        <w:tc>
          <w:tcPr>
            <w:tcW w:w="3608" w:type="dxa"/>
            <w:tcBorders>
              <w:top w:val="nil"/>
              <w:left w:val="nil"/>
              <w:bottom w:val="single" w:sz="4" w:space="0" w:color="auto"/>
              <w:right w:val="single" w:sz="4" w:space="0" w:color="auto"/>
            </w:tcBorders>
            <w:shd w:val="clear" w:color="auto" w:fill="auto"/>
            <w:vAlign w:val="center"/>
            <w:hideMark/>
          </w:tcPr>
          <w:p w:rsidR="00B65299" w:rsidRPr="00B65299" w:rsidRDefault="00B65299" w:rsidP="00B65299">
            <w:pPr>
              <w:widowControl/>
              <w:jc w:val="center"/>
              <w:rPr>
                <w:rFonts w:ascii="楷体" w:eastAsia="楷体" w:hAnsi="楷体" w:cs="宋体"/>
                <w:color w:val="000000"/>
                <w:kern w:val="0"/>
                <w:sz w:val="24"/>
                <w:szCs w:val="24"/>
              </w:rPr>
            </w:pPr>
            <w:r w:rsidRPr="00B65299">
              <w:rPr>
                <w:rFonts w:ascii="楷体" w:eastAsia="楷体" w:hAnsi="楷体" w:cs="宋体" w:hint="eastAsia"/>
                <w:color w:val="000000"/>
                <w:kern w:val="0"/>
                <w:sz w:val="24"/>
                <w:szCs w:val="24"/>
              </w:rPr>
              <w:t>适合投资策略</w:t>
            </w:r>
          </w:p>
        </w:tc>
      </w:tr>
      <w:tr w:rsidR="00B65299" w:rsidRPr="00B65299" w:rsidTr="00B65299">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B65299" w:rsidRPr="00B65299" w:rsidRDefault="00B65299" w:rsidP="00B65299">
            <w:pPr>
              <w:widowControl/>
              <w:jc w:val="left"/>
              <w:rPr>
                <w:rFonts w:ascii="楷体" w:eastAsia="楷体" w:hAnsi="楷体" w:cs="宋体"/>
                <w:color w:val="000000"/>
                <w:kern w:val="0"/>
                <w:sz w:val="24"/>
                <w:szCs w:val="24"/>
              </w:rPr>
            </w:pPr>
          </w:p>
        </w:tc>
        <w:tc>
          <w:tcPr>
            <w:tcW w:w="1358" w:type="dxa"/>
            <w:tcBorders>
              <w:top w:val="nil"/>
              <w:left w:val="nil"/>
              <w:bottom w:val="single" w:sz="4" w:space="0" w:color="auto"/>
              <w:right w:val="single" w:sz="4" w:space="0" w:color="auto"/>
            </w:tcBorders>
            <w:shd w:val="clear" w:color="000000" w:fill="FFFFFF"/>
            <w:vAlign w:val="center"/>
            <w:hideMark/>
          </w:tcPr>
          <w:p w:rsidR="00B65299" w:rsidRPr="00B65299" w:rsidRDefault="00B65299" w:rsidP="00B65299">
            <w:pPr>
              <w:widowControl/>
              <w:jc w:val="center"/>
              <w:rPr>
                <w:rFonts w:ascii="楷体" w:eastAsia="楷体" w:hAnsi="楷体" w:cs="宋体"/>
                <w:color w:val="000000"/>
                <w:kern w:val="0"/>
                <w:sz w:val="24"/>
                <w:szCs w:val="24"/>
              </w:rPr>
            </w:pPr>
            <w:r w:rsidRPr="00B65299">
              <w:rPr>
                <w:rFonts w:ascii="楷体" w:eastAsia="楷体" w:hAnsi="楷体" w:cs="宋体" w:hint="eastAsia"/>
                <w:color w:val="000000"/>
                <w:kern w:val="0"/>
                <w:sz w:val="24"/>
                <w:szCs w:val="24"/>
              </w:rPr>
              <w:t>R1</w:t>
            </w:r>
          </w:p>
        </w:tc>
        <w:tc>
          <w:tcPr>
            <w:tcW w:w="1440" w:type="dxa"/>
            <w:tcBorders>
              <w:top w:val="nil"/>
              <w:left w:val="nil"/>
              <w:bottom w:val="single" w:sz="4" w:space="0" w:color="auto"/>
              <w:right w:val="single" w:sz="4" w:space="0" w:color="auto"/>
            </w:tcBorders>
            <w:shd w:val="clear" w:color="000000" w:fill="FFFFFF"/>
            <w:vAlign w:val="center"/>
            <w:hideMark/>
          </w:tcPr>
          <w:p w:rsidR="00B65299" w:rsidRPr="00B65299" w:rsidRDefault="00B65299" w:rsidP="00B65299">
            <w:pPr>
              <w:widowControl/>
              <w:jc w:val="center"/>
              <w:rPr>
                <w:rFonts w:ascii="楷体" w:eastAsia="楷体" w:hAnsi="楷体" w:cs="宋体"/>
                <w:color w:val="000000"/>
                <w:kern w:val="0"/>
                <w:sz w:val="24"/>
                <w:szCs w:val="24"/>
              </w:rPr>
            </w:pPr>
            <w:r w:rsidRPr="00B65299">
              <w:rPr>
                <w:rFonts w:ascii="楷体" w:eastAsia="楷体" w:hAnsi="楷体" w:cs="宋体" w:hint="eastAsia"/>
                <w:color w:val="000000"/>
                <w:kern w:val="0"/>
                <w:sz w:val="24"/>
                <w:szCs w:val="24"/>
              </w:rPr>
              <w:t>低</w:t>
            </w:r>
          </w:p>
        </w:tc>
        <w:tc>
          <w:tcPr>
            <w:tcW w:w="1574" w:type="dxa"/>
            <w:tcBorders>
              <w:top w:val="nil"/>
              <w:left w:val="nil"/>
              <w:bottom w:val="single" w:sz="4" w:space="0" w:color="auto"/>
              <w:right w:val="single" w:sz="4" w:space="0" w:color="auto"/>
            </w:tcBorders>
            <w:shd w:val="clear" w:color="000000" w:fill="FFFFFF"/>
            <w:vAlign w:val="center"/>
            <w:hideMark/>
          </w:tcPr>
          <w:p w:rsidR="00B65299" w:rsidRPr="00B65299" w:rsidRDefault="00B65299" w:rsidP="00B65299">
            <w:pPr>
              <w:widowControl/>
              <w:jc w:val="center"/>
              <w:rPr>
                <w:rFonts w:ascii="楷体" w:eastAsia="楷体" w:hAnsi="楷体" w:cs="宋体"/>
                <w:color w:val="000000"/>
                <w:kern w:val="0"/>
                <w:sz w:val="24"/>
                <w:szCs w:val="24"/>
              </w:rPr>
            </w:pPr>
            <w:r w:rsidRPr="00B65299">
              <w:rPr>
                <w:rFonts w:ascii="楷体" w:eastAsia="楷体" w:hAnsi="楷体" w:cs="宋体" w:hint="eastAsia"/>
                <w:color w:val="000000"/>
                <w:kern w:val="0"/>
                <w:sz w:val="24"/>
                <w:szCs w:val="24"/>
              </w:rPr>
              <w:t>保守型</w:t>
            </w:r>
          </w:p>
        </w:tc>
        <w:tc>
          <w:tcPr>
            <w:tcW w:w="3608" w:type="dxa"/>
            <w:tcBorders>
              <w:top w:val="nil"/>
              <w:left w:val="nil"/>
              <w:bottom w:val="single" w:sz="4" w:space="0" w:color="auto"/>
              <w:right w:val="single" w:sz="4" w:space="0" w:color="auto"/>
            </w:tcBorders>
            <w:shd w:val="clear" w:color="000000" w:fill="FFFFFF"/>
            <w:vAlign w:val="center"/>
            <w:hideMark/>
          </w:tcPr>
          <w:p w:rsidR="00B65299" w:rsidRPr="00B65299" w:rsidRDefault="00B65299" w:rsidP="00B65299">
            <w:pPr>
              <w:widowControl/>
              <w:jc w:val="center"/>
              <w:rPr>
                <w:rFonts w:ascii="楷体" w:eastAsia="楷体" w:hAnsi="楷体" w:cs="宋体"/>
                <w:color w:val="000000"/>
                <w:kern w:val="0"/>
                <w:sz w:val="24"/>
                <w:szCs w:val="24"/>
              </w:rPr>
            </w:pPr>
            <w:r w:rsidRPr="00B65299">
              <w:rPr>
                <w:rFonts w:ascii="楷体" w:eastAsia="楷体" w:hAnsi="楷体" w:cs="宋体" w:hint="eastAsia"/>
                <w:color w:val="000000"/>
                <w:kern w:val="0"/>
                <w:sz w:val="24"/>
                <w:szCs w:val="24"/>
              </w:rPr>
              <w:t>风险控制</w:t>
            </w:r>
          </w:p>
        </w:tc>
      </w:tr>
      <w:tr w:rsidR="00B65299" w:rsidRPr="00B65299" w:rsidTr="00B65299">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B65299" w:rsidRPr="00B65299" w:rsidRDefault="00B65299" w:rsidP="00B65299">
            <w:pPr>
              <w:widowControl/>
              <w:jc w:val="left"/>
              <w:rPr>
                <w:rFonts w:ascii="楷体" w:eastAsia="楷体" w:hAnsi="楷体" w:cs="宋体"/>
                <w:color w:val="000000"/>
                <w:kern w:val="0"/>
                <w:sz w:val="24"/>
                <w:szCs w:val="24"/>
              </w:rPr>
            </w:pPr>
          </w:p>
        </w:tc>
        <w:tc>
          <w:tcPr>
            <w:tcW w:w="1358" w:type="dxa"/>
            <w:tcBorders>
              <w:top w:val="nil"/>
              <w:left w:val="nil"/>
              <w:bottom w:val="single" w:sz="4" w:space="0" w:color="auto"/>
              <w:right w:val="single" w:sz="4" w:space="0" w:color="auto"/>
            </w:tcBorders>
            <w:shd w:val="clear" w:color="000000" w:fill="FFFFFF"/>
            <w:vAlign w:val="center"/>
            <w:hideMark/>
          </w:tcPr>
          <w:p w:rsidR="00B65299" w:rsidRPr="00B65299" w:rsidRDefault="00B65299" w:rsidP="00B65299">
            <w:pPr>
              <w:widowControl/>
              <w:jc w:val="center"/>
              <w:rPr>
                <w:rFonts w:ascii="楷体" w:eastAsia="楷体" w:hAnsi="楷体" w:cs="宋体"/>
                <w:color w:val="000000"/>
                <w:kern w:val="0"/>
                <w:sz w:val="24"/>
                <w:szCs w:val="24"/>
              </w:rPr>
            </w:pPr>
            <w:r w:rsidRPr="00B65299">
              <w:rPr>
                <w:rFonts w:ascii="楷体" w:eastAsia="楷体" w:hAnsi="楷体" w:cs="宋体" w:hint="eastAsia"/>
                <w:color w:val="000000"/>
                <w:kern w:val="0"/>
                <w:sz w:val="24"/>
                <w:szCs w:val="24"/>
              </w:rPr>
              <w:t>R2</w:t>
            </w:r>
          </w:p>
        </w:tc>
        <w:tc>
          <w:tcPr>
            <w:tcW w:w="1440" w:type="dxa"/>
            <w:tcBorders>
              <w:top w:val="nil"/>
              <w:left w:val="nil"/>
              <w:bottom w:val="single" w:sz="4" w:space="0" w:color="auto"/>
              <w:right w:val="single" w:sz="4" w:space="0" w:color="auto"/>
            </w:tcBorders>
            <w:shd w:val="clear" w:color="000000" w:fill="FFFFFF"/>
            <w:vAlign w:val="center"/>
            <w:hideMark/>
          </w:tcPr>
          <w:p w:rsidR="00B65299" w:rsidRPr="00B65299" w:rsidRDefault="00B65299" w:rsidP="00B65299">
            <w:pPr>
              <w:widowControl/>
              <w:jc w:val="center"/>
              <w:rPr>
                <w:rFonts w:ascii="楷体" w:eastAsia="楷体" w:hAnsi="楷体" w:cs="宋体"/>
                <w:color w:val="000000"/>
                <w:kern w:val="0"/>
                <w:sz w:val="24"/>
                <w:szCs w:val="24"/>
              </w:rPr>
            </w:pPr>
            <w:r w:rsidRPr="00B65299">
              <w:rPr>
                <w:rFonts w:ascii="楷体" w:eastAsia="楷体" w:hAnsi="楷体" w:cs="宋体" w:hint="eastAsia"/>
                <w:color w:val="000000"/>
                <w:kern w:val="0"/>
                <w:sz w:val="24"/>
                <w:szCs w:val="24"/>
              </w:rPr>
              <w:t>较低</w:t>
            </w:r>
          </w:p>
        </w:tc>
        <w:tc>
          <w:tcPr>
            <w:tcW w:w="1574" w:type="dxa"/>
            <w:tcBorders>
              <w:top w:val="nil"/>
              <w:left w:val="nil"/>
              <w:bottom w:val="single" w:sz="4" w:space="0" w:color="auto"/>
              <w:right w:val="single" w:sz="4" w:space="0" w:color="auto"/>
            </w:tcBorders>
            <w:shd w:val="clear" w:color="000000" w:fill="FFFFFF"/>
            <w:vAlign w:val="center"/>
            <w:hideMark/>
          </w:tcPr>
          <w:p w:rsidR="00B65299" w:rsidRPr="00B65299" w:rsidRDefault="00B65299" w:rsidP="00B65299">
            <w:pPr>
              <w:widowControl/>
              <w:jc w:val="center"/>
              <w:rPr>
                <w:rFonts w:ascii="楷体" w:eastAsia="楷体" w:hAnsi="楷体" w:cs="宋体"/>
                <w:color w:val="000000"/>
                <w:kern w:val="0"/>
                <w:sz w:val="24"/>
                <w:szCs w:val="24"/>
              </w:rPr>
            </w:pPr>
            <w:r w:rsidRPr="00B65299">
              <w:rPr>
                <w:rFonts w:ascii="楷体" w:eastAsia="楷体" w:hAnsi="楷体" w:cs="宋体" w:hint="eastAsia"/>
                <w:color w:val="000000"/>
                <w:kern w:val="0"/>
                <w:sz w:val="24"/>
                <w:szCs w:val="24"/>
              </w:rPr>
              <w:t>稳健型</w:t>
            </w:r>
          </w:p>
        </w:tc>
        <w:tc>
          <w:tcPr>
            <w:tcW w:w="3608" w:type="dxa"/>
            <w:tcBorders>
              <w:top w:val="nil"/>
              <w:left w:val="nil"/>
              <w:bottom w:val="single" w:sz="4" w:space="0" w:color="auto"/>
              <w:right w:val="single" w:sz="4" w:space="0" w:color="auto"/>
            </w:tcBorders>
            <w:shd w:val="clear" w:color="000000" w:fill="FFFFFF"/>
            <w:vAlign w:val="center"/>
            <w:hideMark/>
          </w:tcPr>
          <w:p w:rsidR="00B65299" w:rsidRPr="00B65299" w:rsidRDefault="00B65299" w:rsidP="00B65299">
            <w:pPr>
              <w:widowControl/>
              <w:jc w:val="center"/>
              <w:rPr>
                <w:rFonts w:ascii="楷体" w:eastAsia="楷体" w:hAnsi="楷体" w:cs="宋体"/>
                <w:color w:val="000000"/>
                <w:kern w:val="0"/>
                <w:sz w:val="24"/>
                <w:szCs w:val="24"/>
              </w:rPr>
            </w:pPr>
            <w:r w:rsidRPr="00B65299">
              <w:rPr>
                <w:rFonts w:ascii="楷体" w:eastAsia="楷体" w:hAnsi="楷体" w:cs="宋体" w:hint="eastAsia"/>
                <w:color w:val="000000"/>
                <w:kern w:val="0"/>
                <w:sz w:val="24"/>
                <w:szCs w:val="24"/>
              </w:rPr>
              <w:t>稳健发展</w:t>
            </w:r>
          </w:p>
        </w:tc>
      </w:tr>
      <w:tr w:rsidR="00B65299" w:rsidRPr="00B65299" w:rsidTr="00B65299">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B65299" w:rsidRPr="00B65299" w:rsidRDefault="00B65299" w:rsidP="00B65299">
            <w:pPr>
              <w:widowControl/>
              <w:jc w:val="left"/>
              <w:rPr>
                <w:rFonts w:ascii="楷体" w:eastAsia="楷体" w:hAnsi="楷体" w:cs="宋体"/>
                <w:color w:val="000000"/>
                <w:kern w:val="0"/>
                <w:sz w:val="24"/>
                <w:szCs w:val="24"/>
              </w:rPr>
            </w:pPr>
          </w:p>
        </w:tc>
        <w:tc>
          <w:tcPr>
            <w:tcW w:w="1358" w:type="dxa"/>
            <w:tcBorders>
              <w:top w:val="nil"/>
              <w:left w:val="nil"/>
              <w:bottom w:val="single" w:sz="4" w:space="0" w:color="auto"/>
              <w:right w:val="single" w:sz="4" w:space="0" w:color="auto"/>
            </w:tcBorders>
            <w:shd w:val="clear" w:color="000000" w:fill="FFFFFF"/>
            <w:vAlign w:val="center"/>
            <w:hideMark/>
          </w:tcPr>
          <w:p w:rsidR="00B65299" w:rsidRPr="00B65299" w:rsidRDefault="00B65299" w:rsidP="00B65299">
            <w:pPr>
              <w:widowControl/>
              <w:jc w:val="center"/>
              <w:rPr>
                <w:rFonts w:ascii="楷体" w:eastAsia="楷体" w:hAnsi="楷体" w:cs="宋体"/>
                <w:color w:val="000000"/>
                <w:kern w:val="0"/>
                <w:sz w:val="24"/>
                <w:szCs w:val="24"/>
              </w:rPr>
            </w:pPr>
            <w:r w:rsidRPr="00B65299">
              <w:rPr>
                <w:rFonts w:ascii="楷体" w:eastAsia="楷体" w:hAnsi="楷体" w:cs="宋体" w:hint="eastAsia"/>
                <w:color w:val="000000"/>
                <w:kern w:val="0"/>
                <w:sz w:val="24"/>
                <w:szCs w:val="24"/>
              </w:rPr>
              <w:t>R3</w:t>
            </w:r>
          </w:p>
        </w:tc>
        <w:tc>
          <w:tcPr>
            <w:tcW w:w="1440" w:type="dxa"/>
            <w:tcBorders>
              <w:top w:val="nil"/>
              <w:left w:val="nil"/>
              <w:bottom w:val="single" w:sz="4" w:space="0" w:color="auto"/>
              <w:right w:val="single" w:sz="4" w:space="0" w:color="auto"/>
            </w:tcBorders>
            <w:shd w:val="clear" w:color="000000" w:fill="FFFFFF"/>
            <w:vAlign w:val="center"/>
            <w:hideMark/>
          </w:tcPr>
          <w:p w:rsidR="00B65299" w:rsidRPr="00B65299" w:rsidRDefault="00B65299" w:rsidP="00B65299">
            <w:pPr>
              <w:widowControl/>
              <w:jc w:val="center"/>
              <w:rPr>
                <w:rFonts w:ascii="楷体" w:eastAsia="楷体" w:hAnsi="楷体" w:cs="宋体"/>
                <w:color w:val="000000"/>
                <w:kern w:val="0"/>
                <w:sz w:val="24"/>
                <w:szCs w:val="24"/>
              </w:rPr>
            </w:pPr>
            <w:r w:rsidRPr="00B65299">
              <w:rPr>
                <w:rFonts w:ascii="楷体" w:eastAsia="楷体" w:hAnsi="楷体" w:cs="宋体" w:hint="eastAsia"/>
                <w:color w:val="000000"/>
                <w:kern w:val="0"/>
                <w:sz w:val="24"/>
                <w:szCs w:val="24"/>
              </w:rPr>
              <w:t>中</w:t>
            </w:r>
          </w:p>
        </w:tc>
        <w:tc>
          <w:tcPr>
            <w:tcW w:w="1574" w:type="dxa"/>
            <w:tcBorders>
              <w:top w:val="nil"/>
              <w:left w:val="nil"/>
              <w:bottom w:val="single" w:sz="4" w:space="0" w:color="auto"/>
              <w:right w:val="single" w:sz="4" w:space="0" w:color="auto"/>
            </w:tcBorders>
            <w:shd w:val="clear" w:color="000000" w:fill="FFFFFF"/>
            <w:vAlign w:val="center"/>
            <w:hideMark/>
          </w:tcPr>
          <w:p w:rsidR="00B65299" w:rsidRPr="00B65299" w:rsidRDefault="00B65299" w:rsidP="00B65299">
            <w:pPr>
              <w:widowControl/>
              <w:jc w:val="center"/>
              <w:rPr>
                <w:rFonts w:ascii="楷体" w:eastAsia="楷体" w:hAnsi="楷体" w:cs="宋体"/>
                <w:color w:val="000000"/>
                <w:kern w:val="0"/>
                <w:sz w:val="24"/>
                <w:szCs w:val="24"/>
              </w:rPr>
            </w:pPr>
            <w:r w:rsidRPr="00B65299">
              <w:rPr>
                <w:rFonts w:ascii="楷体" w:eastAsia="楷体" w:hAnsi="楷体" w:cs="宋体" w:hint="eastAsia"/>
                <w:color w:val="000000"/>
                <w:kern w:val="0"/>
                <w:sz w:val="24"/>
                <w:szCs w:val="24"/>
              </w:rPr>
              <w:t>平衡型</w:t>
            </w:r>
          </w:p>
        </w:tc>
        <w:tc>
          <w:tcPr>
            <w:tcW w:w="3608" w:type="dxa"/>
            <w:tcBorders>
              <w:top w:val="nil"/>
              <w:left w:val="nil"/>
              <w:bottom w:val="single" w:sz="4" w:space="0" w:color="auto"/>
              <w:right w:val="single" w:sz="4" w:space="0" w:color="auto"/>
            </w:tcBorders>
            <w:shd w:val="clear" w:color="000000" w:fill="FFFFFF"/>
            <w:vAlign w:val="center"/>
            <w:hideMark/>
          </w:tcPr>
          <w:p w:rsidR="00B65299" w:rsidRPr="00B65299" w:rsidRDefault="00B65299" w:rsidP="00B65299">
            <w:pPr>
              <w:widowControl/>
              <w:jc w:val="center"/>
              <w:rPr>
                <w:rFonts w:ascii="楷体" w:eastAsia="楷体" w:hAnsi="楷体" w:cs="宋体"/>
                <w:color w:val="000000"/>
                <w:kern w:val="0"/>
                <w:sz w:val="24"/>
                <w:szCs w:val="24"/>
              </w:rPr>
            </w:pPr>
            <w:r w:rsidRPr="00B65299">
              <w:rPr>
                <w:rFonts w:ascii="楷体" w:eastAsia="楷体" w:hAnsi="楷体" w:cs="宋体" w:hint="eastAsia"/>
                <w:color w:val="000000"/>
                <w:kern w:val="0"/>
                <w:sz w:val="24"/>
                <w:szCs w:val="24"/>
              </w:rPr>
              <w:t>均衡成长</w:t>
            </w:r>
          </w:p>
        </w:tc>
      </w:tr>
      <w:tr w:rsidR="00B65299" w:rsidRPr="00B65299" w:rsidTr="00B65299">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B65299" w:rsidRPr="00B65299" w:rsidRDefault="00B65299" w:rsidP="00B65299">
            <w:pPr>
              <w:widowControl/>
              <w:jc w:val="left"/>
              <w:rPr>
                <w:rFonts w:ascii="楷体" w:eastAsia="楷体" w:hAnsi="楷体" w:cs="宋体"/>
                <w:color w:val="000000"/>
                <w:kern w:val="0"/>
                <w:sz w:val="24"/>
                <w:szCs w:val="24"/>
              </w:rPr>
            </w:pPr>
          </w:p>
        </w:tc>
        <w:tc>
          <w:tcPr>
            <w:tcW w:w="1358" w:type="dxa"/>
            <w:tcBorders>
              <w:top w:val="nil"/>
              <w:left w:val="nil"/>
              <w:bottom w:val="single" w:sz="4" w:space="0" w:color="auto"/>
              <w:right w:val="single" w:sz="4" w:space="0" w:color="auto"/>
            </w:tcBorders>
            <w:shd w:val="clear" w:color="000000" w:fill="FFFFFF"/>
            <w:vAlign w:val="center"/>
            <w:hideMark/>
          </w:tcPr>
          <w:p w:rsidR="00B65299" w:rsidRPr="00B65299" w:rsidRDefault="00B65299" w:rsidP="00B65299">
            <w:pPr>
              <w:widowControl/>
              <w:jc w:val="center"/>
              <w:rPr>
                <w:rFonts w:ascii="楷体" w:eastAsia="楷体" w:hAnsi="楷体" w:cs="宋体"/>
                <w:color w:val="000000"/>
                <w:kern w:val="0"/>
                <w:sz w:val="24"/>
                <w:szCs w:val="24"/>
              </w:rPr>
            </w:pPr>
            <w:r w:rsidRPr="00B65299">
              <w:rPr>
                <w:rFonts w:ascii="楷体" w:eastAsia="楷体" w:hAnsi="楷体" w:cs="宋体" w:hint="eastAsia"/>
                <w:color w:val="000000"/>
                <w:kern w:val="0"/>
                <w:sz w:val="24"/>
                <w:szCs w:val="24"/>
              </w:rPr>
              <w:t>R4</w:t>
            </w:r>
          </w:p>
        </w:tc>
        <w:tc>
          <w:tcPr>
            <w:tcW w:w="1440" w:type="dxa"/>
            <w:tcBorders>
              <w:top w:val="nil"/>
              <w:left w:val="nil"/>
              <w:bottom w:val="single" w:sz="4" w:space="0" w:color="auto"/>
              <w:right w:val="single" w:sz="4" w:space="0" w:color="auto"/>
            </w:tcBorders>
            <w:shd w:val="clear" w:color="000000" w:fill="FFFFFF"/>
            <w:vAlign w:val="center"/>
            <w:hideMark/>
          </w:tcPr>
          <w:p w:rsidR="00B65299" w:rsidRPr="00B65299" w:rsidRDefault="00B65299" w:rsidP="00B65299">
            <w:pPr>
              <w:widowControl/>
              <w:jc w:val="center"/>
              <w:rPr>
                <w:rFonts w:ascii="楷体" w:eastAsia="楷体" w:hAnsi="楷体" w:cs="宋体"/>
                <w:color w:val="000000"/>
                <w:kern w:val="0"/>
                <w:sz w:val="24"/>
                <w:szCs w:val="24"/>
              </w:rPr>
            </w:pPr>
            <w:r w:rsidRPr="00B65299">
              <w:rPr>
                <w:rFonts w:ascii="楷体" w:eastAsia="楷体" w:hAnsi="楷体" w:cs="宋体" w:hint="eastAsia"/>
                <w:color w:val="000000"/>
                <w:kern w:val="0"/>
                <w:sz w:val="24"/>
                <w:szCs w:val="24"/>
              </w:rPr>
              <w:t>较高</w:t>
            </w:r>
          </w:p>
        </w:tc>
        <w:tc>
          <w:tcPr>
            <w:tcW w:w="1574" w:type="dxa"/>
            <w:tcBorders>
              <w:top w:val="nil"/>
              <w:left w:val="nil"/>
              <w:bottom w:val="single" w:sz="4" w:space="0" w:color="auto"/>
              <w:right w:val="single" w:sz="4" w:space="0" w:color="auto"/>
            </w:tcBorders>
            <w:shd w:val="clear" w:color="000000" w:fill="FFFFFF"/>
            <w:vAlign w:val="center"/>
            <w:hideMark/>
          </w:tcPr>
          <w:p w:rsidR="00B65299" w:rsidRPr="00B65299" w:rsidRDefault="00B65299" w:rsidP="00B65299">
            <w:pPr>
              <w:widowControl/>
              <w:jc w:val="center"/>
              <w:rPr>
                <w:rFonts w:ascii="楷体" w:eastAsia="楷体" w:hAnsi="楷体" w:cs="宋体"/>
                <w:color w:val="000000"/>
                <w:kern w:val="0"/>
                <w:sz w:val="24"/>
                <w:szCs w:val="24"/>
              </w:rPr>
            </w:pPr>
            <w:r w:rsidRPr="00B65299">
              <w:rPr>
                <w:rFonts w:ascii="楷体" w:eastAsia="楷体" w:hAnsi="楷体" w:cs="宋体" w:hint="eastAsia"/>
                <w:color w:val="000000"/>
                <w:kern w:val="0"/>
                <w:sz w:val="24"/>
                <w:szCs w:val="24"/>
              </w:rPr>
              <w:t>成长型</w:t>
            </w:r>
          </w:p>
        </w:tc>
        <w:tc>
          <w:tcPr>
            <w:tcW w:w="3608" w:type="dxa"/>
            <w:tcBorders>
              <w:top w:val="nil"/>
              <w:left w:val="nil"/>
              <w:bottom w:val="single" w:sz="4" w:space="0" w:color="auto"/>
              <w:right w:val="single" w:sz="4" w:space="0" w:color="auto"/>
            </w:tcBorders>
            <w:shd w:val="clear" w:color="000000" w:fill="FFFFFF"/>
            <w:vAlign w:val="center"/>
            <w:hideMark/>
          </w:tcPr>
          <w:p w:rsidR="00B65299" w:rsidRPr="00B65299" w:rsidRDefault="00B65299" w:rsidP="00B65299">
            <w:pPr>
              <w:widowControl/>
              <w:jc w:val="center"/>
              <w:rPr>
                <w:rFonts w:ascii="楷体" w:eastAsia="楷体" w:hAnsi="楷体" w:cs="宋体"/>
                <w:color w:val="000000"/>
                <w:kern w:val="0"/>
                <w:sz w:val="24"/>
                <w:szCs w:val="24"/>
              </w:rPr>
            </w:pPr>
            <w:r w:rsidRPr="00B65299">
              <w:rPr>
                <w:rFonts w:ascii="楷体" w:eastAsia="楷体" w:hAnsi="楷体" w:cs="宋体" w:hint="eastAsia"/>
                <w:color w:val="000000"/>
                <w:kern w:val="0"/>
                <w:sz w:val="24"/>
                <w:szCs w:val="24"/>
              </w:rPr>
              <w:t>积极进取</w:t>
            </w:r>
          </w:p>
        </w:tc>
      </w:tr>
      <w:tr w:rsidR="00B65299" w:rsidRPr="00B65299" w:rsidTr="00B65299">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B65299" w:rsidRPr="00B65299" w:rsidRDefault="00B65299" w:rsidP="00B65299">
            <w:pPr>
              <w:widowControl/>
              <w:jc w:val="left"/>
              <w:rPr>
                <w:rFonts w:ascii="楷体" w:eastAsia="楷体" w:hAnsi="楷体" w:cs="宋体"/>
                <w:color w:val="000000"/>
                <w:kern w:val="0"/>
                <w:sz w:val="24"/>
                <w:szCs w:val="24"/>
              </w:rPr>
            </w:pPr>
          </w:p>
        </w:tc>
        <w:tc>
          <w:tcPr>
            <w:tcW w:w="1358" w:type="dxa"/>
            <w:tcBorders>
              <w:top w:val="nil"/>
              <w:left w:val="nil"/>
              <w:bottom w:val="single" w:sz="4" w:space="0" w:color="auto"/>
              <w:right w:val="single" w:sz="4" w:space="0" w:color="auto"/>
            </w:tcBorders>
            <w:shd w:val="clear" w:color="000000" w:fill="FFFFFF"/>
            <w:vAlign w:val="center"/>
            <w:hideMark/>
          </w:tcPr>
          <w:p w:rsidR="00B65299" w:rsidRPr="00B65299" w:rsidRDefault="00B65299" w:rsidP="00B65299">
            <w:pPr>
              <w:widowControl/>
              <w:jc w:val="center"/>
              <w:rPr>
                <w:rFonts w:ascii="楷体" w:eastAsia="楷体" w:hAnsi="楷体" w:cs="宋体"/>
                <w:color w:val="000000"/>
                <w:kern w:val="0"/>
                <w:sz w:val="24"/>
                <w:szCs w:val="24"/>
              </w:rPr>
            </w:pPr>
            <w:r w:rsidRPr="00B65299">
              <w:rPr>
                <w:rFonts w:ascii="楷体" w:eastAsia="楷体" w:hAnsi="楷体" w:cs="宋体" w:hint="eastAsia"/>
                <w:color w:val="000000"/>
                <w:kern w:val="0"/>
                <w:sz w:val="24"/>
                <w:szCs w:val="24"/>
              </w:rPr>
              <w:t>R5</w:t>
            </w:r>
          </w:p>
        </w:tc>
        <w:tc>
          <w:tcPr>
            <w:tcW w:w="1440" w:type="dxa"/>
            <w:tcBorders>
              <w:top w:val="nil"/>
              <w:left w:val="nil"/>
              <w:bottom w:val="single" w:sz="4" w:space="0" w:color="auto"/>
              <w:right w:val="single" w:sz="4" w:space="0" w:color="auto"/>
            </w:tcBorders>
            <w:shd w:val="clear" w:color="000000" w:fill="FFFFFF"/>
            <w:vAlign w:val="center"/>
            <w:hideMark/>
          </w:tcPr>
          <w:p w:rsidR="00B65299" w:rsidRPr="00B65299" w:rsidRDefault="00B65299" w:rsidP="00B65299">
            <w:pPr>
              <w:widowControl/>
              <w:jc w:val="center"/>
              <w:rPr>
                <w:rFonts w:ascii="楷体" w:eastAsia="楷体" w:hAnsi="楷体" w:cs="宋体"/>
                <w:color w:val="000000"/>
                <w:kern w:val="0"/>
                <w:sz w:val="24"/>
                <w:szCs w:val="24"/>
              </w:rPr>
            </w:pPr>
            <w:r w:rsidRPr="00B65299">
              <w:rPr>
                <w:rFonts w:ascii="楷体" w:eastAsia="楷体" w:hAnsi="楷体" w:cs="宋体" w:hint="eastAsia"/>
                <w:color w:val="000000"/>
                <w:kern w:val="0"/>
                <w:sz w:val="24"/>
                <w:szCs w:val="24"/>
              </w:rPr>
              <w:t>高</w:t>
            </w:r>
          </w:p>
        </w:tc>
        <w:tc>
          <w:tcPr>
            <w:tcW w:w="1574" w:type="dxa"/>
            <w:tcBorders>
              <w:top w:val="nil"/>
              <w:left w:val="nil"/>
              <w:bottom w:val="single" w:sz="4" w:space="0" w:color="auto"/>
              <w:right w:val="single" w:sz="4" w:space="0" w:color="auto"/>
            </w:tcBorders>
            <w:shd w:val="clear" w:color="000000" w:fill="FFFFFF"/>
            <w:vAlign w:val="center"/>
            <w:hideMark/>
          </w:tcPr>
          <w:p w:rsidR="00B65299" w:rsidRPr="00B65299" w:rsidRDefault="00B65299" w:rsidP="00B65299">
            <w:pPr>
              <w:widowControl/>
              <w:jc w:val="center"/>
              <w:rPr>
                <w:rFonts w:ascii="楷体" w:eastAsia="楷体" w:hAnsi="楷体" w:cs="宋体"/>
                <w:color w:val="000000"/>
                <w:kern w:val="0"/>
                <w:sz w:val="24"/>
                <w:szCs w:val="24"/>
              </w:rPr>
            </w:pPr>
            <w:r w:rsidRPr="00B65299">
              <w:rPr>
                <w:rFonts w:ascii="楷体" w:eastAsia="楷体" w:hAnsi="楷体" w:cs="宋体" w:hint="eastAsia"/>
                <w:color w:val="000000"/>
                <w:kern w:val="0"/>
                <w:sz w:val="24"/>
                <w:szCs w:val="24"/>
              </w:rPr>
              <w:t>进取型</w:t>
            </w:r>
          </w:p>
        </w:tc>
        <w:tc>
          <w:tcPr>
            <w:tcW w:w="3608" w:type="dxa"/>
            <w:tcBorders>
              <w:top w:val="nil"/>
              <w:left w:val="nil"/>
              <w:bottom w:val="single" w:sz="4" w:space="0" w:color="auto"/>
              <w:right w:val="single" w:sz="4" w:space="0" w:color="auto"/>
            </w:tcBorders>
            <w:shd w:val="clear" w:color="000000" w:fill="FFFFFF"/>
            <w:vAlign w:val="center"/>
            <w:hideMark/>
          </w:tcPr>
          <w:p w:rsidR="00B65299" w:rsidRPr="00B65299" w:rsidRDefault="00B65299" w:rsidP="00B65299">
            <w:pPr>
              <w:widowControl/>
              <w:jc w:val="center"/>
              <w:rPr>
                <w:rFonts w:ascii="楷体" w:eastAsia="楷体" w:hAnsi="楷体" w:cs="宋体"/>
                <w:color w:val="000000"/>
                <w:kern w:val="0"/>
                <w:sz w:val="24"/>
                <w:szCs w:val="24"/>
              </w:rPr>
            </w:pPr>
            <w:r w:rsidRPr="00B65299">
              <w:rPr>
                <w:rFonts w:ascii="楷体" w:eastAsia="楷体" w:hAnsi="楷体" w:cs="宋体" w:hint="eastAsia"/>
                <w:color w:val="000000"/>
                <w:kern w:val="0"/>
                <w:sz w:val="24"/>
                <w:szCs w:val="24"/>
              </w:rPr>
              <w:t>风险承受</w:t>
            </w:r>
          </w:p>
        </w:tc>
      </w:tr>
    </w:tbl>
    <w:p w:rsidR="00B65299" w:rsidRPr="00B65299" w:rsidRDefault="00B65299" w:rsidP="00B65299">
      <w:pPr>
        <w:widowControl/>
        <w:jc w:val="left"/>
        <w:rPr>
          <w:rFonts w:ascii="楷体" w:eastAsia="楷体" w:hAnsi="楷体" w:cs="宋体"/>
          <w:color w:val="000000"/>
          <w:kern w:val="0"/>
          <w:sz w:val="24"/>
          <w:szCs w:val="24"/>
        </w:rPr>
      </w:pPr>
      <w:bookmarkStart w:id="0" w:name="_GoBack"/>
      <w:r w:rsidRPr="00B65299">
        <w:rPr>
          <w:rFonts w:ascii="楷体" w:eastAsia="楷体" w:hAnsi="楷体" w:cs="宋体" w:hint="eastAsia"/>
          <w:color w:val="000000"/>
          <w:kern w:val="0"/>
          <w:sz w:val="24"/>
          <w:szCs w:val="24"/>
        </w:rPr>
        <w:t>（本评级为广东南粤银行股份有限公司内部评级，仅供参考）</w:t>
      </w:r>
    </w:p>
    <w:p w:rsidR="00B65299" w:rsidRPr="00B65299" w:rsidRDefault="00B65299" w:rsidP="00B65299">
      <w:pPr>
        <w:widowControl/>
        <w:jc w:val="left"/>
        <w:rPr>
          <w:rFonts w:ascii="楷体" w:eastAsia="楷体" w:hAnsi="楷体" w:cs="宋体"/>
          <w:b/>
          <w:bCs/>
          <w:color w:val="000000"/>
          <w:kern w:val="0"/>
          <w:sz w:val="24"/>
          <w:szCs w:val="24"/>
        </w:rPr>
      </w:pPr>
      <w:r w:rsidRPr="00B65299">
        <w:rPr>
          <w:rFonts w:ascii="楷体" w:eastAsia="楷体" w:hAnsi="楷体" w:cs="宋体" w:hint="eastAsia"/>
          <w:b/>
          <w:bCs/>
          <w:color w:val="000000"/>
          <w:kern w:val="0"/>
          <w:sz w:val="24"/>
          <w:szCs w:val="24"/>
        </w:rPr>
        <w:t>五、信息披露及投诉方式</w:t>
      </w:r>
    </w:p>
    <w:p w:rsidR="00B65299" w:rsidRPr="00B65299" w:rsidRDefault="00B65299" w:rsidP="00B65299">
      <w:pPr>
        <w:widowControl/>
        <w:jc w:val="left"/>
        <w:rPr>
          <w:rFonts w:ascii="楷体" w:eastAsia="楷体" w:hAnsi="楷体" w:cs="宋体"/>
          <w:color w:val="000000"/>
          <w:kern w:val="0"/>
          <w:sz w:val="24"/>
          <w:szCs w:val="24"/>
        </w:rPr>
      </w:pPr>
      <w:r w:rsidRPr="00B65299">
        <w:rPr>
          <w:rFonts w:ascii="楷体" w:eastAsia="楷体" w:hAnsi="楷体" w:cs="宋体" w:hint="eastAsia"/>
          <w:color w:val="000000"/>
          <w:kern w:val="0"/>
          <w:sz w:val="24"/>
          <w:szCs w:val="24"/>
        </w:rPr>
        <w:t xml:space="preserve">    1、信息披露：广东南粤银行不单独为投资者提供本理财计划的有关资产变动、收入和费用、期末资产估值等情况的账单。广东南粤银行在到期日前1天内公布本理财计划的相关信息，投资者可到广东南粤银行各营业网点或致电广东南粤银行客户服务热线（4000－961818）或登陆广东南粤银行网站: http://www.gdnybank.com进行查询。</w:t>
      </w:r>
    </w:p>
    <w:p w:rsidR="00B65299" w:rsidRPr="00B65299" w:rsidRDefault="00B65299" w:rsidP="00B65299">
      <w:pPr>
        <w:widowControl/>
        <w:jc w:val="left"/>
        <w:rPr>
          <w:rFonts w:ascii="楷体" w:eastAsia="楷体" w:hAnsi="楷体" w:cs="宋体"/>
          <w:color w:val="000000"/>
          <w:kern w:val="0"/>
          <w:sz w:val="24"/>
          <w:szCs w:val="24"/>
        </w:rPr>
      </w:pPr>
      <w:r w:rsidRPr="00B65299">
        <w:rPr>
          <w:rFonts w:ascii="楷体" w:eastAsia="楷体" w:hAnsi="楷体" w:cs="宋体" w:hint="eastAsia"/>
          <w:color w:val="000000"/>
          <w:kern w:val="0"/>
          <w:sz w:val="24"/>
          <w:szCs w:val="24"/>
        </w:rPr>
        <w:t xml:space="preserve">    2、如本理财计划发生提前终止，广东南粤银行将于实际终止清算日的前1个工作日在各营业网点发布相关信息公告。</w:t>
      </w:r>
    </w:p>
    <w:p w:rsidR="00B65299" w:rsidRPr="00B65299" w:rsidRDefault="00B65299" w:rsidP="00B65299">
      <w:pPr>
        <w:widowControl/>
        <w:jc w:val="left"/>
        <w:rPr>
          <w:rFonts w:ascii="楷体" w:eastAsia="楷体" w:hAnsi="楷体" w:cs="宋体"/>
          <w:color w:val="000000"/>
          <w:kern w:val="0"/>
          <w:sz w:val="24"/>
          <w:szCs w:val="24"/>
        </w:rPr>
      </w:pPr>
      <w:r w:rsidRPr="00B65299">
        <w:rPr>
          <w:rFonts w:ascii="楷体" w:eastAsia="楷体" w:hAnsi="楷体" w:cs="宋体" w:hint="eastAsia"/>
          <w:color w:val="000000"/>
          <w:kern w:val="0"/>
          <w:sz w:val="24"/>
          <w:szCs w:val="24"/>
        </w:rPr>
        <w:t xml:space="preserve">    3、投资者对本理财计划有任何异议或意见，可联系广东南粤银行各营业网点或致电广东南粤银行统一客户服务热线（4000－961818）。</w:t>
      </w:r>
    </w:p>
    <w:p w:rsidR="00B65299" w:rsidRPr="00B65299" w:rsidRDefault="00B65299" w:rsidP="00B65299">
      <w:pPr>
        <w:widowControl/>
        <w:jc w:val="left"/>
        <w:rPr>
          <w:rFonts w:ascii="楷体" w:eastAsia="楷体" w:hAnsi="楷体" w:cs="宋体"/>
          <w:color w:val="000000"/>
          <w:kern w:val="0"/>
          <w:sz w:val="24"/>
          <w:szCs w:val="24"/>
        </w:rPr>
      </w:pPr>
    </w:p>
    <w:p w:rsidR="00B65299" w:rsidRPr="00B65299" w:rsidRDefault="00B65299" w:rsidP="00B65299">
      <w:pPr>
        <w:widowControl/>
        <w:jc w:val="right"/>
        <w:rPr>
          <w:rFonts w:ascii="楷体" w:eastAsia="楷体" w:hAnsi="楷体" w:cs="宋体"/>
          <w:color w:val="000000"/>
          <w:kern w:val="0"/>
          <w:sz w:val="24"/>
          <w:szCs w:val="24"/>
        </w:rPr>
      </w:pPr>
      <w:r w:rsidRPr="00B65299">
        <w:rPr>
          <w:rFonts w:ascii="楷体" w:eastAsia="楷体" w:hAnsi="楷体" w:cs="宋体" w:hint="eastAsia"/>
          <w:color w:val="000000"/>
          <w:kern w:val="0"/>
          <w:sz w:val="24"/>
          <w:szCs w:val="24"/>
        </w:rPr>
        <w:t>广东南粤银行股份有限公司</w:t>
      </w:r>
    </w:p>
    <w:bookmarkEnd w:id="0"/>
    <w:p w:rsidR="00B84BEC" w:rsidRPr="00B65299" w:rsidRDefault="00B84BEC" w:rsidP="00B65299"/>
    <w:sectPr w:rsidR="00B84BEC" w:rsidRPr="00B65299">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2D22" w:rsidRDefault="00F52D22" w:rsidP="004B5DDF">
      <w:r>
        <w:separator/>
      </w:r>
    </w:p>
  </w:endnote>
  <w:endnote w:type="continuationSeparator" w:id="0">
    <w:p w:rsidR="00F52D22" w:rsidRDefault="00F52D22" w:rsidP="004B5D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1863347"/>
      <w:docPartObj>
        <w:docPartGallery w:val="Page Numbers (Bottom of Page)"/>
        <w:docPartUnique/>
      </w:docPartObj>
    </w:sdtPr>
    <w:sdtEndPr/>
    <w:sdtContent>
      <w:p w:rsidR="004B5DDF" w:rsidRDefault="004B5DDF">
        <w:pPr>
          <w:pStyle w:val="a4"/>
          <w:jc w:val="center"/>
        </w:pPr>
        <w:r>
          <w:fldChar w:fldCharType="begin"/>
        </w:r>
        <w:r>
          <w:instrText>PAGE   \* MERGEFORMAT</w:instrText>
        </w:r>
        <w:r>
          <w:fldChar w:fldCharType="separate"/>
        </w:r>
        <w:r w:rsidR="00B65299" w:rsidRPr="00B65299">
          <w:rPr>
            <w:noProof/>
            <w:lang w:val="zh-CN"/>
          </w:rPr>
          <w:t>5</w:t>
        </w:r>
        <w:r>
          <w:fldChar w:fldCharType="end"/>
        </w:r>
      </w:p>
    </w:sdtContent>
  </w:sdt>
  <w:p w:rsidR="004B5DDF" w:rsidRDefault="004B5DD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2D22" w:rsidRDefault="00F52D22" w:rsidP="004B5DDF">
      <w:r>
        <w:separator/>
      </w:r>
    </w:p>
  </w:footnote>
  <w:footnote w:type="continuationSeparator" w:id="0">
    <w:p w:rsidR="00F52D22" w:rsidRDefault="00F52D22" w:rsidP="004B5D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1CFE"/>
    <w:rsid w:val="00002711"/>
    <w:rsid w:val="00051F69"/>
    <w:rsid w:val="00091CFE"/>
    <w:rsid w:val="001D25AB"/>
    <w:rsid w:val="001E425F"/>
    <w:rsid w:val="001F0C1E"/>
    <w:rsid w:val="00201132"/>
    <w:rsid w:val="00222A1B"/>
    <w:rsid w:val="00243F0E"/>
    <w:rsid w:val="002D5D09"/>
    <w:rsid w:val="004120CA"/>
    <w:rsid w:val="00460FC2"/>
    <w:rsid w:val="00473A02"/>
    <w:rsid w:val="004B3B91"/>
    <w:rsid w:val="004B5DDF"/>
    <w:rsid w:val="004B5E52"/>
    <w:rsid w:val="00513E1E"/>
    <w:rsid w:val="0053636C"/>
    <w:rsid w:val="0058324E"/>
    <w:rsid w:val="005A7019"/>
    <w:rsid w:val="00666449"/>
    <w:rsid w:val="00680A97"/>
    <w:rsid w:val="006864CA"/>
    <w:rsid w:val="00692785"/>
    <w:rsid w:val="006C109B"/>
    <w:rsid w:val="007467D6"/>
    <w:rsid w:val="0085658E"/>
    <w:rsid w:val="008C13EB"/>
    <w:rsid w:val="008E39DE"/>
    <w:rsid w:val="008F09A3"/>
    <w:rsid w:val="009461CB"/>
    <w:rsid w:val="00982901"/>
    <w:rsid w:val="009B7D61"/>
    <w:rsid w:val="00A26CD4"/>
    <w:rsid w:val="00AC554E"/>
    <w:rsid w:val="00B476F8"/>
    <w:rsid w:val="00B65299"/>
    <w:rsid w:val="00B84BEC"/>
    <w:rsid w:val="00C83948"/>
    <w:rsid w:val="00CE25B0"/>
    <w:rsid w:val="00DA1F31"/>
    <w:rsid w:val="00E3180D"/>
    <w:rsid w:val="00E44BEB"/>
    <w:rsid w:val="00E93786"/>
    <w:rsid w:val="00E953A2"/>
    <w:rsid w:val="00EA0289"/>
    <w:rsid w:val="00EC7FD3"/>
    <w:rsid w:val="00F24B41"/>
    <w:rsid w:val="00F409F3"/>
    <w:rsid w:val="00F52D22"/>
    <w:rsid w:val="00F952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B5DD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B5DDF"/>
    <w:rPr>
      <w:sz w:val="18"/>
      <w:szCs w:val="18"/>
    </w:rPr>
  </w:style>
  <w:style w:type="paragraph" w:styleId="a4">
    <w:name w:val="footer"/>
    <w:basedOn w:val="a"/>
    <w:link w:val="Char0"/>
    <w:uiPriority w:val="99"/>
    <w:unhideWhenUsed/>
    <w:rsid w:val="004B5DDF"/>
    <w:pPr>
      <w:tabs>
        <w:tab w:val="center" w:pos="4153"/>
        <w:tab w:val="right" w:pos="8306"/>
      </w:tabs>
      <w:snapToGrid w:val="0"/>
      <w:jc w:val="left"/>
    </w:pPr>
    <w:rPr>
      <w:sz w:val="18"/>
      <w:szCs w:val="18"/>
    </w:rPr>
  </w:style>
  <w:style w:type="character" w:customStyle="1" w:styleId="Char0">
    <w:name w:val="页脚 Char"/>
    <w:basedOn w:val="a0"/>
    <w:link w:val="a4"/>
    <w:uiPriority w:val="99"/>
    <w:rsid w:val="004B5DD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B5DD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B5DDF"/>
    <w:rPr>
      <w:sz w:val="18"/>
      <w:szCs w:val="18"/>
    </w:rPr>
  </w:style>
  <w:style w:type="paragraph" w:styleId="a4">
    <w:name w:val="footer"/>
    <w:basedOn w:val="a"/>
    <w:link w:val="Char0"/>
    <w:uiPriority w:val="99"/>
    <w:unhideWhenUsed/>
    <w:rsid w:val="004B5DDF"/>
    <w:pPr>
      <w:tabs>
        <w:tab w:val="center" w:pos="4153"/>
        <w:tab w:val="right" w:pos="8306"/>
      </w:tabs>
      <w:snapToGrid w:val="0"/>
      <w:jc w:val="left"/>
    </w:pPr>
    <w:rPr>
      <w:sz w:val="18"/>
      <w:szCs w:val="18"/>
    </w:rPr>
  </w:style>
  <w:style w:type="character" w:customStyle="1" w:styleId="Char0">
    <w:name w:val="页脚 Char"/>
    <w:basedOn w:val="a0"/>
    <w:link w:val="a4"/>
    <w:uiPriority w:val="99"/>
    <w:rsid w:val="004B5DD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200518">
      <w:bodyDiv w:val="1"/>
      <w:marLeft w:val="0"/>
      <w:marRight w:val="0"/>
      <w:marTop w:val="0"/>
      <w:marBottom w:val="0"/>
      <w:divBdr>
        <w:top w:val="none" w:sz="0" w:space="0" w:color="auto"/>
        <w:left w:val="none" w:sz="0" w:space="0" w:color="auto"/>
        <w:bottom w:val="none" w:sz="0" w:space="0" w:color="auto"/>
        <w:right w:val="none" w:sz="0" w:space="0" w:color="auto"/>
      </w:divBdr>
    </w:div>
    <w:div w:id="201403993">
      <w:bodyDiv w:val="1"/>
      <w:marLeft w:val="0"/>
      <w:marRight w:val="0"/>
      <w:marTop w:val="0"/>
      <w:marBottom w:val="0"/>
      <w:divBdr>
        <w:top w:val="none" w:sz="0" w:space="0" w:color="auto"/>
        <w:left w:val="none" w:sz="0" w:space="0" w:color="auto"/>
        <w:bottom w:val="none" w:sz="0" w:space="0" w:color="auto"/>
        <w:right w:val="none" w:sz="0" w:space="0" w:color="auto"/>
      </w:divBdr>
    </w:div>
    <w:div w:id="223029224">
      <w:bodyDiv w:val="1"/>
      <w:marLeft w:val="0"/>
      <w:marRight w:val="0"/>
      <w:marTop w:val="0"/>
      <w:marBottom w:val="0"/>
      <w:divBdr>
        <w:top w:val="none" w:sz="0" w:space="0" w:color="auto"/>
        <w:left w:val="none" w:sz="0" w:space="0" w:color="auto"/>
        <w:bottom w:val="none" w:sz="0" w:space="0" w:color="auto"/>
        <w:right w:val="none" w:sz="0" w:space="0" w:color="auto"/>
      </w:divBdr>
    </w:div>
    <w:div w:id="425544354">
      <w:bodyDiv w:val="1"/>
      <w:marLeft w:val="0"/>
      <w:marRight w:val="0"/>
      <w:marTop w:val="0"/>
      <w:marBottom w:val="0"/>
      <w:divBdr>
        <w:top w:val="none" w:sz="0" w:space="0" w:color="auto"/>
        <w:left w:val="none" w:sz="0" w:space="0" w:color="auto"/>
        <w:bottom w:val="none" w:sz="0" w:space="0" w:color="auto"/>
        <w:right w:val="none" w:sz="0" w:space="0" w:color="auto"/>
      </w:divBdr>
    </w:div>
    <w:div w:id="459760138">
      <w:bodyDiv w:val="1"/>
      <w:marLeft w:val="0"/>
      <w:marRight w:val="0"/>
      <w:marTop w:val="0"/>
      <w:marBottom w:val="0"/>
      <w:divBdr>
        <w:top w:val="none" w:sz="0" w:space="0" w:color="auto"/>
        <w:left w:val="none" w:sz="0" w:space="0" w:color="auto"/>
        <w:bottom w:val="none" w:sz="0" w:space="0" w:color="auto"/>
        <w:right w:val="none" w:sz="0" w:space="0" w:color="auto"/>
      </w:divBdr>
    </w:div>
    <w:div w:id="693461056">
      <w:bodyDiv w:val="1"/>
      <w:marLeft w:val="0"/>
      <w:marRight w:val="0"/>
      <w:marTop w:val="0"/>
      <w:marBottom w:val="0"/>
      <w:divBdr>
        <w:top w:val="none" w:sz="0" w:space="0" w:color="auto"/>
        <w:left w:val="none" w:sz="0" w:space="0" w:color="auto"/>
        <w:bottom w:val="none" w:sz="0" w:space="0" w:color="auto"/>
        <w:right w:val="none" w:sz="0" w:space="0" w:color="auto"/>
      </w:divBdr>
    </w:div>
    <w:div w:id="872890391">
      <w:bodyDiv w:val="1"/>
      <w:marLeft w:val="0"/>
      <w:marRight w:val="0"/>
      <w:marTop w:val="0"/>
      <w:marBottom w:val="0"/>
      <w:divBdr>
        <w:top w:val="none" w:sz="0" w:space="0" w:color="auto"/>
        <w:left w:val="none" w:sz="0" w:space="0" w:color="auto"/>
        <w:bottom w:val="none" w:sz="0" w:space="0" w:color="auto"/>
        <w:right w:val="none" w:sz="0" w:space="0" w:color="auto"/>
      </w:divBdr>
    </w:div>
    <w:div w:id="921063637">
      <w:bodyDiv w:val="1"/>
      <w:marLeft w:val="0"/>
      <w:marRight w:val="0"/>
      <w:marTop w:val="0"/>
      <w:marBottom w:val="0"/>
      <w:divBdr>
        <w:top w:val="none" w:sz="0" w:space="0" w:color="auto"/>
        <w:left w:val="none" w:sz="0" w:space="0" w:color="auto"/>
        <w:bottom w:val="none" w:sz="0" w:space="0" w:color="auto"/>
        <w:right w:val="none" w:sz="0" w:space="0" w:color="auto"/>
      </w:divBdr>
    </w:div>
    <w:div w:id="1116221576">
      <w:bodyDiv w:val="1"/>
      <w:marLeft w:val="0"/>
      <w:marRight w:val="0"/>
      <w:marTop w:val="0"/>
      <w:marBottom w:val="0"/>
      <w:divBdr>
        <w:top w:val="none" w:sz="0" w:space="0" w:color="auto"/>
        <w:left w:val="none" w:sz="0" w:space="0" w:color="auto"/>
        <w:bottom w:val="none" w:sz="0" w:space="0" w:color="auto"/>
        <w:right w:val="none" w:sz="0" w:space="0" w:color="auto"/>
      </w:divBdr>
    </w:div>
    <w:div w:id="1170482088">
      <w:bodyDiv w:val="1"/>
      <w:marLeft w:val="0"/>
      <w:marRight w:val="0"/>
      <w:marTop w:val="0"/>
      <w:marBottom w:val="0"/>
      <w:divBdr>
        <w:top w:val="none" w:sz="0" w:space="0" w:color="auto"/>
        <w:left w:val="none" w:sz="0" w:space="0" w:color="auto"/>
        <w:bottom w:val="none" w:sz="0" w:space="0" w:color="auto"/>
        <w:right w:val="none" w:sz="0" w:space="0" w:color="auto"/>
      </w:divBdr>
    </w:div>
    <w:div w:id="1232430120">
      <w:bodyDiv w:val="1"/>
      <w:marLeft w:val="0"/>
      <w:marRight w:val="0"/>
      <w:marTop w:val="0"/>
      <w:marBottom w:val="0"/>
      <w:divBdr>
        <w:top w:val="none" w:sz="0" w:space="0" w:color="auto"/>
        <w:left w:val="none" w:sz="0" w:space="0" w:color="auto"/>
        <w:bottom w:val="none" w:sz="0" w:space="0" w:color="auto"/>
        <w:right w:val="none" w:sz="0" w:space="0" w:color="auto"/>
      </w:divBdr>
    </w:div>
    <w:div w:id="1332368245">
      <w:bodyDiv w:val="1"/>
      <w:marLeft w:val="0"/>
      <w:marRight w:val="0"/>
      <w:marTop w:val="0"/>
      <w:marBottom w:val="0"/>
      <w:divBdr>
        <w:top w:val="none" w:sz="0" w:space="0" w:color="auto"/>
        <w:left w:val="none" w:sz="0" w:space="0" w:color="auto"/>
        <w:bottom w:val="none" w:sz="0" w:space="0" w:color="auto"/>
        <w:right w:val="none" w:sz="0" w:space="0" w:color="auto"/>
      </w:divBdr>
    </w:div>
    <w:div w:id="1395196356">
      <w:bodyDiv w:val="1"/>
      <w:marLeft w:val="0"/>
      <w:marRight w:val="0"/>
      <w:marTop w:val="0"/>
      <w:marBottom w:val="0"/>
      <w:divBdr>
        <w:top w:val="none" w:sz="0" w:space="0" w:color="auto"/>
        <w:left w:val="none" w:sz="0" w:space="0" w:color="auto"/>
        <w:bottom w:val="none" w:sz="0" w:space="0" w:color="auto"/>
        <w:right w:val="none" w:sz="0" w:space="0" w:color="auto"/>
      </w:divBdr>
    </w:div>
    <w:div w:id="1423528933">
      <w:bodyDiv w:val="1"/>
      <w:marLeft w:val="0"/>
      <w:marRight w:val="0"/>
      <w:marTop w:val="0"/>
      <w:marBottom w:val="0"/>
      <w:divBdr>
        <w:top w:val="none" w:sz="0" w:space="0" w:color="auto"/>
        <w:left w:val="none" w:sz="0" w:space="0" w:color="auto"/>
        <w:bottom w:val="none" w:sz="0" w:space="0" w:color="auto"/>
        <w:right w:val="none" w:sz="0" w:space="0" w:color="auto"/>
      </w:divBdr>
    </w:div>
    <w:div w:id="1479348074">
      <w:bodyDiv w:val="1"/>
      <w:marLeft w:val="0"/>
      <w:marRight w:val="0"/>
      <w:marTop w:val="0"/>
      <w:marBottom w:val="0"/>
      <w:divBdr>
        <w:top w:val="none" w:sz="0" w:space="0" w:color="auto"/>
        <w:left w:val="none" w:sz="0" w:space="0" w:color="auto"/>
        <w:bottom w:val="none" w:sz="0" w:space="0" w:color="auto"/>
        <w:right w:val="none" w:sz="0" w:space="0" w:color="auto"/>
      </w:divBdr>
    </w:div>
    <w:div w:id="1651713974">
      <w:bodyDiv w:val="1"/>
      <w:marLeft w:val="0"/>
      <w:marRight w:val="0"/>
      <w:marTop w:val="0"/>
      <w:marBottom w:val="0"/>
      <w:divBdr>
        <w:top w:val="none" w:sz="0" w:space="0" w:color="auto"/>
        <w:left w:val="none" w:sz="0" w:space="0" w:color="auto"/>
        <w:bottom w:val="none" w:sz="0" w:space="0" w:color="auto"/>
        <w:right w:val="none" w:sz="0" w:space="0" w:color="auto"/>
      </w:divBdr>
    </w:div>
    <w:div w:id="1721706174">
      <w:bodyDiv w:val="1"/>
      <w:marLeft w:val="0"/>
      <w:marRight w:val="0"/>
      <w:marTop w:val="0"/>
      <w:marBottom w:val="0"/>
      <w:divBdr>
        <w:top w:val="none" w:sz="0" w:space="0" w:color="auto"/>
        <w:left w:val="none" w:sz="0" w:space="0" w:color="auto"/>
        <w:bottom w:val="none" w:sz="0" w:space="0" w:color="auto"/>
        <w:right w:val="none" w:sz="0" w:space="0" w:color="auto"/>
      </w:divBdr>
    </w:div>
    <w:div w:id="1800102679">
      <w:bodyDiv w:val="1"/>
      <w:marLeft w:val="0"/>
      <w:marRight w:val="0"/>
      <w:marTop w:val="0"/>
      <w:marBottom w:val="0"/>
      <w:divBdr>
        <w:top w:val="none" w:sz="0" w:space="0" w:color="auto"/>
        <w:left w:val="none" w:sz="0" w:space="0" w:color="auto"/>
        <w:bottom w:val="none" w:sz="0" w:space="0" w:color="auto"/>
        <w:right w:val="none" w:sz="0" w:space="0" w:color="auto"/>
      </w:divBdr>
    </w:div>
    <w:div w:id="1834175202">
      <w:bodyDiv w:val="1"/>
      <w:marLeft w:val="0"/>
      <w:marRight w:val="0"/>
      <w:marTop w:val="0"/>
      <w:marBottom w:val="0"/>
      <w:divBdr>
        <w:top w:val="none" w:sz="0" w:space="0" w:color="auto"/>
        <w:left w:val="none" w:sz="0" w:space="0" w:color="auto"/>
        <w:bottom w:val="none" w:sz="0" w:space="0" w:color="auto"/>
        <w:right w:val="none" w:sz="0" w:space="0" w:color="auto"/>
      </w:divBdr>
    </w:div>
    <w:div w:id="2082097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730</Words>
  <Characters>4163</Characters>
  <Application>Microsoft Office Word</Application>
  <DocSecurity>0</DocSecurity>
  <Lines>34</Lines>
  <Paragraphs>9</Paragraphs>
  <ScaleCrop>false</ScaleCrop>
  <Company>Lenovo</Company>
  <LinksUpToDate>false</LinksUpToDate>
  <CharactersWithSpaces>4884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gdny</cp:lastModifiedBy>
  <cp:revision>3</cp:revision>
  <dcterms:created xsi:type="dcterms:W3CDTF">2016-03-07T03:13:00Z</dcterms:created>
  <dcterms:modified xsi:type="dcterms:W3CDTF">2016-03-07T03:14:00Z</dcterms:modified>
</cp:coreProperties>
</file>