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0B" w:rsidRDefault="005D690B" w:rsidP="005D690B">
      <w:pPr>
        <w:spacing w:line="360" w:lineRule="auto"/>
        <w:jc w:val="center"/>
        <w:rPr>
          <w:rFonts w:ascii="宋体" w:hAnsi="宋体" w:cs="宋体"/>
          <w:color w:val="000000"/>
          <w:kern w:val="0"/>
          <w:sz w:val="32"/>
          <w:szCs w:val="32"/>
        </w:rPr>
      </w:pPr>
      <w:r>
        <w:rPr>
          <w:rFonts w:ascii="宋体" w:hAnsi="宋体" w:cs="宋体" w:hint="eastAsia"/>
          <w:color w:val="000000"/>
          <w:kern w:val="0"/>
          <w:sz w:val="32"/>
          <w:szCs w:val="32"/>
        </w:rPr>
        <w:t>广东南粤银行“宝盈天利”开放式保本型</w:t>
      </w:r>
    </w:p>
    <w:p w:rsidR="005D690B" w:rsidRDefault="005D690B" w:rsidP="005D690B">
      <w:pPr>
        <w:spacing w:line="360" w:lineRule="auto"/>
        <w:jc w:val="center"/>
        <w:rPr>
          <w:rFonts w:ascii="宋体" w:hAnsi="宋体" w:cs="宋体"/>
          <w:color w:val="000000"/>
          <w:kern w:val="0"/>
          <w:sz w:val="32"/>
          <w:szCs w:val="32"/>
        </w:rPr>
      </w:pPr>
      <w:r>
        <w:rPr>
          <w:rFonts w:ascii="宋体" w:hAnsi="宋体" w:cs="宋体" w:hint="eastAsia"/>
          <w:color w:val="000000"/>
          <w:kern w:val="0"/>
          <w:sz w:val="32"/>
          <w:szCs w:val="32"/>
        </w:rPr>
        <w:t>人民币理财产品说明书</w:t>
      </w:r>
    </w:p>
    <w:p w:rsidR="005D690B" w:rsidRDefault="005D690B" w:rsidP="005D690B">
      <w:pPr>
        <w:widowControl/>
        <w:spacing w:line="520" w:lineRule="exact"/>
        <w:ind w:firstLineChars="196" w:firstLine="472"/>
        <w:jc w:val="left"/>
        <w:rPr>
          <w:rFonts w:ascii="宋体" w:hAnsi="宋体" w:cs="宋体"/>
          <w:b/>
          <w:bCs/>
          <w:color w:val="000000"/>
          <w:kern w:val="0"/>
          <w:sz w:val="24"/>
        </w:rPr>
      </w:pPr>
      <w:r>
        <w:rPr>
          <w:rFonts w:ascii="宋体" w:hAnsi="宋体" w:cs="宋体" w:hint="eastAsia"/>
          <w:b/>
          <w:bCs/>
          <w:color w:val="000000"/>
          <w:kern w:val="0"/>
          <w:sz w:val="24"/>
        </w:rPr>
        <w:t>客户须知</w:t>
      </w:r>
    </w:p>
    <w:p w:rsidR="005D690B" w:rsidRDefault="005D690B" w:rsidP="005D690B">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说明书与《广东南粤银行理财产品客户协议书》、《广东南粤银行理财产品适合度评估书》、《广东南粤银行理财产品风险揭示书》、《广东南粤银行理财产品客户权益须知》共同构成完整的不可分割的理财合同。</w:t>
      </w:r>
    </w:p>
    <w:p w:rsidR="005D690B" w:rsidRDefault="005D690B" w:rsidP="005D690B">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理财非存款，产品有风险，投资需谨慎。在购买本理财产品前，请投资者确保完全明白此类投资的性质、投资所涉及的风险以及自身承受风险的能力。如影响投资者风险承受能力的因素发生变化，投资者再次购买理财产品时请主动要求广东南粤银行重新进行风险承受能力评估。投资者若对本说明书的内容有任何疑问，请向广东南粤银行各营业网点咨询。</w:t>
      </w:r>
    </w:p>
    <w:p w:rsidR="005D690B" w:rsidRDefault="005D690B" w:rsidP="005D690B">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本说明书所引用的资料及数据仅供投资者参考，均不构成对投资者的推荐和承诺。</w:t>
      </w:r>
    </w:p>
    <w:p w:rsidR="005D690B" w:rsidRDefault="005D690B" w:rsidP="005D690B">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本说明书所有条款解释权归广东南粤银行股份有限公司所有。</w:t>
      </w:r>
    </w:p>
    <w:p w:rsidR="005D690B" w:rsidRDefault="005D690B" w:rsidP="005D690B">
      <w:pPr>
        <w:widowControl/>
        <w:spacing w:line="480" w:lineRule="exact"/>
        <w:ind w:firstLineChars="200" w:firstLine="480"/>
        <w:jc w:val="left"/>
        <w:rPr>
          <w:rFonts w:ascii="宋体" w:hAnsi="宋体" w:cs="宋体"/>
          <w:color w:val="000000"/>
          <w:kern w:val="0"/>
          <w:sz w:val="24"/>
        </w:rPr>
      </w:pPr>
    </w:p>
    <w:p w:rsidR="005D690B" w:rsidRDefault="005D690B" w:rsidP="005D690B">
      <w:pPr>
        <w:widowControl/>
        <w:spacing w:line="480" w:lineRule="exact"/>
        <w:ind w:firstLineChars="196" w:firstLine="472"/>
        <w:jc w:val="left"/>
        <w:rPr>
          <w:rFonts w:ascii="宋体" w:hAnsi="宋体" w:cs="宋体"/>
          <w:b/>
          <w:color w:val="000000"/>
          <w:kern w:val="0"/>
          <w:sz w:val="24"/>
        </w:rPr>
      </w:pPr>
      <w:r>
        <w:rPr>
          <w:rFonts w:ascii="宋体" w:hAnsi="宋体" w:cs="宋体" w:hint="eastAsia"/>
          <w:b/>
          <w:color w:val="000000"/>
          <w:kern w:val="0"/>
          <w:sz w:val="24"/>
        </w:rPr>
        <w:t>风险提示</w:t>
      </w:r>
    </w:p>
    <w:p w:rsidR="005D690B" w:rsidRDefault="005D690B" w:rsidP="005D690B">
      <w:pPr>
        <w:autoSpaceDE w:val="0"/>
        <w:autoSpaceDN w:val="0"/>
        <w:adjustRightInd w:val="0"/>
        <w:spacing w:line="480" w:lineRule="exact"/>
        <w:ind w:firstLineChars="200" w:firstLine="482"/>
        <w:jc w:val="left"/>
        <w:rPr>
          <w:rFonts w:ascii="宋体" w:hAnsi="宋体" w:cs="楷体_GB2312"/>
          <w:b/>
          <w:color w:val="000000"/>
          <w:kern w:val="0"/>
          <w:sz w:val="24"/>
        </w:rPr>
      </w:pPr>
      <w:r>
        <w:rPr>
          <w:rFonts w:ascii="宋体" w:hAnsi="宋体" w:cs="楷体_GB2312" w:hint="eastAsia"/>
          <w:b/>
          <w:color w:val="000000"/>
          <w:kern w:val="0"/>
          <w:sz w:val="24"/>
        </w:rPr>
        <w:t>本理财产品为保本浮动收益型，理财收益来源于理财产品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5D690B" w:rsidRDefault="005D690B" w:rsidP="005D690B">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本金及理财收益风险：本理财产品为保本浮动收益型，理财收益来源于本理财产品投资的回报，在部分或全部资产未能完全按预期价格出让的情况下，投资者净收益率可能下降，最不利情形是投资者净收益率为0，但保证投资者本金不受损失。</w:t>
      </w:r>
    </w:p>
    <w:p w:rsidR="005D690B" w:rsidRDefault="005D690B" w:rsidP="005D690B">
      <w:pPr>
        <w:spacing w:line="480" w:lineRule="exact"/>
        <w:ind w:firstLineChars="200" w:firstLine="480"/>
        <w:rPr>
          <w:rFonts w:ascii="宋体" w:hAnsi="宋体" w:cs="宋体"/>
          <w:color w:val="000000"/>
          <w:kern w:val="0"/>
          <w:sz w:val="24"/>
        </w:rPr>
      </w:pPr>
      <w:r>
        <w:rPr>
          <w:rFonts w:ascii="宋体" w:hAnsi="宋体" w:cs="楷体_GB2312" w:hint="eastAsia"/>
          <w:color w:val="000000"/>
          <w:kern w:val="0"/>
          <w:sz w:val="24"/>
        </w:rPr>
        <w:t>2、</w:t>
      </w:r>
      <w:r>
        <w:rPr>
          <w:rFonts w:ascii="宋体" w:hAnsi="宋体" w:cs="宋体" w:hint="eastAsia"/>
          <w:color w:val="000000"/>
          <w:kern w:val="0"/>
          <w:sz w:val="24"/>
        </w:rPr>
        <w:t>流动性风险：本理财产品在存续期间，当日累计净赎回额（当日累计赎回额-当日累计新增投资额）超过前1交易日产品总规模的20%时，即发生巨额赎回，此时广东南粤银行有权拒绝赎回申请，因此可能影响投资者的资金安排，</w:t>
      </w:r>
      <w:r>
        <w:rPr>
          <w:rFonts w:ascii="宋体" w:hAnsi="宋体" w:cs="宋体" w:hint="eastAsia"/>
          <w:color w:val="000000"/>
          <w:kern w:val="0"/>
          <w:sz w:val="24"/>
        </w:rPr>
        <w:lastRenderedPageBreak/>
        <w:t>带来流动性风险。</w:t>
      </w:r>
    </w:p>
    <w:p w:rsidR="005D690B" w:rsidRDefault="005D690B" w:rsidP="005D690B">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3、市场风险：受各种市场因素、宏观政策因素等的影响，理财产品所投资的</w:t>
      </w:r>
      <w:r>
        <w:rPr>
          <w:rFonts w:ascii="宋体" w:hAnsi="宋体" w:cs="楷体_GB2312" w:hint="eastAsia"/>
          <w:color w:val="000000"/>
          <w:kern w:val="0"/>
          <w:sz w:val="24"/>
        </w:rPr>
        <w:t>未到期债券、央行票据、金融债、信托融资等金融产品</w:t>
      </w:r>
      <w:r>
        <w:rPr>
          <w:rFonts w:ascii="宋体" w:hAnsi="宋体" w:cs="宋体" w:hint="eastAsia"/>
          <w:kern w:val="0"/>
          <w:sz w:val="24"/>
        </w:rPr>
        <w:t>会上下波动，影响理财产品收益。</w:t>
      </w:r>
    </w:p>
    <w:p w:rsidR="005D690B" w:rsidRDefault="005D690B" w:rsidP="005D690B">
      <w:pPr>
        <w:autoSpaceDE w:val="0"/>
        <w:autoSpaceDN w:val="0"/>
        <w:adjustRightInd w:val="0"/>
        <w:spacing w:line="480" w:lineRule="exact"/>
        <w:ind w:right="-500" w:firstLineChars="194" w:firstLine="466"/>
        <w:jc w:val="left"/>
        <w:rPr>
          <w:rFonts w:ascii="宋体" w:hAnsi="宋体" w:cs="楷体_GB2312"/>
          <w:color w:val="000000"/>
          <w:kern w:val="0"/>
          <w:sz w:val="24"/>
        </w:rPr>
      </w:pPr>
      <w:r>
        <w:rPr>
          <w:rFonts w:ascii="宋体" w:hAnsi="宋体" w:cs="楷体_GB2312" w:hint="eastAsia"/>
          <w:color w:val="000000"/>
          <w:kern w:val="0"/>
          <w:sz w:val="24"/>
        </w:rPr>
        <w:t>4、管理人风险：因管理人的知识、经验、判断、决策、技能等，会影响其对信息的获取和对经济形势、金融市场价格走势的判断从而影响收益水平。</w:t>
      </w:r>
    </w:p>
    <w:p w:rsidR="005D690B" w:rsidRDefault="005D690B" w:rsidP="005D690B">
      <w:pPr>
        <w:autoSpaceDE w:val="0"/>
        <w:autoSpaceDN w:val="0"/>
        <w:adjustRightInd w:val="0"/>
        <w:spacing w:line="480" w:lineRule="exact"/>
        <w:ind w:right="-500" w:firstLineChars="194" w:firstLine="466"/>
        <w:jc w:val="left"/>
        <w:rPr>
          <w:rFonts w:ascii="宋体" w:hAnsi="宋体" w:cs="楷体_GB2312"/>
          <w:color w:val="000000"/>
          <w:kern w:val="0"/>
          <w:sz w:val="24"/>
        </w:rPr>
      </w:pPr>
      <w:r>
        <w:rPr>
          <w:rFonts w:ascii="宋体" w:hAnsi="宋体" w:cs="楷体_GB2312" w:hint="eastAsia"/>
          <w:color w:val="000000"/>
          <w:kern w:val="0"/>
          <w:sz w:val="24"/>
        </w:rPr>
        <w:t>5、政策风险：本理财产品根据当前相关法律法规和政策设计，如国家宏观政策及市场相关法律法规发生变化，可能影响理财产品的受理、投资、偿还等正常进行，甚至导致本理财收益降低。</w:t>
      </w:r>
    </w:p>
    <w:p w:rsidR="005D690B" w:rsidRDefault="005D690B" w:rsidP="005D690B">
      <w:pPr>
        <w:autoSpaceDE w:val="0"/>
        <w:autoSpaceDN w:val="0"/>
        <w:adjustRightInd w:val="0"/>
        <w:spacing w:line="480" w:lineRule="exact"/>
        <w:ind w:right="-500" w:firstLineChars="194" w:firstLine="466"/>
        <w:jc w:val="left"/>
        <w:rPr>
          <w:rFonts w:ascii="宋体" w:hAnsi="宋体" w:cs="楷体_GB2312"/>
          <w:color w:val="000000"/>
          <w:kern w:val="0"/>
          <w:sz w:val="24"/>
        </w:rPr>
      </w:pPr>
      <w:r>
        <w:rPr>
          <w:rFonts w:ascii="宋体" w:hAnsi="宋体"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7、信息传递风险：广东南粤银行将在官方网站，发布本理财产品相关信息的公告。投资者应根据说明书条款的约定及时致电广东南粤银行客户服务热线（4000961818）或到广东南粤银行官方网站查询。如果投资者未及时查询，或由于通讯故障、系统故障以及其他不可抗力等因素的影响使得投资者无法及时了解理财产品信息，因此而产生的风险和责任由投资者自行承担。</w:t>
      </w:r>
    </w:p>
    <w:p w:rsidR="005D690B" w:rsidRDefault="005D690B" w:rsidP="005D690B">
      <w:pPr>
        <w:widowControl/>
        <w:spacing w:line="360" w:lineRule="exact"/>
        <w:ind w:firstLineChars="196" w:firstLine="472"/>
        <w:jc w:val="left"/>
        <w:rPr>
          <w:rFonts w:ascii="宋体" w:hAnsi="宋体" w:cs="宋体"/>
          <w:b/>
          <w:color w:val="000000"/>
          <w:kern w:val="0"/>
          <w:sz w:val="24"/>
        </w:rPr>
      </w:pPr>
    </w:p>
    <w:p w:rsidR="005D690B" w:rsidRDefault="005D690B" w:rsidP="005D690B">
      <w:pPr>
        <w:widowControl/>
        <w:spacing w:line="360" w:lineRule="exact"/>
        <w:ind w:firstLineChars="196" w:firstLine="472"/>
        <w:jc w:val="left"/>
        <w:rPr>
          <w:rFonts w:ascii="宋体" w:hAnsi="宋体" w:cs="宋体"/>
          <w:b/>
          <w:color w:val="000000"/>
          <w:kern w:val="0"/>
          <w:sz w:val="24"/>
        </w:rPr>
      </w:pPr>
      <w:r>
        <w:rPr>
          <w:rFonts w:ascii="宋体" w:hAnsi="宋体" w:cs="宋体" w:hint="eastAsia"/>
          <w:b/>
          <w:color w:val="000000"/>
          <w:kern w:val="0"/>
          <w:sz w:val="24"/>
        </w:rPr>
        <w:t>本理财产品风险评级R1（风险程度：低）</w:t>
      </w:r>
    </w:p>
    <w:tbl>
      <w:tblPr>
        <w:tblW w:w="6760" w:type="dxa"/>
        <w:tblInd w:w="93" w:type="dxa"/>
        <w:tblLook w:val="04A0" w:firstRow="1" w:lastRow="0" w:firstColumn="1" w:lastColumn="0" w:noHBand="0" w:noVBand="1"/>
      </w:tblPr>
      <w:tblGrid>
        <w:gridCol w:w="1080"/>
        <w:gridCol w:w="1420"/>
        <w:gridCol w:w="2200"/>
        <w:gridCol w:w="2060"/>
      </w:tblGrid>
      <w:tr w:rsidR="005D690B" w:rsidTr="005D690B">
        <w:trPr>
          <w:trHeight w:val="300"/>
        </w:trPr>
        <w:tc>
          <w:tcPr>
            <w:tcW w:w="1080" w:type="dxa"/>
            <w:vMerge w:val="restart"/>
            <w:tcBorders>
              <w:top w:val="single" w:sz="8" w:space="0" w:color="auto"/>
              <w:left w:val="single" w:sz="8" w:space="0" w:color="auto"/>
              <w:bottom w:val="single" w:sz="8" w:space="0" w:color="000000"/>
              <w:right w:val="single" w:sz="8" w:space="0" w:color="auto"/>
            </w:tcBorders>
            <w:textDirection w:val="tbRlV"/>
            <w:vAlign w:val="center"/>
            <w:hideMark/>
          </w:tcPr>
          <w:p w:rsidR="005D690B" w:rsidRDefault="005D690B">
            <w:pPr>
              <w:widowControl/>
              <w:jc w:val="center"/>
              <w:rPr>
                <w:rFonts w:ascii="宋体" w:hAnsi="宋体" w:cs="宋体"/>
                <w:b/>
                <w:bCs/>
                <w:color w:val="000000"/>
                <w:kern w:val="0"/>
                <w:sz w:val="24"/>
              </w:rPr>
            </w:pPr>
            <w:r>
              <w:rPr>
                <w:rFonts w:ascii="宋体" w:hAnsi="宋体" w:cs="宋体" w:hint="eastAsia"/>
                <w:b/>
                <w:bCs/>
                <w:color w:val="000000"/>
                <w:kern w:val="0"/>
                <w:sz w:val="24"/>
              </w:rPr>
              <w:t>内 部 风 险 评 级</w:t>
            </w:r>
          </w:p>
        </w:tc>
        <w:tc>
          <w:tcPr>
            <w:tcW w:w="5680" w:type="dxa"/>
            <w:gridSpan w:val="3"/>
            <w:tcBorders>
              <w:top w:val="single" w:sz="8" w:space="0" w:color="auto"/>
              <w:left w:val="nil"/>
              <w:bottom w:val="single" w:sz="8" w:space="0" w:color="auto"/>
              <w:right w:val="nil"/>
            </w:tcBorders>
            <w:hideMark/>
          </w:tcPr>
          <w:p w:rsidR="005D690B" w:rsidRDefault="005D690B">
            <w:pPr>
              <w:widowControl/>
              <w:jc w:val="center"/>
              <w:rPr>
                <w:rFonts w:ascii="宋体" w:hAnsi="宋体" w:cs="宋体"/>
                <w:b/>
                <w:bCs/>
                <w:color w:val="000000"/>
                <w:kern w:val="0"/>
                <w:sz w:val="24"/>
              </w:rPr>
            </w:pPr>
            <w:r>
              <w:rPr>
                <w:rFonts w:ascii="宋体" w:hAnsi="宋体" w:cs="宋体" w:hint="eastAsia"/>
                <w:b/>
                <w:bCs/>
                <w:color w:val="000000"/>
                <w:kern w:val="0"/>
                <w:sz w:val="24"/>
              </w:rPr>
              <w:t>本理财产品内部风险评级为：R</w:t>
            </w:r>
            <w:r>
              <w:rPr>
                <w:rFonts w:ascii="宋体" w:hAnsi="宋体" w:cs="宋体" w:hint="eastAsia"/>
                <w:b/>
                <w:bCs/>
                <w:kern w:val="0"/>
                <w:sz w:val="24"/>
              </w:rPr>
              <w:t>1</w:t>
            </w:r>
          </w:p>
        </w:tc>
      </w:tr>
      <w:tr w:rsidR="005D690B" w:rsidTr="005D690B">
        <w:trPr>
          <w:trHeight w:val="5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vAlign w:val="center"/>
            <w:hideMark/>
          </w:tcPr>
          <w:p w:rsidR="005D690B" w:rsidRDefault="005D690B">
            <w:pPr>
              <w:widowControl/>
              <w:jc w:val="center"/>
              <w:rPr>
                <w:rFonts w:ascii="宋体" w:hAnsi="宋体" w:cs="宋体"/>
                <w:b/>
                <w:bCs/>
                <w:color w:val="000000"/>
                <w:kern w:val="0"/>
                <w:sz w:val="24"/>
              </w:rPr>
            </w:pPr>
            <w:r>
              <w:rPr>
                <w:rFonts w:ascii="宋体" w:hAnsi="宋体" w:cs="宋体" w:hint="eastAsia"/>
                <w:b/>
                <w:bCs/>
                <w:color w:val="000000"/>
                <w:kern w:val="0"/>
                <w:sz w:val="24"/>
              </w:rPr>
              <w:t>风险评级</w:t>
            </w:r>
          </w:p>
        </w:tc>
        <w:tc>
          <w:tcPr>
            <w:tcW w:w="2200" w:type="dxa"/>
            <w:tcBorders>
              <w:top w:val="nil"/>
              <w:left w:val="nil"/>
              <w:bottom w:val="single" w:sz="8" w:space="0" w:color="auto"/>
              <w:right w:val="single" w:sz="8" w:space="0" w:color="auto"/>
            </w:tcBorders>
            <w:vAlign w:val="center"/>
            <w:hideMark/>
          </w:tcPr>
          <w:p w:rsidR="005D690B" w:rsidRDefault="005D690B">
            <w:pPr>
              <w:widowControl/>
              <w:jc w:val="center"/>
              <w:rPr>
                <w:rFonts w:ascii="宋体" w:hAnsi="宋体" w:cs="宋体"/>
                <w:b/>
                <w:bCs/>
                <w:color w:val="000000"/>
                <w:kern w:val="0"/>
                <w:sz w:val="24"/>
              </w:rPr>
            </w:pPr>
            <w:r>
              <w:rPr>
                <w:rFonts w:ascii="宋体" w:hAnsi="宋体" w:cs="宋体" w:hint="eastAsia"/>
                <w:b/>
                <w:bCs/>
                <w:color w:val="000000"/>
                <w:kern w:val="0"/>
                <w:sz w:val="24"/>
              </w:rPr>
              <w:t>风险程度</w:t>
            </w:r>
          </w:p>
        </w:tc>
        <w:tc>
          <w:tcPr>
            <w:tcW w:w="2060" w:type="dxa"/>
            <w:tcBorders>
              <w:top w:val="nil"/>
              <w:left w:val="nil"/>
              <w:bottom w:val="single" w:sz="8" w:space="0" w:color="auto"/>
              <w:right w:val="single" w:sz="8" w:space="0" w:color="auto"/>
            </w:tcBorders>
            <w:vAlign w:val="center"/>
            <w:hideMark/>
          </w:tcPr>
          <w:p w:rsidR="005D690B" w:rsidRDefault="005D690B">
            <w:pPr>
              <w:widowControl/>
              <w:jc w:val="center"/>
              <w:rPr>
                <w:rFonts w:ascii="宋体" w:hAnsi="宋体" w:cs="宋体"/>
                <w:b/>
                <w:bCs/>
                <w:color w:val="000000"/>
                <w:kern w:val="0"/>
                <w:sz w:val="24"/>
              </w:rPr>
            </w:pPr>
            <w:r>
              <w:rPr>
                <w:rFonts w:ascii="宋体" w:hAnsi="宋体" w:cs="宋体" w:hint="eastAsia"/>
                <w:b/>
                <w:bCs/>
                <w:color w:val="000000"/>
                <w:kern w:val="0"/>
                <w:sz w:val="24"/>
              </w:rPr>
              <w:t>适合的投资者</w:t>
            </w:r>
          </w:p>
        </w:tc>
      </w:tr>
      <w:tr w:rsidR="005D690B" w:rsidTr="005D690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R1</w:t>
            </w:r>
          </w:p>
        </w:tc>
        <w:tc>
          <w:tcPr>
            <w:tcW w:w="220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低</w:t>
            </w:r>
          </w:p>
        </w:tc>
        <w:tc>
          <w:tcPr>
            <w:tcW w:w="206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保守型</w:t>
            </w:r>
          </w:p>
        </w:tc>
      </w:tr>
      <w:tr w:rsidR="005D690B" w:rsidTr="005D690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R2</w:t>
            </w:r>
          </w:p>
        </w:tc>
        <w:tc>
          <w:tcPr>
            <w:tcW w:w="220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较低</w:t>
            </w:r>
          </w:p>
        </w:tc>
        <w:tc>
          <w:tcPr>
            <w:tcW w:w="206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稳健型</w:t>
            </w:r>
          </w:p>
        </w:tc>
      </w:tr>
      <w:tr w:rsidR="005D690B" w:rsidTr="005D690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R3</w:t>
            </w:r>
          </w:p>
        </w:tc>
        <w:tc>
          <w:tcPr>
            <w:tcW w:w="220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中</w:t>
            </w:r>
          </w:p>
        </w:tc>
        <w:tc>
          <w:tcPr>
            <w:tcW w:w="206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平衡型</w:t>
            </w:r>
          </w:p>
        </w:tc>
      </w:tr>
      <w:tr w:rsidR="005D690B" w:rsidTr="005D690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R4</w:t>
            </w:r>
          </w:p>
        </w:tc>
        <w:tc>
          <w:tcPr>
            <w:tcW w:w="220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较高</w:t>
            </w:r>
          </w:p>
        </w:tc>
        <w:tc>
          <w:tcPr>
            <w:tcW w:w="206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成长型</w:t>
            </w:r>
          </w:p>
        </w:tc>
      </w:tr>
      <w:tr w:rsidR="005D690B" w:rsidTr="005D690B">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D690B" w:rsidRDefault="005D690B">
            <w:pPr>
              <w:widowControl/>
              <w:jc w:val="left"/>
              <w:rPr>
                <w:rFonts w:ascii="宋体" w:hAnsi="宋体" w:cs="宋体"/>
                <w:b/>
                <w:bCs/>
                <w:color w:val="000000"/>
                <w:kern w:val="0"/>
                <w:sz w:val="24"/>
              </w:rPr>
            </w:pPr>
          </w:p>
        </w:tc>
        <w:tc>
          <w:tcPr>
            <w:tcW w:w="142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bCs/>
                <w:color w:val="000000"/>
                <w:kern w:val="0"/>
                <w:sz w:val="24"/>
              </w:rPr>
            </w:pPr>
            <w:r>
              <w:rPr>
                <w:rFonts w:ascii="宋体" w:hAnsi="宋体" w:cs="宋体" w:hint="eastAsia"/>
                <w:bCs/>
                <w:color w:val="000000"/>
                <w:kern w:val="0"/>
                <w:sz w:val="24"/>
              </w:rPr>
              <w:t>R5</w:t>
            </w:r>
          </w:p>
        </w:tc>
        <w:tc>
          <w:tcPr>
            <w:tcW w:w="220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高</w:t>
            </w:r>
          </w:p>
        </w:tc>
        <w:tc>
          <w:tcPr>
            <w:tcW w:w="2060" w:type="dxa"/>
            <w:tcBorders>
              <w:top w:val="nil"/>
              <w:left w:val="nil"/>
              <w:bottom w:val="single" w:sz="8" w:space="0" w:color="auto"/>
              <w:right w:val="single" w:sz="8" w:space="0" w:color="auto"/>
            </w:tcBorders>
            <w:hideMark/>
          </w:tcPr>
          <w:p w:rsidR="005D690B" w:rsidRDefault="005D690B">
            <w:pPr>
              <w:widowControl/>
              <w:jc w:val="center"/>
              <w:rPr>
                <w:rFonts w:ascii="宋体" w:hAnsi="宋体" w:cs="宋体"/>
                <w:color w:val="000000"/>
                <w:kern w:val="0"/>
                <w:sz w:val="24"/>
              </w:rPr>
            </w:pPr>
            <w:r>
              <w:rPr>
                <w:rFonts w:ascii="宋体" w:hAnsi="宋体" w:cs="宋体" w:hint="eastAsia"/>
                <w:color w:val="000000"/>
                <w:kern w:val="0"/>
                <w:sz w:val="24"/>
              </w:rPr>
              <w:t>进取型</w:t>
            </w:r>
          </w:p>
        </w:tc>
      </w:tr>
    </w:tbl>
    <w:p w:rsidR="005D690B" w:rsidRDefault="005D690B" w:rsidP="005D690B">
      <w:pPr>
        <w:widowControl/>
        <w:spacing w:line="360" w:lineRule="exact"/>
        <w:ind w:firstLineChars="250" w:firstLine="600"/>
        <w:jc w:val="left"/>
        <w:rPr>
          <w:rFonts w:ascii="宋体" w:hAnsi="宋体" w:cs="宋体"/>
          <w:color w:val="000000"/>
          <w:kern w:val="0"/>
          <w:sz w:val="24"/>
        </w:rPr>
      </w:pPr>
    </w:p>
    <w:p w:rsidR="005D690B" w:rsidRDefault="005D690B" w:rsidP="005D690B">
      <w:pPr>
        <w:widowControl/>
        <w:spacing w:line="36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（本评级为广东南粤银行股份有限公司内部评级，仅供参考）</w:t>
      </w:r>
    </w:p>
    <w:p w:rsidR="005D690B" w:rsidRDefault="005D690B" w:rsidP="005D690B">
      <w:pPr>
        <w:widowControl/>
        <w:spacing w:line="520" w:lineRule="exact"/>
        <w:ind w:firstLineChars="200" w:firstLine="482"/>
        <w:jc w:val="left"/>
        <w:rPr>
          <w:rFonts w:ascii="宋体" w:hAnsi="宋体" w:cs="宋体"/>
          <w:b/>
          <w:bCs/>
          <w:color w:val="000000"/>
          <w:kern w:val="0"/>
          <w:sz w:val="24"/>
        </w:rPr>
      </w:pPr>
    </w:p>
    <w:p w:rsidR="005D690B" w:rsidRDefault="005D690B" w:rsidP="005D690B">
      <w:pPr>
        <w:widowControl/>
        <w:spacing w:line="52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产品基本要素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5D690B" w:rsidTr="005D690B">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olor w:val="000000"/>
                <w:szCs w:val="24"/>
              </w:rPr>
            </w:pPr>
            <w:r>
              <w:rPr>
                <w:rFonts w:ascii="宋体" w:eastAsia="宋体" w:hAnsi="宋体" w:hint="eastAsia"/>
                <w:color w:val="000000"/>
                <w:szCs w:val="24"/>
              </w:rPr>
              <w:t>产品名称</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olor w:val="000000"/>
                <w:sz w:val="24"/>
              </w:rPr>
            </w:pPr>
            <w:r>
              <w:rPr>
                <w:rFonts w:ascii="宋体" w:hAnsi="宋体" w:hint="eastAsia"/>
                <w:color w:val="000000"/>
                <w:sz w:val="24"/>
              </w:rPr>
              <w:t>广东南粤银行“宝盈天利”开放式保本型人民币理财产品</w:t>
            </w:r>
          </w:p>
        </w:tc>
      </w:tr>
      <w:tr w:rsidR="008E3FB1" w:rsidTr="005D690B">
        <w:trPr>
          <w:cantSplit/>
          <w:trHeight w:val="355"/>
        </w:trPr>
        <w:tc>
          <w:tcPr>
            <w:tcW w:w="2448" w:type="dxa"/>
            <w:vMerge/>
            <w:tcBorders>
              <w:top w:val="single" w:sz="4" w:space="0" w:color="auto"/>
              <w:left w:val="single" w:sz="4" w:space="0" w:color="auto"/>
              <w:bottom w:val="single" w:sz="4" w:space="0" w:color="auto"/>
              <w:right w:val="single" w:sz="4" w:space="0" w:color="auto"/>
            </w:tcBorders>
            <w:vAlign w:val="center"/>
          </w:tcPr>
          <w:p w:rsidR="008E3FB1" w:rsidRDefault="008E3FB1">
            <w:pPr>
              <w:pStyle w:val="a5"/>
              <w:spacing w:line="360" w:lineRule="exact"/>
              <w:ind w:firstLineChars="0" w:firstLine="0"/>
              <w:jc w:val="center"/>
              <w:rPr>
                <w:rFonts w:ascii="宋体" w:eastAsia="宋体" w:hAnsi="宋体"/>
                <w:color w:val="000000"/>
                <w:szCs w:val="24"/>
              </w:rPr>
            </w:pPr>
          </w:p>
        </w:tc>
        <w:tc>
          <w:tcPr>
            <w:tcW w:w="7016" w:type="dxa"/>
            <w:tcBorders>
              <w:top w:val="single" w:sz="4" w:space="0" w:color="auto"/>
              <w:left w:val="single" w:sz="4" w:space="0" w:color="auto"/>
              <w:bottom w:val="single" w:sz="4" w:space="0" w:color="auto"/>
              <w:right w:val="single" w:sz="4" w:space="0" w:color="auto"/>
            </w:tcBorders>
          </w:tcPr>
          <w:p w:rsidR="008E3FB1" w:rsidRPr="00994278" w:rsidRDefault="008E3FB1">
            <w:pPr>
              <w:spacing w:line="360" w:lineRule="exact"/>
              <w:outlineLvl w:val="0"/>
              <w:rPr>
                <w:rFonts w:ascii="宋体" w:hAnsi="宋体"/>
                <w:sz w:val="24"/>
              </w:rPr>
            </w:pPr>
            <w:r w:rsidRPr="00994278">
              <w:rPr>
                <w:rFonts w:ascii="宋体" w:hAnsi="宋体" w:cs="宋体" w:hint="eastAsia"/>
                <w:kern w:val="0"/>
                <w:sz w:val="24"/>
              </w:rPr>
              <w:t>代码：GDNY_BYTL_01</w:t>
            </w:r>
          </w:p>
        </w:tc>
      </w:tr>
      <w:tr w:rsidR="005D690B" w:rsidTr="005D690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90B" w:rsidRDefault="005D690B">
            <w:pPr>
              <w:widowControl/>
              <w:jc w:val="left"/>
              <w:rPr>
                <w:rFonts w:ascii="宋体" w:hAnsi="宋体"/>
                <w:color w:val="000000"/>
                <w:sz w:val="24"/>
              </w:rPr>
            </w:pP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8E3FB1">
            <w:pPr>
              <w:pStyle w:val="a5"/>
              <w:spacing w:line="360" w:lineRule="exact"/>
              <w:ind w:firstLineChars="0" w:firstLine="0"/>
              <w:rPr>
                <w:rFonts w:ascii="宋体" w:eastAsia="宋体" w:hAnsi="宋体" w:cs="宋体"/>
                <w:color w:val="auto"/>
                <w:kern w:val="0"/>
                <w:szCs w:val="24"/>
              </w:rPr>
            </w:pPr>
            <w:r w:rsidRPr="00994278">
              <w:rPr>
                <w:rFonts w:ascii="宋体" w:eastAsia="宋体" w:hAnsi="宋体" w:cs="宋体" w:hint="eastAsia"/>
                <w:color w:val="auto"/>
                <w:kern w:val="0"/>
                <w:szCs w:val="24"/>
              </w:rPr>
              <w:t>发行登记号：</w:t>
            </w:r>
            <w:r w:rsidR="000471BD" w:rsidRPr="00994278">
              <w:rPr>
                <w:rFonts w:asciiTheme="minorEastAsia" w:hAnsiTheme="minorEastAsia" w:hint="eastAsia"/>
                <w:color w:val="auto"/>
                <w:szCs w:val="24"/>
              </w:rPr>
              <w:t>C1083014000067</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b/>
                <w:color w:val="000000"/>
                <w:szCs w:val="24"/>
              </w:rPr>
            </w:pPr>
            <w:r>
              <w:rPr>
                <w:rFonts w:ascii="宋体" w:eastAsia="宋体" w:hAnsi="宋体" w:hint="eastAsia"/>
                <w:color w:val="000000"/>
                <w:szCs w:val="24"/>
              </w:rPr>
              <w:t>目标投资者</w:t>
            </w: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5D690B">
            <w:pPr>
              <w:pStyle w:val="a5"/>
              <w:spacing w:line="360" w:lineRule="exact"/>
              <w:ind w:firstLineChars="0" w:firstLine="0"/>
              <w:rPr>
                <w:rFonts w:ascii="宋体" w:eastAsia="宋体" w:hAnsi="宋体" w:cs="宋体"/>
                <w:color w:val="auto"/>
                <w:kern w:val="0"/>
                <w:szCs w:val="24"/>
              </w:rPr>
            </w:pPr>
            <w:r w:rsidRPr="00994278">
              <w:rPr>
                <w:rFonts w:ascii="宋体" w:eastAsia="宋体" w:hAnsi="宋体" w:cs="宋体" w:hint="eastAsia"/>
                <w:color w:val="auto"/>
                <w:kern w:val="0"/>
                <w:szCs w:val="24"/>
              </w:rPr>
              <w:t>经我行风险评估，评定为保守型、</w:t>
            </w:r>
            <w:r w:rsidRPr="00994278">
              <w:rPr>
                <w:rFonts w:eastAsia="宋体" w:cs="宋体" w:hint="eastAsia"/>
                <w:color w:val="auto"/>
                <w:kern w:val="0"/>
                <w:szCs w:val="24"/>
              </w:rPr>
              <w:t>稳健型、</w:t>
            </w:r>
            <w:r w:rsidRPr="00994278">
              <w:rPr>
                <w:rFonts w:ascii="宋体" w:eastAsia="宋体" w:hAnsi="宋体" w:cs="宋体" w:hint="eastAsia"/>
                <w:color w:val="auto"/>
                <w:kern w:val="0"/>
                <w:szCs w:val="24"/>
              </w:rPr>
              <w:t>平衡型、成长型、进取型的机构和个人客户</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购买方式</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Pr="00994278" w:rsidRDefault="005D690B">
            <w:pPr>
              <w:spacing w:line="360" w:lineRule="exact"/>
              <w:rPr>
                <w:rFonts w:ascii="宋体" w:hAnsi="宋体" w:cs="宋体"/>
                <w:kern w:val="0"/>
                <w:sz w:val="24"/>
              </w:rPr>
            </w:pPr>
            <w:r w:rsidRPr="00994278">
              <w:rPr>
                <w:rFonts w:ascii="宋体" w:hAnsi="宋体" w:cs="宋体" w:hint="eastAsia"/>
                <w:kern w:val="0"/>
                <w:sz w:val="24"/>
              </w:rPr>
              <w:t>广东南粤银行各营业网点认购或</w:t>
            </w:r>
            <w:proofErr w:type="gramStart"/>
            <w:r w:rsidRPr="00994278">
              <w:rPr>
                <w:rFonts w:ascii="宋体" w:hAnsi="宋体" w:cs="宋体" w:hint="eastAsia"/>
                <w:kern w:val="0"/>
                <w:sz w:val="24"/>
              </w:rPr>
              <w:t>广东南粤银行网银认购</w:t>
            </w:r>
            <w:proofErr w:type="gramEnd"/>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投资及收益币种</w:t>
            </w: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5D690B">
            <w:pPr>
              <w:pStyle w:val="a5"/>
              <w:spacing w:line="360" w:lineRule="exact"/>
              <w:ind w:firstLineChars="0" w:firstLine="0"/>
              <w:rPr>
                <w:rFonts w:ascii="宋体" w:eastAsia="宋体" w:hAnsi="宋体" w:cs="宋体"/>
                <w:color w:val="auto"/>
                <w:kern w:val="0"/>
                <w:szCs w:val="24"/>
              </w:rPr>
            </w:pPr>
            <w:r w:rsidRPr="00994278">
              <w:rPr>
                <w:rFonts w:ascii="宋体" w:eastAsia="宋体" w:hAnsi="宋体" w:cs="宋体" w:hint="eastAsia"/>
                <w:color w:val="auto"/>
                <w:kern w:val="0"/>
                <w:szCs w:val="24"/>
              </w:rPr>
              <w:t>人民币</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产品类型</w:t>
            </w: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5D690B">
            <w:pPr>
              <w:pStyle w:val="a4"/>
              <w:spacing w:line="360" w:lineRule="exact"/>
              <w:rPr>
                <w:rFonts w:ascii="宋体" w:eastAsia="宋体" w:hAnsi="宋体"/>
                <w:b/>
                <w:sz w:val="24"/>
                <w:szCs w:val="24"/>
              </w:rPr>
            </w:pPr>
            <w:r w:rsidRPr="00994278">
              <w:rPr>
                <w:rFonts w:ascii="宋体" w:eastAsia="宋体" w:hAnsi="宋体" w:cs="宋体" w:hint="eastAsia"/>
                <w:b/>
                <w:kern w:val="0"/>
                <w:sz w:val="24"/>
                <w:szCs w:val="24"/>
              </w:rPr>
              <w:t>保本浮动收益型</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发行规模</w:t>
            </w: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5D690B">
            <w:pPr>
              <w:spacing w:line="360" w:lineRule="exact"/>
              <w:rPr>
                <w:rFonts w:ascii="宋体" w:hAnsi="宋体" w:cs="宋体"/>
                <w:kern w:val="0"/>
                <w:sz w:val="24"/>
              </w:rPr>
            </w:pPr>
            <w:r w:rsidRPr="00994278">
              <w:rPr>
                <w:rFonts w:ascii="宋体" w:hAnsi="宋体" w:cs="宋体" w:hint="eastAsia"/>
                <w:kern w:val="0"/>
                <w:sz w:val="24"/>
              </w:rPr>
              <w:t>产品规模上限20亿元。广东南粤银行有权根据产品实际需要对产品规模进行调整，产品最终规模以广东南粤银行实际募集金额为准。</w:t>
            </w:r>
          </w:p>
        </w:tc>
      </w:tr>
      <w:tr w:rsidR="005D690B" w:rsidTr="005D690B">
        <w:trPr>
          <w:trHeight w:val="1179"/>
        </w:trPr>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proofErr w:type="gramStart"/>
            <w:r>
              <w:rPr>
                <w:rFonts w:ascii="宋体" w:eastAsia="宋体" w:hAnsi="宋体" w:cs="宋体" w:hint="eastAsia"/>
                <w:color w:val="000000"/>
                <w:kern w:val="0"/>
                <w:szCs w:val="24"/>
              </w:rPr>
              <w:t>预期年化收益率</w:t>
            </w:r>
            <w:proofErr w:type="gramEnd"/>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扣除理财产品托管人收取托管费率（年化）为产品规模的0.02%，投资者</w:t>
            </w:r>
            <w:proofErr w:type="gramStart"/>
            <w:r>
              <w:rPr>
                <w:rFonts w:ascii="宋体" w:hAnsi="宋体" w:cs="宋体" w:hint="eastAsia"/>
                <w:color w:val="000000"/>
                <w:kern w:val="0"/>
                <w:sz w:val="24"/>
              </w:rPr>
              <w:t>预期年化收益率</w:t>
            </w:r>
            <w:proofErr w:type="gramEnd"/>
            <w:r>
              <w:rPr>
                <w:rFonts w:ascii="宋体" w:hAnsi="宋体" w:cs="宋体" w:hint="eastAsia"/>
                <w:color w:val="000000"/>
                <w:kern w:val="0"/>
                <w:sz w:val="24"/>
              </w:rPr>
              <w:t>为1.5-6.0%；如有变动，广东南粤银行将提前一个工作日在官方网站或营业网点公告。</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募集期</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2014年5月15日</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起始日</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2014年5月16日</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b/>
                <w:color w:val="000000"/>
                <w:szCs w:val="24"/>
              </w:rPr>
            </w:pPr>
            <w:r>
              <w:rPr>
                <w:rFonts w:ascii="宋体" w:eastAsia="宋体" w:hAnsi="宋体" w:hint="eastAsia"/>
                <w:color w:val="000000"/>
                <w:szCs w:val="24"/>
              </w:rPr>
              <w:t>期限</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pStyle w:val="a3"/>
              <w:adjustRightInd w:val="0"/>
              <w:snapToGrid w:val="0"/>
              <w:spacing w:before="0" w:beforeAutospacing="0" w:after="0" w:afterAutospacing="0" w:line="360" w:lineRule="exact"/>
              <w:textAlignment w:val="center"/>
              <w:rPr>
                <w:rFonts w:ascii="宋体" w:eastAsia="宋体" w:hAnsi="宋体" w:cs="宋体"/>
                <w:color w:val="000000"/>
              </w:rPr>
            </w:pPr>
            <w:r>
              <w:rPr>
                <w:rFonts w:ascii="宋体" w:eastAsia="宋体" w:hAnsi="宋体" w:cs="宋体" w:hint="eastAsia"/>
                <w:color w:val="000000"/>
              </w:rPr>
              <w:t>5年，广东南粤银行保留提前终止本理财产品和延长本理财产品期限的权利。</w:t>
            </w:r>
            <w:r>
              <w:rPr>
                <w:rFonts w:ascii="宋体" w:eastAsia="宋体" w:hAnsi="宋体" w:cs="宋体" w:hint="eastAsia"/>
                <w:b/>
                <w:color w:val="000000"/>
              </w:rPr>
              <w:t>详细内容见“提前终止和延续”。</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产品交易日</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国家法定工作日为产品交易日；如遇特殊情况，以广东南粤银行具体公告为准。</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产品申购/追加投资/赎回</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autoSpaceDE w:val="0"/>
              <w:autoSpaceDN w:val="0"/>
              <w:adjustRightInd w:val="0"/>
              <w:spacing w:before="120"/>
              <w:rPr>
                <w:rFonts w:ascii="宋体" w:hAnsi="宋体" w:cs="宋体"/>
                <w:color w:val="000000"/>
                <w:kern w:val="0"/>
                <w:sz w:val="24"/>
              </w:rPr>
            </w:pPr>
            <w:r>
              <w:rPr>
                <w:rFonts w:ascii="宋体" w:hAnsi="宋体" w:cs="宋体" w:hint="eastAsia"/>
                <w:color w:val="000000"/>
                <w:kern w:val="0"/>
                <w:sz w:val="24"/>
              </w:rPr>
              <w:t>1.产品存续期内，客户可以在任一交易日8：30-16：00申购或追加投资，申购或追加的投资资金将实时加入投资运作；</w:t>
            </w:r>
          </w:p>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2.产品存续期内，客户可以在任一交易日8：30-16：00提出赎回申请，</w:t>
            </w:r>
            <w:bookmarkStart w:id="0" w:name="OLE_LINK7"/>
            <w:r>
              <w:rPr>
                <w:rFonts w:ascii="宋体" w:hAnsi="宋体" w:cs="宋体" w:hint="eastAsia"/>
                <w:color w:val="000000"/>
                <w:kern w:val="0"/>
                <w:sz w:val="24"/>
              </w:rPr>
              <w:t>赎回资金（全额赎回时为本金加收益，部分赎回时为赎回本金）于</w:t>
            </w:r>
            <w:bookmarkEnd w:id="0"/>
            <w:r>
              <w:rPr>
                <w:rFonts w:ascii="宋体" w:hAnsi="宋体" w:cs="宋体" w:hint="eastAsia"/>
                <w:color w:val="000000"/>
                <w:kern w:val="0"/>
                <w:sz w:val="24"/>
              </w:rPr>
              <w:t>赎回申请后实时兑付</w:t>
            </w:r>
            <w:proofErr w:type="gramStart"/>
            <w:r>
              <w:rPr>
                <w:rFonts w:ascii="宋体" w:hAnsi="宋体" w:cs="宋体" w:hint="eastAsia"/>
                <w:color w:val="000000"/>
                <w:kern w:val="0"/>
                <w:sz w:val="24"/>
              </w:rPr>
              <w:t>至客户</w:t>
            </w:r>
            <w:proofErr w:type="gramEnd"/>
            <w:r>
              <w:rPr>
                <w:rFonts w:ascii="宋体" w:hAnsi="宋体" w:cs="宋体" w:hint="eastAsia"/>
                <w:color w:val="000000"/>
                <w:kern w:val="0"/>
                <w:sz w:val="24"/>
              </w:rPr>
              <w:t>签约账户。</w:t>
            </w:r>
          </w:p>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3. 广东南粤银行有权根据产品实际需要对产品实时交易时间进行调整</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认购起点</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autoSpaceDE w:val="0"/>
              <w:autoSpaceDN w:val="0"/>
              <w:adjustRightInd w:val="0"/>
              <w:spacing w:before="120"/>
              <w:rPr>
                <w:rFonts w:ascii="宋体" w:hAnsi="宋体" w:cs="宋体"/>
                <w:color w:val="000000"/>
                <w:kern w:val="0"/>
                <w:sz w:val="24"/>
              </w:rPr>
            </w:pPr>
            <w:bookmarkStart w:id="1" w:name="OLE_LINK6"/>
            <w:r>
              <w:rPr>
                <w:rFonts w:ascii="宋体" w:hAnsi="宋体" w:cs="宋体" w:hint="eastAsia"/>
                <w:color w:val="000000"/>
                <w:kern w:val="0"/>
                <w:sz w:val="24"/>
              </w:rPr>
              <w:t>个人</w:t>
            </w:r>
            <w:bookmarkEnd w:id="1"/>
            <w:r>
              <w:rPr>
                <w:rFonts w:ascii="宋体" w:hAnsi="宋体" w:cs="宋体" w:hint="eastAsia"/>
                <w:color w:val="000000"/>
                <w:kern w:val="0"/>
                <w:sz w:val="24"/>
              </w:rPr>
              <w:t>投资者首次购买起点金额为5万元，以1000元的整数</w:t>
            </w:r>
            <w:proofErr w:type="gramStart"/>
            <w:r>
              <w:rPr>
                <w:rFonts w:ascii="宋体" w:hAnsi="宋体" w:cs="宋体" w:hint="eastAsia"/>
                <w:color w:val="000000"/>
                <w:kern w:val="0"/>
                <w:sz w:val="24"/>
              </w:rPr>
              <w:t>倍</w:t>
            </w:r>
            <w:proofErr w:type="gramEnd"/>
            <w:r>
              <w:rPr>
                <w:rFonts w:ascii="宋体" w:hAnsi="宋体" w:cs="宋体" w:hint="eastAsia"/>
                <w:color w:val="000000"/>
                <w:kern w:val="0"/>
                <w:sz w:val="24"/>
              </w:rPr>
              <w:t>递增；</w:t>
            </w:r>
          </w:p>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机构投资者首次购买起点金额为50万元，以10000元的整数</w:t>
            </w:r>
            <w:proofErr w:type="gramStart"/>
            <w:r>
              <w:rPr>
                <w:rFonts w:ascii="宋体" w:hAnsi="宋体" w:cs="宋体" w:hint="eastAsia"/>
                <w:color w:val="000000"/>
                <w:kern w:val="0"/>
                <w:sz w:val="24"/>
              </w:rPr>
              <w:t>倍</w:t>
            </w:r>
            <w:proofErr w:type="gramEnd"/>
            <w:r>
              <w:rPr>
                <w:rFonts w:ascii="宋体" w:hAnsi="宋体" w:cs="宋体" w:hint="eastAsia"/>
                <w:color w:val="000000"/>
                <w:kern w:val="0"/>
                <w:sz w:val="24"/>
              </w:rPr>
              <w:t>递增。</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申购、赎回及保留投资金额</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autoSpaceDE w:val="0"/>
              <w:autoSpaceDN w:val="0"/>
              <w:adjustRightInd w:val="0"/>
              <w:spacing w:before="120"/>
              <w:rPr>
                <w:rFonts w:ascii="宋体" w:hAnsi="宋体" w:cs="宋体"/>
                <w:color w:val="000000"/>
                <w:kern w:val="0"/>
                <w:sz w:val="24"/>
              </w:rPr>
            </w:pPr>
            <w:r>
              <w:rPr>
                <w:rFonts w:ascii="宋体" w:hAnsi="宋体" w:cs="宋体" w:hint="eastAsia"/>
                <w:color w:val="000000"/>
                <w:kern w:val="0"/>
                <w:sz w:val="24"/>
              </w:rPr>
              <w:t>个人投资者：1千元的整数</w:t>
            </w:r>
            <w:proofErr w:type="gramStart"/>
            <w:r>
              <w:rPr>
                <w:rFonts w:ascii="宋体" w:hAnsi="宋体" w:cs="宋体" w:hint="eastAsia"/>
                <w:color w:val="000000"/>
                <w:kern w:val="0"/>
                <w:sz w:val="24"/>
              </w:rPr>
              <w:t>倍</w:t>
            </w:r>
            <w:proofErr w:type="gramEnd"/>
            <w:r>
              <w:rPr>
                <w:rFonts w:ascii="宋体" w:hAnsi="宋体" w:cs="宋体" w:hint="eastAsia"/>
                <w:color w:val="000000"/>
                <w:kern w:val="0"/>
                <w:sz w:val="24"/>
              </w:rPr>
              <w:t>申购或赎回，赎回后最低保留金额不得低于10000元；机构投资者：1万元的整数</w:t>
            </w:r>
            <w:proofErr w:type="gramStart"/>
            <w:r>
              <w:rPr>
                <w:rFonts w:ascii="宋体" w:hAnsi="宋体" w:cs="宋体" w:hint="eastAsia"/>
                <w:color w:val="000000"/>
                <w:kern w:val="0"/>
                <w:sz w:val="24"/>
              </w:rPr>
              <w:t>倍</w:t>
            </w:r>
            <w:proofErr w:type="gramEnd"/>
            <w:r>
              <w:rPr>
                <w:rFonts w:ascii="宋体" w:hAnsi="宋体" w:cs="宋体" w:hint="eastAsia"/>
                <w:color w:val="000000"/>
                <w:kern w:val="0"/>
                <w:sz w:val="24"/>
              </w:rPr>
              <w:t>申购或赎回，赎回后最低保留金额不得低于100000元；</w:t>
            </w:r>
            <w:r>
              <w:rPr>
                <w:rFonts w:ascii="宋体" w:hAnsi="宋体" w:cs="宋体" w:hint="eastAsia"/>
                <w:b/>
                <w:color w:val="000000"/>
                <w:kern w:val="0"/>
                <w:sz w:val="24"/>
              </w:rPr>
              <w:t>详细内容见“申购与赎回”。</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t>附属条款</w:t>
            </w:r>
          </w:p>
        </w:tc>
        <w:tc>
          <w:tcPr>
            <w:tcW w:w="7016" w:type="dxa"/>
            <w:tcBorders>
              <w:top w:val="single" w:sz="4" w:space="0" w:color="auto"/>
              <w:left w:val="single" w:sz="4" w:space="0" w:color="auto"/>
              <w:bottom w:val="single" w:sz="4" w:space="0" w:color="auto"/>
              <w:right w:val="single" w:sz="4" w:space="0" w:color="auto"/>
            </w:tcBorders>
            <w:hideMark/>
          </w:tcPr>
          <w:p w:rsidR="005D690B" w:rsidRPr="00994278" w:rsidRDefault="005D690B">
            <w:pPr>
              <w:spacing w:line="360" w:lineRule="exact"/>
              <w:outlineLvl w:val="0"/>
              <w:rPr>
                <w:rFonts w:ascii="宋体" w:hAnsi="宋体" w:cs="宋体"/>
                <w:kern w:val="0"/>
                <w:sz w:val="24"/>
              </w:rPr>
            </w:pPr>
            <w:bookmarkStart w:id="2" w:name="OLE_LINK1"/>
            <w:bookmarkStart w:id="3" w:name="OLE_LINK2"/>
            <w:r>
              <w:rPr>
                <w:rFonts w:ascii="宋体" w:hAnsi="宋体" w:cs="宋体" w:hint="eastAsia"/>
                <w:color w:val="000000"/>
                <w:kern w:val="0"/>
                <w:sz w:val="24"/>
              </w:rPr>
              <w:t>1、投资者（个人及机构）单户累计投</w:t>
            </w:r>
            <w:bookmarkStart w:id="4" w:name="_GoBack"/>
            <w:r w:rsidRPr="00994278">
              <w:rPr>
                <w:rFonts w:ascii="宋体" w:hAnsi="宋体" w:cs="宋体" w:hint="eastAsia"/>
                <w:kern w:val="0"/>
                <w:sz w:val="24"/>
              </w:rPr>
              <w:t>资金额最高</w:t>
            </w:r>
            <w:r w:rsidR="00867AEB" w:rsidRPr="00994278">
              <w:rPr>
                <w:rFonts w:ascii="宋体" w:hAnsi="宋体" w:cs="宋体" w:hint="eastAsia"/>
                <w:kern w:val="0"/>
                <w:sz w:val="24"/>
              </w:rPr>
              <w:t>2</w:t>
            </w:r>
            <w:r w:rsidRPr="00994278">
              <w:rPr>
                <w:rFonts w:ascii="宋体" w:hAnsi="宋体" w:cs="宋体" w:hint="eastAsia"/>
                <w:kern w:val="0"/>
                <w:sz w:val="24"/>
              </w:rPr>
              <w:t>000万元（含），广东南粤银行可根据需要对这一条款进行调整，具体以广东南粤银行公告为准；</w:t>
            </w:r>
          </w:p>
          <w:p w:rsidR="005D690B" w:rsidRPr="00994278" w:rsidRDefault="005D690B">
            <w:pPr>
              <w:spacing w:line="360" w:lineRule="exact"/>
              <w:outlineLvl w:val="0"/>
              <w:rPr>
                <w:rFonts w:ascii="宋体" w:hAnsi="宋体" w:cs="宋体"/>
                <w:kern w:val="0"/>
                <w:sz w:val="24"/>
              </w:rPr>
            </w:pPr>
            <w:r w:rsidRPr="00994278">
              <w:rPr>
                <w:rFonts w:ascii="宋体" w:hAnsi="宋体" w:cs="宋体" w:hint="eastAsia"/>
                <w:kern w:val="0"/>
                <w:sz w:val="24"/>
              </w:rPr>
              <w:t>2、投资者（个人及机构）单户单日累计赎回限额</w:t>
            </w:r>
            <w:r w:rsidR="00867AEB" w:rsidRPr="00994278">
              <w:rPr>
                <w:rFonts w:ascii="宋体" w:hAnsi="宋体" w:cs="宋体" w:hint="eastAsia"/>
                <w:kern w:val="0"/>
                <w:sz w:val="24"/>
              </w:rPr>
              <w:t>2</w:t>
            </w:r>
            <w:r w:rsidRPr="00994278">
              <w:rPr>
                <w:rFonts w:ascii="宋体" w:hAnsi="宋体" w:cs="宋体" w:hint="eastAsia"/>
                <w:kern w:val="0"/>
                <w:sz w:val="24"/>
              </w:rPr>
              <w:t>000万元</w:t>
            </w:r>
            <w:r w:rsidR="00756B0A" w:rsidRPr="00994278">
              <w:rPr>
                <w:rFonts w:ascii="宋体" w:hAnsi="宋体" w:cs="宋体" w:hint="eastAsia"/>
                <w:kern w:val="0"/>
                <w:sz w:val="24"/>
              </w:rPr>
              <w:t>(含)</w:t>
            </w:r>
            <w:r w:rsidRPr="00994278">
              <w:rPr>
                <w:rFonts w:ascii="宋体" w:hAnsi="宋体" w:cs="宋体" w:hint="eastAsia"/>
                <w:kern w:val="0"/>
                <w:sz w:val="24"/>
              </w:rPr>
              <w:t>，广东南粤银行可根据需要对这一条款进行调整，具体以广东南粤</w:t>
            </w:r>
            <w:r w:rsidRPr="00994278">
              <w:rPr>
                <w:rFonts w:ascii="宋体" w:hAnsi="宋体" w:cs="宋体" w:hint="eastAsia"/>
                <w:kern w:val="0"/>
                <w:sz w:val="24"/>
              </w:rPr>
              <w:lastRenderedPageBreak/>
              <w:t>银行公告为准；</w:t>
            </w:r>
          </w:p>
          <w:p w:rsidR="005D690B" w:rsidRDefault="005D690B" w:rsidP="00867AEB">
            <w:pPr>
              <w:spacing w:line="360" w:lineRule="exact"/>
              <w:outlineLvl w:val="0"/>
              <w:rPr>
                <w:rFonts w:ascii="宋体" w:hAnsi="宋体" w:cs="宋体"/>
                <w:color w:val="000000"/>
                <w:kern w:val="0"/>
                <w:sz w:val="24"/>
              </w:rPr>
            </w:pPr>
            <w:r w:rsidRPr="00994278">
              <w:rPr>
                <w:rFonts w:ascii="宋体" w:hAnsi="宋体" w:cs="宋体" w:hint="eastAsia"/>
                <w:kern w:val="0"/>
                <w:sz w:val="24"/>
              </w:rPr>
              <w:t>3、对于大额资金（</w:t>
            </w:r>
            <w:r w:rsidR="00867AEB" w:rsidRPr="00994278">
              <w:rPr>
                <w:rFonts w:ascii="宋体" w:hAnsi="宋体" w:cs="宋体" w:hint="eastAsia"/>
                <w:kern w:val="0"/>
                <w:sz w:val="24"/>
              </w:rPr>
              <w:t>2</w:t>
            </w:r>
            <w:r w:rsidRPr="00994278">
              <w:rPr>
                <w:rFonts w:ascii="宋体" w:hAnsi="宋体" w:cs="宋体" w:hint="eastAsia"/>
                <w:kern w:val="0"/>
                <w:sz w:val="24"/>
              </w:rPr>
              <w:t>000万以上）赎回，投资</w:t>
            </w:r>
            <w:bookmarkEnd w:id="4"/>
            <w:r w:rsidRPr="00907F02">
              <w:rPr>
                <w:rFonts w:ascii="宋体" w:hAnsi="宋体" w:cs="宋体" w:hint="eastAsia"/>
                <w:kern w:val="0"/>
                <w:sz w:val="24"/>
              </w:rPr>
              <w:t>者应至少提前2个交易日向广东南粤银行预约；未提前2个交易日预约的大额资金赎回，广东南粤银行有权拒绝赎回申请。</w:t>
            </w:r>
            <w:bookmarkEnd w:id="2"/>
            <w:bookmarkEnd w:id="3"/>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s="宋体"/>
                <w:color w:val="000000"/>
                <w:kern w:val="0"/>
                <w:szCs w:val="24"/>
              </w:rPr>
            </w:pPr>
            <w:r>
              <w:rPr>
                <w:rFonts w:ascii="宋体" w:eastAsia="宋体" w:hAnsi="宋体" w:cs="宋体" w:hint="eastAsia"/>
                <w:color w:val="000000"/>
                <w:kern w:val="0"/>
                <w:szCs w:val="24"/>
              </w:rPr>
              <w:lastRenderedPageBreak/>
              <w:t>收益</w:t>
            </w:r>
            <w:proofErr w:type="gramStart"/>
            <w:r>
              <w:rPr>
                <w:rFonts w:ascii="宋体" w:eastAsia="宋体" w:hAnsi="宋体" w:cs="宋体" w:hint="eastAsia"/>
                <w:color w:val="000000"/>
                <w:kern w:val="0"/>
                <w:szCs w:val="24"/>
              </w:rPr>
              <w:t>分配日</w:t>
            </w:r>
            <w:proofErr w:type="gramEnd"/>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每月15日（遇节假日顺延至下一工作日）为收益的</w:t>
            </w:r>
            <w:proofErr w:type="gramStart"/>
            <w:r>
              <w:rPr>
                <w:rFonts w:ascii="宋体" w:hAnsi="宋体" w:cs="宋体" w:hint="eastAsia"/>
                <w:color w:val="000000"/>
                <w:kern w:val="0"/>
                <w:sz w:val="24"/>
              </w:rPr>
              <w:t>分配日</w:t>
            </w:r>
            <w:proofErr w:type="gramEnd"/>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pStyle w:val="a5"/>
              <w:spacing w:line="360" w:lineRule="exact"/>
              <w:ind w:firstLineChars="0" w:firstLine="0"/>
              <w:jc w:val="center"/>
              <w:rPr>
                <w:rFonts w:ascii="宋体" w:eastAsia="宋体" w:hAnsi="宋体"/>
                <w:color w:val="000000"/>
                <w:szCs w:val="24"/>
              </w:rPr>
            </w:pPr>
            <w:r>
              <w:rPr>
                <w:rFonts w:ascii="宋体" w:eastAsia="宋体" w:hAnsi="宋体" w:hint="eastAsia"/>
                <w:color w:val="000000"/>
                <w:szCs w:val="24"/>
              </w:rPr>
              <w:t>理财资金托管行</w:t>
            </w:r>
          </w:p>
        </w:tc>
        <w:tc>
          <w:tcPr>
            <w:tcW w:w="7016" w:type="dxa"/>
            <w:tcBorders>
              <w:top w:val="single" w:sz="4" w:space="0" w:color="auto"/>
              <w:left w:val="single" w:sz="4" w:space="0" w:color="auto"/>
              <w:bottom w:val="single" w:sz="4" w:space="0" w:color="auto"/>
              <w:right w:val="single" w:sz="4" w:space="0" w:color="auto"/>
            </w:tcBorders>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中国邮政储蓄银行</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资金投向</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outlineLvl w:val="0"/>
              <w:rPr>
                <w:rFonts w:ascii="宋体" w:hAnsi="宋体" w:cs="宋体"/>
                <w:color w:val="000000"/>
                <w:kern w:val="0"/>
                <w:sz w:val="24"/>
              </w:rPr>
            </w:pPr>
            <w:r>
              <w:rPr>
                <w:rFonts w:ascii="宋体" w:hAnsi="宋体" w:cs="宋体" w:hint="eastAsia"/>
                <w:color w:val="000000"/>
                <w:kern w:val="0"/>
                <w:sz w:val="24"/>
              </w:rPr>
              <w:t>现金、银行存款、银行间市场债券、债券回购、央行票据、货币基金、债券基金以及固定收益类信托计划、券商资产管理计划、定向资产管理计划和专项资产管理计划等。其中现金比例原则上不低于净资产的10%，其他金融产品合计占净资产比例为0%-90%（理财产品存续期内可能因市场的重大变化导致投资比例暂时超出上述区间，广东南粤银行将以投资者利益最大化为原则尽快使投资比例恢复至上述规定区间）。</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税务处理</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我行不代扣代缴，但法律、法规另有规定除外</w:t>
            </w:r>
          </w:p>
        </w:tc>
      </w:tr>
      <w:tr w:rsidR="005D690B" w:rsidTr="005D690B">
        <w:tc>
          <w:tcPr>
            <w:tcW w:w="2448"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jc w:val="center"/>
              <w:rPr>
                <w:rFonts w:ascii="宋体" w:hAnsi="宋体"/>
                <w:color w:val="000000"/>
                <w:sz w:val="24"/>
              </w:rPr>
            </w:pPr>
            <w:r>
              <w:rPr>
                <w:rFonts w:ascii="宋体" w:hAnsi="宋体" w:hint="eastAsia"/>
                <w:color w:val="000000"/>
                <w:sz w:val="24"/>
              </w:rPr>
              <w:t>其他规定</w:t>
            </w:r>
          </w:p>
        </w:tc>
        <w:tc>
          <w:tcPr>
            <w:tcW w:w="7016" w:type="dxa"/>
            <w:tcBorders>
              <w:top w:val="single" w:sz="4" w:space="0" w:color="auto"/>
              <w:left w:val="single" w:sz="4" w:space="0" w:color="auto"/>
              <w:bottom w:val="single" w:sz="4" w:space="0" w:color="auto"/>
              <w:right w:val="single" w:sz="4" w:space="0" w:color="auto"/>
            </w:tcBorders>
            <w:vAlign w:val="center"/>
            <w:hideMark/>
          </w:tcPr>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1、投资者签署《广东南粤银行理财产品客户协议书》后，即视为投资者同意广东南粤银行有权在认购日从投资者账户中冻结其签约本金，募集期间冻结资金按同期活期利率计算利息；</w:t>
            </w:r>
          </w:p>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2、到期日至到账日之间，投资者资金不计利息；</w:t>
            </w:r>
          </w:p>
          <w:p w:rsidR="005D690B" w:rsidRDefault="005D690B">
            <w:pPr>
              <w:spacing w:line="360" w:lineRule="exact"/>
              <w:rPr>
                <w:rFonts w:ascii="宋体" w:hAnsi="宋体" w:cs="宋体"/>
                <w:color w:val="000000"/>
                <w:kern w:val="0"/>
                <w:sz w:val="24"/>
              </w:rPr>
            </w:pPr>
            <w:r>
              <w:rPr>
                <w:rFonts w:ascii="宋体" w:hAnsi="宋体" w:cs="宋体" w:hint="eastAsia"/>
                <w:color w:val="000000"/>
                <w:kern w:val="0"/>
                <w:sz w:val="24"/>
              </w:rPr>
              <w:t>3、产品以单利计算利息。</w:t>
            </w:r>
          </w:p>
        </w:tc>
      </w:tr>
    </w:tbl>
    <w:p w:rsidR="005D690B" w:rsidRDefault="005D690B" w:rsidP="005D690B">
      <w:pPr>
        <w:spacing w:line="360" w:lineRule="exact"/>
        <w:rPr>
          <w:rFonts w:ascii="宋体" w:hAnsi="宋体" w:cs="宋体"/>
          <w:b/>
          <w:color w:val="000000"/>
          <w:kern w:val="0"/>
          <w:sz w:val="24"/>
        </w:rPr>
      </w:pPr>
      <w:r>
        <w:rPr>
          <w:rFonts w:ascii="宋体" w:hAnsi="宋体" w:cs="宋体" w:hint="eastAsia"/>
          <w:b/>
          <w:color w:val="000000"/>
          <w:kern w:val="0"/>
          <w:sz w:val="24"/>
        </w:rPr>
        <w:t xml:space="preserve">                                                          </w:t>
      </w:r>
    </w:p>
    <w:p w:rsidR="005D690B" w:rsidRDefault="005D690B" w:rsidP="005D690B">
      <w:pPr>
        <w:spacing w:line="480" w:lineRule="exact"/>
        <w:ind w:firstLineChars="147" w:firstLine="354"/>
        <w:rPr>
          <w:rFonts w:ascii="宋体" w:hAnsi="宋体" w:cs="宋体"/>
          <w:b/>
          <w:color w:val="000000"/>
          <w:kern w:val="0"/>
          <w:sz w:val="24"/>
        </w:rPr>
      </w:pPr>
      <w:r>
        <w:rPr>
          <w:rFonts w:ascii="宋体" w:hAnsi="宋体" w:hint="eastAsia"/>
          <w:b/>
          <w:color w:val="000000"/>
          <w:sz w:val="24"/>
        </w:rPr>
        <w:t>申购与赎回</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1、本理财产品每交易日开放申购和赎回。</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2、申购和赎回时间：</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交易日8：30－16：00发生的申购视为当日申购，当日资金扣款，当日计算收益。16：00至次交易日8:30发生的申购视为预约申购，次交易日资金扣款，次交易日计算收益。</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交易日8：30－16：00发生的赎回视为当日赎回，当日资金到账，不计算当日理财收益。16：00至次交易日8:30发生的赎回视为预约赎回，次交易日资金到账，不计算次交易日理财收益。</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3、金额要求：</w:t>
      </w:r>
    </w:p>
    <w:p w:rsidR="005D690B" w:rsidRDefault="005D690B" w:rsidP="005D690B">
      <w:pPr>
        <w:spacing w:line="360" w:lineRule="exact"/>
        <w:ind w:firstLineChars="200" w:firstLine="480"/>
        <w:outlineLvl w:val="0"/>
        <w:rPr>
          <w:rFonts w:ascii="宋体" w:hAnsi="宋体" w:cs="楷体_GB2312"/>
          <w:color w:val="000000"/>
          <w:kern w:val="0"/>
          <w:sz w:val="24"/>
        </w:rPr>
      </w:pPr>
      <w:r>
        <w:rPr>
          <w:rFonts w:ascii="宋体" w:hAnsi="宋体" w:cs="楷体_GB2312" w:hint="eastAsia"/>
          <w:color w:val="000000"/>
          <w:kern w:val="0"/>
          <w:sz w:val="24"/>
        </w:rPr>
        <w:t>（1）首次认购个人投资者最低起点金额为5万元，追加资金以1000元为单位递增；产品运作后，个人投资者可进行赎回或申购，金额以1000元为单位增减，变动后剩余本金不得低于1万元；</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（2）机构投资者最低起点为50万元，追加资金以1万元为单位递增；产品</w:t>
      </w:r>
      <w:r>
        <w:rPr>
          <w:rFonts w:ascii="宋体" w:hAnsi="宋体" w:cs="楷体_GB2312" w:hint="eastAsia"/>
          <w:color w:val="000000"/>
          <w:kern w:val="0"/>
          <w:sz w:val="24"/>
        </w:rPr>
        <w:lastRenderedPageBreak/>
        <w:t>运作后，机构投资者可进行赎回或申购，金额以1万元为单位增减，变动后剩余本金不得低于10万元。</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4、赎回时的收益分配</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（1）全额赎回：投资者所有理财本金及未分配收益全部划入投资者签约账户，投资者与广东南粤银行就该理财资金的权利义务终止。</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（2）部分赎回：客户只能部分赎回本金，收益不进行分配，待产</w:t>
      </w:r>
      <w:proofErr w:type="gramStart"/>
      <w:r>
        <w:rPr>
          <w:rFonts w:ascii="宋体" w:hAnsi="宋体" w:cs="楷体_GB2312" w:hint="eastAsia"/>
          <w:color w:val="000000"/>
          <w:kern w:val="0"/>
          <w:sz w:val="24"/>
        </w:rPr>
        <w:t>品收益分配日统一</w:t>
      </w:r>
      <w:proofErr w:type="gramEnd"/>
      <w:r>
        <w:rPr>
          <w:rFonts w:ascii="宋体" w:hAnsi="宋体" w:cs="楷体_GB2312" w:hint="eastAsia"/>
          <w:color w:val="000000"/>
          <w:kern w:val="0"/>
          <w:sz w:val="24"/>
        </w:rPr>
        <w:t xml:space="preserve">分配； </w:t>
      </w:r>
    </w:p>
    <w:p w:rsidR="005D690B" w:rsidRDefault="005D690B" w:rsidP="005D690B">
      <w:pPr>
        <w:spacing w:line="480" w:lineRule="exact"/>
        <w:ind w:firstLineChars="200" w:firstLine="480"/>
        <w:rPr>
          <w:rFonts w:ascii="宋体" w:hAnsi="宋体" w:cs="楷体_GB2312"/>
          <w:color w:val="000000"/>
          <w:kern w:val="0"/>
          <w:sz w:val="24"/>
        </w:rPr>
      </w:pPr>
    </w:p>
    <w:p w:rsidR="005D690B" w:rsidRDefault="005D690B" w:rsidP="005D690B">
      <w:pPr>
        <w:spacing w:line="480" w:lineRule="exact"/>
        <w:ind w:firstLineChars="196" w:firstLine="472"/>
        <w:rPr>
          <w:rFonts w:ascii="宋体" w:hAnsi="宋体"/>
          <w:b/>
          <w:color w:val="000000"/>
          <w:sz w:val="24"/>
        </w:rPr>
      </w:pPr>
      <w:r>
        <w:rPr>
          <w:rFonts w:ascii="宋体" w:hAnsi="宋体" w:hint="eastAsia"/>
          <w:b/>
          <w:color w:val="000000"/>
          <w:sz w:val="24"/>
        </w:rPr>
        <w:t>理财本金与收益测算</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1、</w:t>
      </w:r>
      <w:proofErr w:type="gramStart"/>
      <w:r>
        <w:rPr>
          <w:rFonts w:ascii="宋体" w:hAnsi="宋体" w:cs="楷体_GB2312" w:hint="eastAsia"/>
          <w:color w:val="000000"/>
          <w:kern w:val="0"/>
          <w:sz w:val="24"/>
        </w:rPr>
        <w:t>当日年化收益率</w:t>
      </w:r>
      <w:proofErr w:type="gramEnd"/>
      <w:r>
        <w:rPr>
          <w:rFonts w:ascii="宋体" w:hAnsi="宋体" w:cs="楷体_GB2312" w:hint="eastAsia"/>
          <w:color w:val="000000"/>
          <w:kern w:val="0"/>
          <w:sz w:val="24"/>
        </w:rPr>
        <w:t>：本理财产品当日收益率根据市场行情及广东南粤银行实际资产运作情况计算。</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2、理财产品本金与收益率测算</w:t>
      </w:r>
    </w:p>
    <w:p w:rsidR="005D690B" w:rsidRDefault="005D690B" w:rsidP="005D690B">
      <w:pPr>
        <w:widowControl/>
        <w:spacing w:line="480" w:lineRule="exact"/>
        <w:ind w:leftChars="200" w:left="420" w:firstLineChars="200" w:firstLine="480"/>
        <w:jc w:val="left"/>
        <w:rPr>
          <w:rFonts w:ascii="宋体" w:hAnsi="宋体" w:cs="楷体_GB2312"/>
          <w:color w:val="000000"/>
          <w:kern w:val="0"/>
          <w:sz w:val="24"/>
        </w:rPr>
      </w:pPr>
      <w:r>
        <w:rPr>
          <w:rFonts w:ascii="宋体" w:hAnsi="宋体" w:cs="楷体_GB2312" w:hint="eastAsia"/>
          <w:color w:val="000000"/>
          <w:kern w:val="0"/>
          <w:sz w:val="24"/>
        </w:rPr>
        <w:t>1）投资者的当日预期理财收益=投资者当日持有的本理财产品余额×当日收益率÷365</w:t>
      </w:r>
    </w:p>
    <w:p w:rsidR="005D690B" w:rsidRDefault="005D690B" w:rsidP="005D690B">
      <w:pPr>
        <w:widowControl/>
        <w:spacing w:line="480" w:lineRule="exact"/>
        <w:ind w:leftChars="200" w:left="420" w:firstLineChars="200" w:firstLine="480"/>
        <w:jc w:val="left"/>
        <w:rPr>
          <w:rFonts w:ascii="宋体" w:hAnsi="宋体" w:cs="楷体_GB2312"/>
          <w:color w:val="000000"/>
          <w:kern w:val="0"/>
          <w:sz w:val="24"/>
        </w:rPr>
      </w:pPr>
      <w:r>
        <w:rPr>
          <w:rFonts w:ascii="宋体" w:hAnsi="宋体" w:cs="楷体_GB2312" w:hint="eastAsia"/>
          <w:color w:val="000000"/>
          <w:kern w:val="0"/>
          <w:sz w:val="24"/>
        </w:rPr>
        <w:t>2）投资者总收益＝自理财产品申购日（如为发行期认购则为理财产品成立日）起至赎回日或理财产品到期日（不含该日）期间相应理财产品资金每日的当日理财收益之</w:t>
      </w:r>
      <w:proofErr w:type="gramStart"/>
      <w:r>
        <w:rPr>
          <w:rFonts w:ascii="宋体" w:hAnsi="宋体" w:cs="楷体_GB2312" w:hint="eastAsia"/>
          <w:color w:val="000000"/>
          <w:kern w:val="0"/>
          <w:sz w:val="24"/>
        </w:rPr>
        <w:t>和</w:t>
      </w:r>
      <w:proofErr w:type="gramEnd"/>
      <w:r>
        <w:rPr>
          <w:rFonts w:ascii="宋体" w:hAnsi="宋体" w:cs="楷体_GB2312" w:hint="eastAsia"/>
          <w:color w:val="000000"/>
          <w:kern w:val="0"/>
          <w:sz w:val="24"/>
        </w:rPr>
        <w:t>。</w:t>
      </w:r>
    </w:p>
    <w:p w:rsidR="005D690B" w:rsidRDefault="005D690B" w:rsidP="005D690B">
      <w:pPr>
        <w:widowControl/>
        <w:spacing w:line="480" w:lineRule="exact"/>
        <w:ind w:firstLineChars="400" w:firstLine="960"/>
        <w:jc w:val="left"/>
        <w:rPr>
          <w:rFonts w:ascii="宋体" w:hAnsi="宋体" w:cs="楷体_GB2312"/>
          <w:color w:val="000000"/>
          <w:kern w:val="0"/>
          <w:sz w:val="24"/>
        </w:rPr>
      </w:pPr>
      <w:r>
        <w:rPr>
          <w:rFonts w:ascii="宋体" w:hAnsi="宋体" w:cs="楷体_GB2312" w:hint="eastAsia"/>
          <w:color w:val="000000"/>
          <w:kern w:val="0"/>
          <w:sz w:val="24"/>
        </w:rPr>
        <w:t>3）理财收益按四舍五入法保留两位小数。</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3、理财收益测算示例：</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假定个人投资者理财本金为人民币50000元，假设当日理财收益率为2.8%，第二日申购50000元，次日理财收益率为3.1%，第三日赎回30000元，第三日理财收益率为3.2%，第四日全额赎回，则投资者累积理财收益为：</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第一日：50000*2.8%÷365=3.84（元）</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第二日：（50000+50000）*3.1%÷365=8.49(元)</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第三日：（50000+50000-30000）*3.2%÷365=6.14（元）</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累积赎回收益=3.84+8.49+6.14=18.47元</w:t>
      </w:r>
    </w:p>
    <w:p w:rsidR="005D690B" w:rsidRDefault="005D690B" w:rsidP="005D690B">
      <w:pPr>
        <w:widowControl/>
        <w:spacing w:line="480" w:lineRule="exact"/>
        <w:jc w:val="left"/>
        <w:rPr>
          <w:rFonts w:ascii="宋体" w:hAnsi="宋体" w:cs="楷体_GB2312"/>
          <w:b/>
          <w:color w:val="000000"/>
          <w:kern w:val="0"/>
          <w:sz w:val="24"/>
        </w:rPr>
      </w:pPr>
      <w:r>
        <w:rPr>
          <w:rFonts w:ascii="宋体" w:hAnsi="宋体" w:cs="楷体_GB2312" w:hint="eastAsia"/>
          <w:b/>
          <w:color w:val="000000"/>
          <w:kern w:val="0"/>
          <w:sz w:val="24"/>
        </w:rPr>
        <w:t>（上述示例数据均采用假设数据计算，测算收益不等于实际收益，投资须谨慎）</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4、存续收益分配</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lastRenderedPageBreak/>
        <w:t>每月15日（遇节假日顺延至节后第一个工作日）广东南粤银行根据投资者实际本金及投资期限分配投资者收益；</w:t>
      </w:r>
    </w:p>
    <w:p w:rsidR="005D690B" w:rsidRDefault="005D690B" w:rsidP="005D690B">
      <w:pPr>
        <w:pStyle w:val="a3"/>
        <w:adjustRightInd w:val="0"/>
        <w:snapToGrid w:val="0"/>
        <w:spacing w:before="0" w:beforeAutospacing="0" w:after="0" w:afterAutospacing="0" w:line="480" w:lineRule="exact"/>
        <w:ind w:firstLineChars="200" w:firstLine="562"/>
        <w:textAlignment w:val="center"/>
        <w:rPr>
          <w:rFonts w:ascii="Times New Roman" w:eastAsia="仿宋_GB2312" w:hAnsi="Times New Roman" w:cs="Times New Roman"/>
          <w:b/>
          <w:bCs/>
          <w:snapToGrid w:val="0"/>
          <w:kern w:val="2"/>
          <w:sz w:val="28"/>
          <w:szCs w:val="28"/>
        </w:rPr>
      </w:pPr>
    </w:p>
    <w:p w:rsidR="005D690B" w:rsidRDefault="005D690B" w:rsidP="005D690B">
      <w:pPr>
        <w:pStyle w:val="a3"/>
        <w:adjustRightInd w:val="0"/>
        <w:snapToGrid w:val="0"/>
        <w:spacing w:before="0" w:beforeAutospacing="0" w:after="0" w:afterAutospacing="0" w:line="480" w:lineRule="exact"/>
        <w:ind w:firstLineChars="200" w:firstLine="482"/>
        <w:textAlignment w:val="center"/>
        <w:rPr>
          <w:rFonts w:ascii="宋体" w:eastAsia="宋体" w:hAnsi="宋体" w:cs="楷体_GB2312"/>
          <w:b/>
          <w:color w:val="000000"/>
        </w:rPr>
      </w:pPr>
      <w:r>
        <w:rPr>
          <w:rFonts w:ascii="宋体" w:eastAsia="宋体" w:hAnsi="宋体" w:cs="楷体_GB2312" w:hint="eastAsia"/>
          <w:b/>
          <w:color w:val="000000"/>
        </w:rPr>
        <w:t>提前终止和延续</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1、广东南粤银行有权提前终止本理财产品，广东南粤银行将提前5个交易日以公告形式通知投资者，并于提前终止日2个交易日内，将投资者理财本金和未分配收益一次性划入投资者签约账户。</w:t>
      </w:r>
    </w:p>
    <w:p w:rsidR="005D690B" w:rsidRDefault="005D690B" w:rsidP="005D690B">
      <w:pPr>
        <w:spacing w:line="480" w:lineRule="exact"/>
        <w:ind w:firstLineChars="200" w:firstLine="480"/>
        <w:rPr>
          <w:rFonts w:ascii="宋体" w:hAnsi="宋体" w:cs="楷体_GB2312"/>
          <w:color w:val="000000"/>
          <w:kern w:val="0"/>
          <w:sz w:val="24"/>
        </w:rPr>
      </w:pPr>
      <w:r>
        <w:rPr>
          <w:rFonts w:ascii="宋体" w:hAnsi="宋体" w:cs="楷体_GB2312" w:hint="eastAsia"/>
          <w:color w:val="000000"/>
          <w:kern w:val="0"/>
          <w:sz w:val="24"/>
        </w:rPr>
        <w:t>2、广东南粤银行有权延长本产品期限，广东南粤银行将提前5个交易日以公告形式通知投资者。</w:t>
      </w:r>
    </w:p>
    <w:p w:rsidR="005D690B" w:rsidRDefault="005D690B" w:rsidP="005D690B">
      <w:pPr>
        <w:spacing w:line="480" w:lineRule="exact"/>
        <w:ind w:firstLineChars="200" w:firstLine="480"/>
        <w:rPr>
          <w:sz w:val="24"/>
        </w:rPr>
      </w:pPr>
    </w:p>
    <w:p w:rsidR="005D690B" w:rsidRDefault="005D690B" w:rsidP="005D690B">
      <w:pPr>
        <w:widowControl/>
        <w:spacing w:line="480" w:lineRule="exact"/>
        <w:ind w:firstLineChars="196" w:firstLine="472"/>
        <w:jc w:val="left"/>
        <w:rPr>
          <w:rFonts w:ascii="宋体" w:hAnsi="宋体" w:cs="宋体"/>
          <w:b/>
          <w:bCs/>
          <w:color w:val="000000"/>
          <w:kern w:val="0"/>
          <w:sz w:val="24"/>
        </w:rPr>
      </w:pPr>
      <w:r>
        <w:rPr>
          <w:rFonts w:ascii="宋体" w:hAnsi="宋体" w:cs="宋体" w:hint="eastAsia"/>
          <w:b/>
          <w:bCs/>
          <w:color w:val="000000"/>
          <w:kern w:val="0"/>
          <w:sz w:val="24"/>
        </w:rPr>
        <w:t>信息披露及投诉方式</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宋体" w:hint="eastAsia"/>
          <w:color w:val="000000"/>
          <w:kern w:val="0"/>
          <w:sz w:val="24"/>
        </w:rPr>
        <w:t>1</w:t>
      </w:r>
      <w:r>
        <w:rPr>
          <w:rFonts w:ascii="宋体" w:hAnsi="宋体" w:cs="楷体_GB2312" w:hint="eastAsia"/>
          <w:color w:val="000000"/>
          <w:kern w:val="0"/>
          <w:sz w:val="24"/>
        </w:rPr>
        <w:t>、广东南粤银行通过官方网站（www.gdnybank.com）发布产品相关信息，投资者可在广东南粤银行官方网站或到各营业网点或进行查询。</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2、广东南粤银行不单独为投资者提供本理财产品的有关资产变动、收入和费用、期末资产估值等情况的账单。</w:t>
      </w:r>
    </w:p>
    <w:p w:rsidR="005D690B" w:rsidRDefault="005D690B" w:rsidP="005D690B">
      <w:pPr>
        <w:widowControl/>
        <w:spacing w:line="480" w:lineRule="exact"/>
        <w:ind w:firstLineChars="200" w:firstLine="480"/>
        <w:jc w:val="left"/>
        <w:rPr>
          <w:rFonts w:ascii="宋体" w:hAnsi="宋体" w:cs="楷体_GB2312"/>
          <w:color w:val="000000"/>
          <w:kern w:val="0"/>
          <w:sz w:val="24"/>
        </w:rPr>
      </w:pPr>
      <w:r>
        <w:rPr>
          <w:rFonts w:ascii="宋体" w:hAnsi="宋体" w:cs="楷体_GB2312" w:hint="eastAsia"/>
          <w:color w:val="000000"/>
          <w:kern w:val="0"/>
          <w:sz w:val="24"/>
        </w:rPr>
        <w:t>3、投资者对本理财产品有任何异议或意见，可联系广东南粤银行各营业网点或致电广东南粤银行统一客户服务热线（4000961818）。</w:t>
      </w:r>
    </w:p>
    <w:p w:rsidR="005D690B" w:rsidRDefault="005D690B" w:rsidP="005D690B">
      <w:pPr>
        <w:widowControl/>
        <w:spacing w:line="480" w:lineRule="exact"/>
        <w:ind w:firstLineChars="200" w:firstLine="482"/>
        <w:jc w:val="right"/>
        <w:rPr>
          <w:rFonts w:ascii="宋体" w:hAnsi="宋体" w:cs="楷体_GB2312"/>
          <w:b/>
          <w:color w:val="000000"/>
          <w:kern w:val="0"/>
          <w:sz w:val="24"/>
        </w:rPr>
      </w:pPr>
    </w:p>
    <w:p w:rsidR="005D690B" w:rsidRDefault="005D690B" w:rsidP="005D690B">
      <w:pPr>
        <w:widowControl/>
        <w:spacing w:line="480" w:lineRule="exact"/>
        <w:ind w:firstLineChars="200" w:firstLine="482"/>
        <w:jc w:val="right"/>
        <w:rPr>
          <w:rFonts w:ascii="宋体" w:hAnsi="宋体"/>
          <w:b/>
          <w:color w:val="000000"/>
          <w:sz w:val="24"/>
        </w:rPr>
      </w:pPr>
      <w:r>
        <w:rPr>
          <w:rFonts w:ascii="宋体" w:hAnsi="宋体" w:cs="楷体_GB2312" w:hint="eastAsia"/>
          <w:b/>
          <w:color w:val="000000"/>
          <w:kern w:val="0"/>
          <w:sz w:val="24"/>
        </w:rPr>
        <w:t>广东南粤</w:t>
      </w:r>
      <w:r>
        <w:rPr>
          <w:rFonts w:ascii="宋体" w:hAnsi="宋体" w:hint="eastAsia"/>
          <w:b/>
          <w:color w:val="000000"/>
          <w:sz w:val="24"/>
        </w:rPr>
        <w:t>银行股份有限公司</w:t>
      </w:r>
    </w:p>
    <w:p w:rsidR="005D690B" w:rsidRDefault="005D690B" w:rsidP="005D690B">
      <w:pPr>
        <w:widowControl/>
        <w:spacing w:line="480" w:lineRule="exact"/>
        <w:ind w:firstLineChars="200" w:firstLine="482"/>
        <w:jc w:val="right"/>
        <w:rPr>
          <w:rFonts w:ascii="宋体" w:hAnsi="宋体"/>
          <w:b/>
          <w:color w:val="000000"/>
          <w:sz w:val="24"/>
        </w:rPr>
      </w:pPr>
    </w:p>
    <w:p w:rsidR="00E3203E" w:rsidRPr="005D690B" w:rsidRDefault="00E3203E"/>
    <w:sectPr w:rsidR="00E3203E" w:rsidRPr="005D6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75" w:rsidRDefault="005E6075" w:rsidP="00566AD5">
      <w:r>
        <w:separator/>
      </w:r>
    </w:p>
  </w:endnote>
  <w:endnote w:type="continuationSeparator" w:id="0">
    <w:p w:rsidR="005E6075" w:rsidRDefault="005E6075" w:rsidP="0056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75" w:rsidRDefault="005E6075" w:rsidP="00566AD5">
      <w:r>
        <w:separator/>
      </w:r>
    </w:p>
  </w:footnote>
  <w:footnote w:type="continuationSeparator" w:id="0">
    <w:p w:rsidR="005E6075" w:rsidRDefault="005E6075" w:rsidP="0056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54"/>
    <w:rsid w:val="000471BD"/>
    <w:rsid w:val="000C091A"/>
    <w:rsid w:val="000D6F86"/>
    <w:rsid w:val="001851F9"/>
    <w:rsid w:val="002162FF"/>
    <w:rsid w:val="003F69F4"/>
    <w:rsid w:val="00566AD5"/>
    <w:rsid w:val="005D690B"/>
    <w:rsid w:val="005E6075"/>
    <w:rsid w:val="00756B0A"/>
    <w:rsid w:val="007F56E2"/>
    <w:rsid w:val="00853FD0"/>
    <w:rsid w:val="00867AEB"/>
    <w:rsid w:val="0089061E"/>
    <w:rsid w:val="008E3FB1"/>
    <w:rsid w:val="00907F02"/>
    <w:rsid w:val="00975154"/>
    <w:rsid w:val="00994278"/>
    <w:rsid w:val="009A496C"/>
    <w:rsid w:val="009D69EF"/>
    <w:rsid w:val="00BA562B"/>
    <w:rsid w:val="00D13A0B"/>
    <w:rsid w:val="00D239D7"/>
    <w:rsid w:val="00E3203E"/>
    <w:rsid w:val="00E52797"/>
    <w:rsid w:val="00F03D19"/>
    <w:rsid w:val="00F27715"/>
    <w:rsid w:val="00F4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D690B"/>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footer"/>
    <w:basedOn w:val="a"/>
    <w:link w:val="Char"/>
    <w:unhideWhenUsed/>
    <w:rsid w:val="005D690B"/>
    <w:pPr>
      <w:tabs>
        <w:tab w:val="center" w:pos="4153"/>
        <w:tab w:val="right" w:pos="8306"/>
      </w:tabs>
      <w:snapToGrid w:val="0"/>
      <w:jc w:val="left"/>
    </w:pPr>
    <w:rPr>
      <w:rFonts w:eastAsia="仿宋_GB2312"/>
      <w:sz w:val="18"/>
      <w:szCs w:val="18"/>
    </w:rPr>
  </w:style>
  <w:style w:type="character" w:customStyle="1" w:styleId="Char">
    <w:name w:val="页脚 Char"/>
    <w:basedOn w:val="a0"/>
    <w:link w:val="a4"/>
    <w:rsid w:val="005D690B"/>
    <w:rPr>
      <w:rFonts w:ascii="Times New Roman" w:eastAsia="仿宋_GB2312" w:hAnsi="Times New Roman" w:cs="Times New Roman"/>
      <w:sz w:val="18"/>
      <w:szCs w:val="18"/>
    </w:rPr>
  </w:style>
  <w:style w:type="paragraph" w:styleId="a5">
    <w:name w:val="Body Text Indent"/>
    <w:basedOn w:val="a"/>
    <w:link w:val="Char0"/>
    <w:unhideWhenUsed/>
    <w:rsid w:val="005D690B"/>
    <w:pPr>
      <w:spacing w:line="400" w:lineRule="exact"/>
      <w:ind w:firstLineChars="200" w:firstLine="480"/>
    </w:pPr>
    <w:rPr>
      <w:rFonts w:eastAsia="仿宋_GB2312"/>
      <w:color w:val="333333"/>
      <w:sz w:val="24"/>
      <w:szCs w:val="18"/>
    </w:rPr>
  </w:style>
  <w:style w:type="character" w:customStyle="1" w:styleId="Char0">
    <w:name w:val="正文文本缩进 Char"/>
    <w:basedOn w:val="a0"/>
    <w:link w:val="a5"/>
    <w:rsid w:val="005D690B"/>
    <w:rPr>
      <w:rFonts w:eastAsia="仿宋_GB2312" w:cs="Times New Roman"/>
      <w:color w:val="333333"/>
      <w:sz w:val="24"/>
      <w:szCs w:val="18"/>
    </w:rPr>
  </w:style>
  <w:style w:type="paragraph" w:styleId="a6">
    <w:name w:val="Balloon Text"/>
    <w:basedOn w:val="a"/>
    <w:link w:val="Char1"/>
    <w:uiPriority w:val="99"/>
    <w:semiHidden/>
    <w:unhideWhenUsed/>
    <w:rsid w:val="005D690B"/>
    <w:rPr>
      <w:sz w:val="18"/>
      <w:szCs w:val="18"/>
    </w:rPr>
  </w:style>
  <w:style w:type="character" w:customStyle="1" w:styleId="Char1">
    <w:name w:val="批注框文本 Char"/>
    <w:basedOn w:val="a0"/>
    <w:link w:val="a6"/>
    <w:uiPriority w:val="99"/>
    <w:semiHidden/>
    <w:rsid w:val="005D690B"/>
    <w:rPr>
      <w:rFonts w:ascii="Times New Roman" w:eastAsia="宋体" w:hAnsi="Times New Roman" w:cs="Times New Roman"/>
      <w:sz w:val="18"/>
      <w:szCs w:val="18"/>
    </w:rPr>
  </w:style>
  <w:style w:type="paragraph" w:styleId="a7">
    <w:name w:val="header"/>
    <w:basedOn w:val="a"/>
    <w:link w:val="Char2"/>
    <w:uiPriority w:val="99"/>
    <w:unhideWhenUsed/>
    <w:rsid w:val="00566AD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66A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D690B"/>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footer"/>
    <w:basedOn w:val="a"/>
    <w:link w:val="Char"/>
    <w:unhideWhenUsed/>
    <w:rsid w:val="005D690B"/>
    <w:pPr>
      <w:tabs>
        <w:tab w:val="center" w:pos="4153"/>
        <w:tab w:val="right" w:pos="8306"/>
      </w:tabs>
      <w:snapToGrid w:val="0"/>
      <w:jc w:val="left"/>
    </w:pPr>
    <w:rPr>
      <w:rFonts w:eastAsia="仿宋_GB2312"/>
      <w:sz w:val="18"/>
      <w:szCs w:val="18"/>
    </w:rPr>
  </w:style>
  <w:style w:type="character" w:customStyle="1" w:styleId="Char">
    <w:name w:val="页脚 Char"/>
    <w:basedOn w:val="a0"/>
    <w:link w:val="a4"/>
    <w:rsid w:val="005D690B"/>
    <w:rPr>
      <w:rFonts w:ascii="Times New Roman" w:eastAsia="仿宋_GB2312" w:hAnsi="Times New Roman" w:cs="Times New Roman"/>
      <w:sz w:val="18"/>
      <w:szCs w:val="18"/>
    </w:rPr>
  </w:style>
  <w:style w:type="paragraph" w:styleId="a5">
    <w:name w:val="Body Text Indent"/>
    <w:basedOn w:val="a"/>
    <w:link w:val="Char0"/>
    <w:unhideWhenUsed/>
    <w:rsid w:val="005D690B"/>
    <w:pPr>
      <w:spacing w:line="400" w:lineRule="exact"/>
      <w:ind w:firstLineChars="200" w:firstLine="480"/>
    </w:pPr>
    <w:rPr>
      <w:rFonts w:eastAsia="仿宋_GB2312"/>
      <w:color w:val="333333"/>
      <w:sz w:val="24"/>
      <w:szCs w:val="18"/>
    </w:rPr>
  </w:style>
  <w:style w:type="character" w:customStyle="1" w:styleId="Char0">
    <w:name w:val="正文文本缩进 Char"/>
    <w:basedOn w:val="a0"/>
    <w:link w:val="a5"/>
    <w:rsid w:val="005D690B"/>
    <w:rPr>
      <w:rFonts w:eastAsia="仿宋_GB2312" w:cs="Times New Roman"/>
      <w:color w:val="333333"/>
      <w:sz w:val="24"/>
      <w:szCs w:val="18"/>
    </w:rPr>
  </w:style>
  <w:style w:type="paragraph" w:styleId="a6">
    <w:name w:val="Balloon Text"/>
    <w:basedOn w:val="a"/>
    <w:link w:val="Char1"/>
    <w:uiPriority w:val="99"/>
    <w:semiHidden/>
    <w:unhideWhenUsed/>
    <w:rsid w:val="005D690B"/>
    <w:rPr>
      <w:sz w:val="18"/>
      <w:szCs w:val="18"/>
    </w:rPr>
  </w:style>
  <w:style w:type="character" w:customStyle="1" w:styleId="Char1">
    <w:name w:val="批注框文本 Char"/>
    <w:basedOn w:val="a0"/>
    <w:link w:val="a6"/>
    <w:uiPriority w:val="99"/>
    <w:semiHidden/>
    <w:rsid w:val="005D690B"/>
    <w:rPr>
      <w:rFonts w:ascii="Times New Roman" w:eastAsia="宋体" w:hAnsi="Times New Roman" w:cs="Times New Roman"/>
      <w:sz w:val="18"/>
      <w:szCs w:val="18"/>
    </w:rPr>
  </w:style>
  <w:style w:type="paragraph" w:styleId="a7">
    <w:name w:val="header"/>
    <w:basedOn w:val="a"/>
    <w:link w:val="Char2"/>
    <w:uiPriority w:val="99"/>
    <w:unhideWhenUsed/>
    <w:rsid w:val="00566AD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66A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8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窦靖</dc:creator>
  <cp:lastModifiedBy>窦靖</cp:lastModifiedBy>
  <cp:revision>8</cp:revision>
  <dcterms:created xsi:type="dcterms:W3CDTF">2015-11-05T07:01:00Z</dcterms:created>
  <dcterms:modified xsi:type="dcterms:W3CDTF">2016-03-03T02:12:00Z</dcterms:modified>
</cp:coreProperties>
</file>