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D3" w:rsidRPr="000A6CD3" w:rsidRDefault="000A6CD3" w:rsidP="000A6CD3">
      <w:pPr>
        <w:widowControl/>
        <w:jc w:val="center"/>
        <w:rPr>
          <w:rFonts w:ascii="Courier New" w:eastAsia="宋体" w:hAnsi="Courier New" w:cs="Courier New"/>
          <w:b/>
          <w:bCs/>
          <w:kern w:val="0"/>
          <w:sz w:val="36"/>
          <w:szCs w:val="36"/>
        </w:rPr>
      </w:pPr>
      <w:r w:rsidRPr="000A6CD3">
        <w:rPr>
          <w:rFonts w:ascii="Courier New" w:eastAsia="宋体" w:hAnsi="Courier New" w:cs="Courier New"/>
          <w:b/>
          <w:bCs/>
          <w:kern w:val="0"/>
          <w:sz w:val="36"/>
          <w:szCs w:val="36"/>
        </w:rPr>
        <w:t>“</w:t>
      </w:r>
      <w:r w:rsidRPr="000A6CD3">
        <w:rPr>
          <w:rFonts w:ascii="Courier New" w:eastAsia="宋体" w:hAnsi="Courier New" w:cs="Courier New"/>
          <w:b/>
          <w:bCs/>
          <w:kern w:val="0"/>
          <w:sz w:val="36"/>
          <w:szCs w:val="36"/>
        </w:rPr>
        <w:t>宝盈理财</w:t>
      </w:r>
      <w:r w:rsidRPr="000A6CD3">
        <w:rPr>
          <w:rFonts w:ascii="Courier New" w:eastAsia="宋体" w:hAnsi="Courier New" w:cs="Courier New"/>
          <w:b/>
          <w:bCs/>
          <w:kern w:val="0"/>
          <w:sz w:val="36"/>
          <w:szCs w:val="36"/>
        </w:rPr>
        <w:t>”</w:t>
      </w:r>
      <w:r w:rsidRPr="000A6CD3">
        <w:rPr>
          <w:rFonts w:ascii="Courier New" w:eastAsia="宋体" w:hAnsi="Courier New" w:cs="Courier New"/>
          <w:b/>
          <w:bCs/>
          <w:kern w:val="0"/>
          <w:sz w:val="36"/>
          <w:szCs w:val="36"/>
        </w:rPr>
        <w:t>卓越</w:t>
      </w:r>
      <w:r w:rsidRPr="000A6CD3">
        <w:rPr>
          <w:rFonts w:ascii="Courier New" w:eastAsia="宋体" w:hAnsi="Courier New" w:cs="Courier New"/>
          <w:b/>
          <w:bCs/>
          <w:kern w:val="0"/>
          <w:sz w:val="36"/>
          <w:szCs w:val="36"/>
        </w:rPr>
        <w:t>822</w:t>
      </w:r>
      <w:r w:rsidRPr="000A6CD3">
        <w:rPr>
          <w:rFonts w:ascii="Courier New" w:eastAsia="宋体" w:hAnsi="Courier New" w:cs="Courier New"/>
          <w:b/>
          <w:bCs/>
          <w:kern w:val="0"/>
          <w:sz w:val="36"/>
          <w:szCs w:val="36"/>
        </w:rPr>
        <w:t>号人民币理财产品说明书</w:t>
      </w:r>
    </w:p>
    <w:p w:rsidR="000A6CD3" w:rsidRPr="000A6CD3" w:rsidRDefault="000A6CD3" w:rsidP="000A6CD3">
      <w:pPr>
        <w:widowControl/>
        <w:jc w:val="left"/>
        <w:rPr>
          <w:rFonts w:ascii="楷体" w:eastAsia="楷体" w:hAnsi="楷体" w:cs="宋体"/>
          <w:b/>
          <w:bCs/>
          <w:color w:val="000000"/>
          <w:kern w:val="0"/>
          <w:sz w:val="24"/>
          <w:szCs w:val="24"/>
        </w:rPr>
      </w:pPr>
      <w:r w:rsidRPr="000A6CD3">
        <w:rPr>
          <w:rFonts w:ascii="楷体" w:eastAsia="楷体" w:hAnsi="楷体" w:cs="宋体" w:hint="eastAsia"/>
          <w:b/>
          <w:bCs/>
          <w:color w:val="000000"/>
          <w:kern w:val="0"/>
          <w:sz w:val="24"/>
          <w:szCs w:val="24"/>
        </w:rPr>
        <w:t>客户须知</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本说明书所有条款解释权归广东南粤银行股份有限公司所有。</w:t>
      </w:r>
    </w:p>
    <w:p w:rsidR="000A6CD3" w:rsidRPr="000A6CD3" w:rsidRDefault="000A6CD3" w:rsidP="000A6CD3">
      <w:pPr>
        <w:widowControl/>
        <w:jc w:val="left"/>
        <w:rPr>
          <w:rFonts w:ascii="楷体" w:eastAsia="楷体" w:hAnsi="楷体" w:cs="宋体"/>
          <w:b/>
          <w:bCs/>
          <w:color w:val="000000"/>
          <w:kern w:val="0"/>
          <w:sz w:val="24"/>
          <w:szCs w:val="24"/>
        </w:rPr>
      </w:pPr>
      <w:r w:rsidRPr="000A6CD3">
        <w:rPr>
          <w:rFonts w:ascii="楷体" w:eastAsia="楷体" w:hAnsi="楷体" w:cs="宋体" w:hint="eastAsia"/>
          <w:b/>
          <w:bCs/>
          <w:color w:val="000000"/>
          <w:kern w:val="0"/>
          <w:sz w:val="24"/>
          <w:szCs w:val="24"/>
        </w:rPr>
        <w:t>产品定义</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A6CD3" w:rsidRPr="000A6CD3" w:rsidRDefault="000A6CD3" w:rsidP="000A6CD3">
      <w:pPr>
        <w:widowControl/>
        <w:jc w:val="left"/>
        <w:rPr>
          <w:rFonts w:ascii="楷体" w:eastAsia="楷体" w:hAnsi="楷体" w:cs="宋体"/>
          <w:b/>
          <w:bCs/>
          <w:color w:val="000000"/>
          <w:kern w:val="0"/>
          <w:sz w:val="24"/>
          <w:szCs w:val="24"/>
        </w:rPr>
      </w:pPr>
      <w:r w:rsidRPr="000A6CD3">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0A6CD3" w:rsidRPr="000A6CD3" w:rsidTr="000A6CD3">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“宝盈理财”卓越822号人民币理财产品</w:t>
            </w:r>
          </w:p>
        </w:tc>
      </w:tr>
      <w:tr w:rsidR="000A6CD3" w:rsidRPr="000A6CD3" w:rsidTr="000A6CD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A6CD3" w:rsidRPr="000A6CD3" w:rsidRDefault="000A6CD3" w:rsidP="000A6CD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代码：GDNY_ZY_822</w:t>
            </w:r>
          </w:p>
        </w:tc>
      </w:tr>
      <w:tr w:rsidR="000A6CD3" w:rsidRPr="000A6CD3" w:rsidTr="000A6CD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0A6CD3" w:rsidRPr="000A6CD3" w:rsidRDefault="000A6CD3" w:rsidP="000A6CD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发行登记号：C1083015000485</w:t>
            </w:r>
          </w:p>
        </w:tc>
      </w:tr>
      <w:tr w:rsidR="000A6CD3" w:rsidRPr="000A6CD3" w:rsidTr="000A6CD3">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经我行风险评估，评定为稳健型、平衡型、成长型、进取</w:t>
            </w:r>
            <w:proofErr w:type="gramStart"/>
            <w:r w:rsidRPr="000A6CD3">
              <w:rPr>
                <w:rFonts w:ascii="楷体" w:eastAsia="楷体" w:hAnsi="楷体" w:cs="宋体" w:hint="eastAsia"/>
                <w:color w:val="000000"/>
                <w:kern w:val="0"/>
                <w:sz w:val="24"/>
                <w:szCs w:val="24"/>
              </w:rPr>
              <w:t>型个人</w:t>
            </w:r>
            <w:proofErr w:type="gramEnd"/>
            <w:r w:rsidRPr="000A6CD3">
              <w:rPr>
                <w:rFonts w:ascii="楷体" w:eastAsia="楷体" w:hAnsi="楷体" w:cs="宋体" w:hint="eastAsia"/>
                <w:color w:val="000000"/>
                <w:kern w:val="0"/>
                <w:sz w:val="24"/>
                <w:szCs w:val="24"/>
              </w:rPr>
              <w:t>及机构客户。</w:t>
            </w:r>
          </w:p>
        </w:tc>
      </w:tr>
      <w:tr w:rsidR="000A6CD3" w:rsidRPr="000A6CD3" w:rsidTr="000A6CD3">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通过广东南粤银行各营业网点、</w:t>
            </w:r>
            <w:proofErr w:type="gramStart"/>
            <w:r w:rsidRPr="000A6CD3">
              <w:rPr>
                <w:rFonts w:ascii="楷体" w:eastAsia="楷体" w:hAnsi="楷体" w:cs="宋体" w:hint="eastAsia"/>
                <w:color w:val="000000"/>
                <w:kern w:val="0"/>
                <w:sz w:val="24"/>
                <w:szCs w:val="24"/>
              </w:rPr>
              <w:t>广东南粤银行网银或</w:t>
            </w:r>
            <w:proofErr w:type="gramEnd"/>
            <w:r w:rsidRPr="000A6CD3">
              <w:rPr>
                <w:rFonts w:ascii="楷体" w:eastAsia="楷体" w:hAnsi="楷体" w:cs="宋体" w:hint="eastAsia"/>
                <w:color w:val="000000"/>
                <w:kern w:val="0"/>
                <w:sz w:val="24"/>
                <w:szCs w:val="24"/>
              </w:rPr>
              <w:t>广东南粤银行手机银行认购</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91天</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人民币</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b/>
                <w:bCs/>
                <w:color w:val="000000"/>
                <w:kern w:val="0"/>
                <w:sz w:val="24"/>
                <w:szCs w:val="24"/>
              </w:rPr>
            </w:pPr>
            <w:r w:rsidRPr="000A6CD3">
              <w:rPr>
                <w:rFonts w:ascii="楷体" w:eastAsia="楷体" w:hAnsi="楷体" w:cs="宋体" w:hint="eastAsia"/>
                <w:b/>
                <w:bCs/>
                <w:color w:val="000000"/>
                <w:kern w:val="0"/>
                <w:sz w:val="24"/>
                <w:szCs w:val="24"/>
              </w:rPr>
              <w:t>非保本浮动收益型</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以实际募集金额为准</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2016年2月24日至2016年3月1日</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2016年3月2日。理财产品自起始日起息。</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2016年6月1日</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到期日后2个工作日内</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中国邮政储蓄银行</w:t>
            </w:r>
          </w:p>
        </w:tc>
      </w:tr>
      <w:tr w:rsidR="000A6CD3" w:rsidRPr="000A6CD3" w:rsidTr="000A6CD3">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A6CD3">
              <w:rPr>
                <w:rFonts w:ascii="楷体" w:eastAsia="楷体" w:hAnsi="楷体" w:cs="宋体" w:hint="eastAsia"/>
                <w:color w:val="000000"/>
                <w:kern w:val="0"/>
                <w:sz w:val="24"/>
                <w:szCs w:val="24"/>
              </w:rPr>
              <w:t>尽合理</w:t>
            </w:r>
            <w:proofErr w:type="gramEnd"/>
            <w:r w:rsidRPr="000A6CD3">
              <w:rPr>
                <w:rFonts w:ascii="楷体" w:eastAsia="楷体" w:hAnsi="楷体" w:cs="宋体" w:hint="eastAsia"/>
                <w:color w:val="000000"/>
                <w:kern w:val="0"/>
                <w:sz w:val="24"/>
                <w:szCs w:val="24"/>
              </w:rPr>
              <w:t>努力，以客户利益最大化为原则尽快使投资比例恢复至上述规定区间）。</w:t>
            </w:r>
          </w:p>
        </w:tc>
      </w:tr>
      <w:tr w:rsidR="000A6CD3" w:rsidRPr="000A6CD3" w:rsidTr="000A6CD3">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proofErr w:type="gramStart"/>
            <w:r w:rsidRPr="000A6CD3">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个人客户：5万-30万：4.9%；30万-3000万：4.95%；</w:t>
            </w:r>
            <w:r w:rsidRPr="000A6CD3">
              <w:rPr>
                <w:rFonts w:ascii="楷体" w:eastAsia="楷体" w:hAnsi="楷体" w:cs="宋体" w:hint="eastAsia"/>
                <w:color w:val="000000"/>
                <w:kern w:val="0"/>
                <w:sz w:val="24"/>
                <w:szCs w:val="24"/>
              </w:rPr>
              <w:br/>
              <w:t>机构客户：50万-600万：4.9%；</w:t>
            </w:r>
          </w:p>
        </w:tc>
      </w:tr>
      <w:tr w:rsidR="000A6CD3" w:rsidRPr="000A6CD3" w:rsidTr="000A6CD3">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A6CD3">
              <w:rPr>
                <w:rFonts w:ascii="楷体" w:eastAsia="楷体" w:hAnsi="楷体" w:cs="宋体" w:hint="eastAsia"/>
                <w:color w:val="000000"/>
                <w:kern w:val="0"/>
                <w:sz w:val="24"/>
                <w:szCs w:val="24"/>
              </w:rPr>
              <w:t>最高年化收益率</w:t>
            </w:r>
            <w:proofErr w:type="gramEnd"/>
            <w:r w:rsidRPr="000A6CD3">
              <w:rPr>
                <w:rFonts w:ascii="楷体" w:eastAsia="楷体" w:hAnsi="楷体" w:cs="宋体" w:hint="eastAsia"/>
                <w:color w:val="000000"/>
                <w:kern w:val="0"/>
                <w:sz w:val="24"/>
                <w:szCs w:val="24"/>
              </w:rPr>
              <w:t>，超过部分作为银行投资管理费用。</w:t>
            </w:r>
          </w:p>
        </w:tc>
      </w:tr>
      <w:tr w:rsidR="000A6CD3" w:rsidRPr="000A6CD3" w:rsidTr="000A6CD3">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个人客户5万元起，以1万元整数</w:t>
            </w:r>
            <w:proofErr w:type="gramStart"/>
            <w:r w:rsidRPr="000A6CD3">
              <w:rPr>
                <w:rFonts w:ascii="楷体" w:eastAsia="楷体" w:hAnsi="楷体" w:cs="宋体" w:hint="eastAsia"/>
                <w:color w:val="000000"/>
                <w:kern w:val="0"/>
                <w:sz w:val="24"/>
                <w:szCs w:val="24"/>
              </w:rPr>
              <w:t>倍</w:t>
            </w:r>
            <w:proofErr w:type="gramEnd"/>
            <w:r w:rsidRPr="000A6CD3">
              <w:rPr>
                <w:rFonts w:ascii="楷体" w:eastAsia="楷体" w:hAnsi="楷体" w:cs="宋体" w:hint="eastAsia"/>
                <w:color w:val="000000"/>
                <w:kern w:val="0"/>
                <w:sz w:val="24"/>
                <w:szCs w:val="24"/>
              </w:rPr>
              <w:t>递增，最高不超过3000万元；机构客户50万元起，以1万元整数</w:t>
            </w:r>
            <w:proofErr w:type="gramStart"/>
            <w:r w:rsidRPr="000A6CD3">
              <w:rPr>
                <w:rFonts w:ascii="楷体" w:eastAsia="楷体" w:hAnsi="楷体" w:cs="宋体" w:hint="eastAsia"/>
                <w:color w:val="000000"/>
                <w:kern w:val="0"/>
                <w:sz w:val="24"/>
                <w:szCs w:val="24"/>
              </w:rPr>
              <w:t>倍</w:t>
            </w:r>
            <w:proofErr w:type="gramEnd"/>
            <w:r w:rsidRPr="000A6CD3">
              <w:rPr>
                <w:rFonts w:ascii="楷体" w:eastAsia="楷体" w:hAnsi="楷体" w:cs="宋体" w:hint="eastAsia"/>
                <w:color w:val="000000"/>
                <w:kern w:val="0"/>
                <w:sz w:val="24"/>
                <w:szCs w:val="24"/>
              </w:rPr>
              <w:t>递增，最高不超过600万元</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期末收益＝投资本金×实际收益率×实际理财天数/365</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客户无权提前终止该产品</w:t>
            </w:r>
          </w:p>
        </w:tc>
      </w:tr>
      <w:tr w:rsidR="000A6CD3" w:rsidRPr="000A6CD3" w:rsidTr="000A6CD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我行不代扣代缴，但法律、法规另有规定除外</w:t>
            </w:r>
          </w:p>
        </w:tc>
      </w:tr>
      <w:tr w:rsidR="000A6CD3" w:rsidRPr="000A6CD3" w:rsidTr="000A6CD3">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1、到期日至到账日之间，客户资金不计利息</w:t>
            </w:r>
          </w:p>
        </w:tc>
      </w:tr>
      <w:tr w:rsidR="000A6CD3" w:rsidRPr="000A6CD3" w:rsidTr="000A6CD3">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0A6CD3" w:rsidRPr="000A6CD3" w:rsidRDefault="000A6CD3" w:rsidP="000A6CD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A6CD3" w:rsidRPr="000A6CD3" w:rsidRDefault="000A6CD3" w:rsidP="000A6CD3">
      <w:pPr>
        <w:widowControl/>
        <w:jc w:val="left"/>
        <w:rPr>
          <w:rFonts w:ascii="楷体" w:eastAsia="楷体" w:hAnsi="楷体" w:cs="宋体"/>
          <w:b/>
          <w:bCs/>
          <w:color w:val="000000"/>
          <w:kern w:val="0"/>
          <w:sz w:val="24"/>
          <w:szCs w:val="24"/>
        </w:rPr>
      </w:pPr>
      <w:r w:rsidRPr="000A6CD3">
        <w:rPr>
          <w:rFonts w:ascii="楷体" w:eastAsia="楷体" w:hAnsi="楷体" w:cs="宋体" w:hint="eastAsia"/>
          <w:b/>
          <w:bCs/>
          <w:color w:val="000000"/>
          <w:kern w:val="0"/>
          <w:sz w:val="24"/>
          <w:szCs w:val="24"/>
        </w:rPr>
        <w:t>风险提示</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A6CD3">
        <w:rPr>
          <w:rFonts w:ascii="楷体" w:eastAsia="楷体" w:hAnsi="楷体" w:cs="宋体" w:hint="eastAsia"/>
          <w:kern w:val="0"/>
          <w:sz w:val="24"/>
          <w:szCs w:val="24"/>
        </w:rPr>
        <w:t>会上下波动，影响理财产品收益。</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4、理财产品不成立风险：如理财产品募集结束时，</w:t>
      </w:r>
      <w:proofErr w:type="gramStart"/>
      <w:r w:rsidRPr="000A6CD3">
        <w:rPr>
          <w:rFonts w:ascii="楷体" w:eastAsia="楷体" w:hAnsi="楷体" w:cs="宋体" w:hint="eastAsia"/>
          <w:color w:val="000000"/>
          <w:kern w:val="0"/>
          <w:sz w:val="24"/>
          <w:szCs w:val="24"/>
        </w:rPr>
        <w:t>认购总</w:t>
      </w:r>
      <w:proofErr w:type="gramEnd"/>
      <w:r w:rsidRPr="000A6CD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0A6CD3" w:rsidRPr="000A6CD3" w:rsidRDefault="000A6CD3" w:rsidP="000A6CD3">
      <w:pPr>
        <w:widowControl/>
        <w:jc w:val="center"/>
        <w:rPr>
          <w:rFonts w:ascii="楷体" w:eastAsia="楷体" w:hAnsi="楷体" w:cs="宋体"/>
          <w:b/>
          <w:bCs/>
          <w:color w:val="000000"/>
          <w:kern w:val="0"/>
          <w:sz w:val="24"/>
          <w:szCs w:val="24"/>
        </w:rPr>
      </w:pPr>
      <w:r w:rsidRPr="000A6CD3">
        <w:rPr>
          <w:rFonts w:ascii="楷体" w:eastAsia="楷体" w:hAnsi="楷体" w:cs="宋体" w:hint="eastAsia"/>
          <w:b/>
          <w:bCs/>
          <w:color w:val="000000"/>
          <w:kern w:val="0"/>
          <w:sz w:val="24"/>
          <w:szCs w:val="24"/>
        </w:rPr>
        <w:t>（请投资者仔细阅读本产品说明书首页的风险提示）</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0A6CD3" w:rsidRPr="000A6CD3" w:rsidTr="000A6CD3">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本理财产品内部风险评级为：R2</w:t>
            </w:r>
          </w:p>
        </w:tc>
      </w:tr>
      <w:tr w:rsidR="000A6CD3" w:rsidRPr="000A6CD3" w:rsidTr="000A6CD3">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A6CD3" w:rsidRPr="000A6CD3" w:rsidRDefault="000A6CD3" w:rsidP="000A6CD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适合投资策略</w:t>
            </w:r>
          </w:p>
        </w:tc>
      </w:tr>
      <w:tr w:rsidR="000A6CD3" w:rsidRPr="000A6CD3" w:rsidTr="000A6CD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A6CD3" w:rsidRPr="000A6CD3" w:rsidRDefault="000A6CD3" w:rsidP="000A6CD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风险控制</w:t>
            </w:r>
          </w:p>
        </w:tc>
      </w:tr>
      <w:tr w:rsidR="000A6CD3" w:rsidRPr="000A6CD3" w:rsidTr="000A6CD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A6CD3" w:rsidRPr="000A6CD3" w:rsidRDefault="000A6CD3" w:rsidP="000A6CD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稳健发展</w:t>
            </w:r>
          </w:p>
        </w:tc>
      </w:tr>
      <w:tr w:rsidR="000A6CD3" w:rsidRPr="000A6CD3" w:rsidTr="000A6CD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A6CD3" w:rsidRPr="000A6CD3" w:rsidRDefault="000A6CD3" w:rsidP="000A6CD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均衡成长</w:t>
            </w:r>
          </w:p>
        </w:tc>
      </w:tr>
      <w:tr w:rsidR="000A6CD3" w:rsidRPr="000A6CD3" w:rsidTr="000A6CD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A6CD3" w:rsidRPr="000A6CD3" w:rsidRDefault="000A6CD3" w:rsidP="000A6CD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积极进取</w:t>
            </w:r>
          </w:p>
        </w:tc>
      </w:tr>
      <w:tr w:rsidR="000A6CD3" w:rsidRPr="000A6CD3" w:rsidTr="000A6CD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A6CD3" w:rsidRPr="000A6CD3" w:rsidRDefault="000A6CD3" w:rsidP="000A6CD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0A6CD3" w:rsidRPr="000A6CD3" w:rsidRDefault="000A6CD3" w:rsidP="000A6CD3">
            <w:pPr>
              <w:widowControl/>
              <w:jc w:val="center"/>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风险承受</w:t>
            </w:r>
          </w:p>
        </w:tc>
      </w:tr>
    </w:tbl>
    <w:p w:rsidR="000A6CD3" w:rsidRPr="000A6CD3" w:rsidRDefault="000A6CD3" w:rsidP="000A6CD3">
      <w:pPr>
        <w:widowControl/>
        <w:jc w:val="left"/>
        <w:rPr>
          <w:rFonts w:ascii="楷体" w:eastAsia="楷体" w:hAnsi="楷体" w:cs="宋体"/>
          <w:color w:val="000000"/>
          <w:kern w:val="0"/>
          <w:sz w:val="24"/>
          <w:szCs w:val="24"/>
        </w:rPr>
      </w:pPr>
      <w:bookmarkStart w:id="0" w:name="_GoBack"/>
      <w:r w:rsidRPr="000A6CD3">
        <w:rPr>
          <w:rFonts w:ascii="楷体" w:eastAsia="楷体" w:hAnsi="楷体" w:cs="宋体" w:hint="eastAsia"/>
          <w:color w:val="000000"/>
          <w:kern w:val="0"/>
          <w:sz w:val="24"/>
          <w:szCs w:val="24"/>
        </w:rPr>
        <w:t>（本评级为广东南粤银行股份有限公司内部评级，仅供参考）</w:t>
      </w:r>
    </w:p>
    <w:p w:rsidR="000A6CD3" w:rsidRPr="000A6CD3" w:rsidRDefault="000A6CD3" w:rsidP="000A6CD3">
      <w:pPr>
        <w:widowControl/>
        <w:jc w:val="left"/>
        <w:rPr>
          <w:rFonts w:ascii="楷体" w:eastAsia="楷体" w:hAnsi="楷体" w:cs="宋体"/>
          <w:color w:val="000000"/>
          <w:kern w:val="0"/>
          <w:sz w:val="24"/>
          <w:szCs w:val="24"/>
        </w:rPr>
      </w:pPr>
    </w:p>
    <w:p w:rsidR="000A6CD3" w:rsidRPr="000A6CD3" w:rsidRDefault="000A6CD3" w:rsidP="000A6CD3">
      <w:pPr>
        <w:widowControl/>
        <w:jc w:val="left"/>
        <w:rPr>
          <w:rFonts w:ascii="楷体" w:eastAsia="楷体" w:hAnsi="楷体" w:cs="宋体"/>
          <w:b/>
          <w:bCs/>
          <w:color w:val="000000"/>
          <w:kern w:val="0"/>
          <w:sz w:val="24"/>
          <w:szCs w:val="24"/>
        </w:rPr>
      </w:pPr>
      <w:r w:rsidRPr="000A6CD3">
        <w:rPr>
          <w:rFonts w:ascii="楷体" w:eastAsia="楷体" w:hAnsi="楷体" w:cs="宋体" w:hint="eastAsia"/>
          <w:b/>
          <w:bCs/>
          <w:color w:val="000000"/>
          <w:kern w:val="0"/>
          <w:sz w:val="24"/>
          <w:szCs w:val="24"/>
        </w:rPr>
        <w:t>理财本金与收益测算</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1、理财计划本金与收益率测算</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（1）收益测算公式：</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本产品收益＝投资收益—投资相关成本</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理财产品到期支付款项=理财产品本金+本产品收益</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（2）收益测算说明：</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投资者到期收到款项按四舍五入法保留两位小数。</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2、投资者所得收益说明:</w:t>
      </w:r>
      <w:r w:rsidRPr="000A6CD3">
        <w:rPr>
          <w:rFonts w:ascii="楷体" w:eastAsia="楷体" w:hAnsi="楷体" w:cs="宋体" w:hint="eastAsia"/>
          <w:color w:val="FF0000"/>
          <w:kern w:val="0"/>
          <w:sz w:val="24"/>
          <w:szCs w:val="24"/>
        </w:rPr>
        <w:t xml:space="preserve"> </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（1）</w:t>
      </w:r>
      <w:r w:rsidRPr="000A6CD3">
        <w:rPr>
          <w:rFonts w:ascii="楷体" w:eastAsia="楷体" w:hAnsi="楷体" w:cs="宋体" w:hint="eastAsia"/>
          <w:kern w:val="0"/>
          <w:sz w:val="24"/>
          <w:szCs w:val="24"/>
        </w:rPr>
        <w:t>当理财计划实现</w:t>
      </w:r>
      <w:proofErr w:type="gramStart"/>
      <w:r w:rsidRPr="000A6CD3">
        <w:rPr>
          <w:rFonts w:ascii="楷体" w:eastAsia="楷体" w:hAnsi="楷体" w:cs="宋体" w:hint="eastAsia"/>
          <w:kern w:val="0"/>
          <w:sz w:val="24"/>
          <w:szCs w:val="24"/>
        </w:rPr>
        <w:t>的年化收益率</w:t>
      </w:r>
      <w:proofErr w:type="gramEnd"/>
      <w:r w:rsidRPr="000A6CD3">
        <w:rPr>
          <w:rFonts w:ascii="楷体" w:eastAsia="楷体" w:hAnsi="楷体" w:cs="宋体" w:hint="eastAsia"/>
          <w:kern w:val="0"/>
          <w:sz w:val="24"/>
          <w:szCs w:val="24"/>
        </w:rPr>
        <w:t>超出</w:t>
      </w:r>
      <w:proofErr w:type="gramStart"/>
      <w:r w:rsidRPr="000A6CD3">
        <w:rPr>
          <w:rFonts w:ascii="楷体" w:eastAsia="楷体" w:hAnsi="楷体" w:cs="宋体" w:hint="eastAsia"/>
          <w:kern w:val="0"/>
          <w:sz w:val="24"/>
          <w:szCs w:val="24"/>
        </w:rPr>
        <w:t>参考年化收益率</w:t>
      </w:r>
      <w:proofErr w:type="gramEnd"/>
      <w:r w:rsidRPr="000A6CD3">
        <w:rPr>
          <w:rFonts w:ascii="楷体" w:eastAsia="楷体" w:hAnsi="楷体" w:cs="宋体" w:hint="eastAsia"/>
          <w:kern w:val="0"/>
          <w:sz w:val="24"/>
          <w:szCs w:val="24"/>
        </w:rPr>
        <w:t>时，投资者只能获得本说明书中注明的对应档次</w:t>
      </w:r>
      <w:proofErr w:type="gramStart"/>
      <w:r w:rsidRPr="000A6CD3">
        <w:rPr>
          <w:rFonts w:ascii="楷体" w:eastAsia="楷体" w:hAnsi="楷体" w:cs="宋体" w:hint="eastAsia"/>
          <w:kern w:val="0"/>
          <w:sz w:val="24"/>
          <w:szCs w:val="24"/>
        </w:rPr>
        <w:t>参考年化收益率</w:t>
      </w:r>
      <w:proofErr w:type="gramEnd"/>
      <w:r w:rsidRPr="000A6CD3">
        <w:rPr>
          <w:rFonts w:ascii="楷体" w:eastAsia="楷体" w:hAnsi="楷体" w:cs="宋体" w:hint="eastAsia"/>
          <w:kern w:val="0"/>
          <w:sz w:val="24"/>
          <w:szCs w:val="24"/>
        </w:rPr>
        <w:t>，超出部分作为广东南粤银行管理费；若小于本说明书中的对应档次的</w:t>
      </w:r>
      <w:proofErr w:type="gramStart"/>
      <w:r w:rsidRPr="000A6CD3">
        <w:rPr>
          <w:rFonts w:ascii="楷体" w:eastAsia="楷体" w:hAnsi="楷体" w:cs="宋体" w:hint="eastAsia"/>
          <w:kern w:val="0"/>
          <w:sz w:val="24"/>
          <w:szCs w:val="24"/>
        </w:rPr>
        <w:t>参考年化收益率</w:t>
      </w:r>
      <w:proofErr w:type="gramEnd"/>
      <w:r w:rsidRPr="000A6CD3">
        <w:rPr>
          <w:rFonts w:ascii="楷体" w:eastAsia="楷体" w:hAnsi="楷体" w:cs="宋体" w:hint="eastAsia"/>
          <w:kern w:val="0"/>
          <w:sz w:val="24"/>
          <w:szCs w:val="24"/>
        </w:rPr>
        <w:t>，投资者到</w:t>
      </w:r>
      <w:proofErr w:type="gramStart"/>
      <w:r w:rsidRPr="000A6CD3">
        <w:rPr>
          <w:rFonts w:ascii="楷体" w:eastAsia="楷体" w:hAnsi="楷体" w:cs="宋体" w:hint="eastAsia"/>
          <w:kern w:val="0"/>
          <w:sz w:val="24"/>
          <w:szCs w:val="24"/>
        </w:rPr>
        <w:t>期年化</w:t>
      </w:r>
      <w:proofErr w:type="gramEnd"/>
      <w:r w:rsidRPr="000A6CD3">
        <w:rPr>
          <w:rFonts w:ascii="楷体" w:eastAsia="楷体" w:hAnsi="楷体" w:cs="宋体" w:hint="eastAsia"/>
          <w:kern w:val="0"/>
          <w:sz w:val="24"/>
          <w:szCs w:val="24"/>
        </w:rPr>
        <w:t>收益率则根据资产实际回收情况计算。</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计算公式：</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投资者理财收益=理财本金×投资者到</w:t>
      </w:r>
      <w:proofErr w:type="gramStart"/>
      <w:r w:rsidRPr="000A6CD3">
        <w:rPr>
          <w:rFonts w:ascii="楷体" w:eastAsia="楷体" w:hAnsi="楷体" w:cs="宋体" w:hint="eastAsia"/>
          <w:color w:val="000000"/>
          <w:kern w:val="0"/>
          <w:sz w:val="24"/>
          <w:szCs w:val="24"/>
        </w:rPr>
        <w:t>期年化</w:t>
      </w:r>
      <w:proofErr w:type="gramEnd"/>
      <w:r w:rsidRPr="000A6CD3">
        <w:rPr>
          <w:rFonts w:ascii="楷体" w:eastAsia="楷体" w:hAnsi="楷体" w:cs="宋体" w:hint="eastAsia"/>
          <w:color w:val="000000"/>
          <w:kern w:val="0"/>
          <w:sz w:val="24"/>
          <w:szCs w:val="24"/>
        </w:rPr>
        <w:t>收益率×实际理财天数/365</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（2）计算示例： </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假设客户理财本金为50,000元，对应档次的预期最高</w:t>
      </w:r>
      <w:proofErr w:type="gramStart"/>
      <w:r w:rsidRPr="000A6CD3">
        <w:rPr>
          <w:rFonts w:ascii="楷体" w:eastAsia="楷体" w:hAnsi="楷体" w:cs="宋体" w:hint="eastAsia"/>
          <w:color w:val="000000"/>
          <w:kern w:val="0"/>
          <w:sz w:val="24"/>
          <w:szCs w:val="24"/>
        </w:rPr>
        <w:t>年化参考</w:t>
      </w:r>
      <w:proofErr w:type="gramEnd"/>
      <w:r w:rsidRPr="000A6CD3">
        <w:rPr>
          <w:rFonts w:ascii="楷体" w:eastAsia="楷体" w:hAnsi="楷体" w:cs="宋体" w:hint="eastAsia"/>
          <w:color w:val="000000"/>
          <w:kern w:val="0"/>
          <w:sz w:val="24"/>
          <w:szCs w:val="24"/>
        </w:rPr>
        <w:t>收益率为4.9%，实际理财天数91天，</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A:若客户理财产品到期实现</w:t>
      </w:r>
      <w:proofErr w:type="gramStart"/>
      <w:r w:rsidRPr="000A6CD3">
        <w:rPr>
          <w:rFonts w:ascii="楷体" w:eastAsia="楷体" w:hAnsi="楷体" w:cs="宋体" w:hint="eastAsia"/>
          <w:color w:val="000000"/>
          <w:kern w:val="0"/>
          <w:sz w:val="24"/>
          <w:szCs w:val="24"/>
        </w:rPr>
        <w:t>的年化收益率</w:t>
      </w:r>
      <w:proofErr w:type="gramEnd"/>
      <w:r w:rsidRPr="000A6CD3">
        <w:rPr>
          <w:rFonts w:ascii="楷体" w:eastAsia="楷体" w:hAnsi="楷体" w:cs="宋体" w:hint="eastAsia"/>
          <w:color w:val="000000"/>
          <w:kern w:val="0"/>
          <w:sz w:val="24"/>
          <w:szCs w:val="24"/>
        </w:rPr>
        <w:t>为5%，则投资者的理财收益为：</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投资者的理财收益=50,000×4.9%×91/365= 610.82元</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B:若客户理财产品到期实现</w:t>
      </w:r>
      <w:proofErr w:type="gramStart"/>
      <w:r w:rsidRPr="000A6CD3">
        <w:rPr>
          <w:rFonts w:ascii="楷体" w:eastAsia="楷体" w:hAnsi="楷体" w:cs="宋体" w:hint="eastAsia"/>
          <w:color w:val="000000"/>
          <w:kern w:val="0"/>
          <w:sz w:val="24"/>
          <w:szCs w:val="24"/>
        </w:rPr>
        <w:t>的年化收益率</w:t>
      </w:r>
      <w:proofErr w:type="gramEnd"/>
      <w:r w:rsidRPr="000A6CD3">
        <w:rPr>
          <w:rFonts w:ascii="楷体" w:eastAsia="楷体" w:hAnsi="楷体" w:cs="宋体" w:hint="eastAsia"/>
          <w:color w:val="000000"/>
          <w:kern w:val="0"/>
          <w:sz w:val="24"/>
          <w:szCs w:val="24"/>
        </w:rPr>
        <w:t>为4.8%，则投资者的理财收益为：</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投资者的理财收益=50,000×4.8%×91/365= 598.36元</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（上述示例数据均采用假设数据计算，测算收益不等于实际收益，投资须谨慎）</w:t>
      </w:r>
    </w:p>
    <w:p w:rsidR="000A6CD3" w:rsidRPr="000A6CD3" w:rsidRDefault="000A6CD3" w:rsidP="000A6CD3">
      <w:pPr>
        <w:widowControl/>
        <w:jc w:val="left"/>
        <w:rPr>
          <w:rFonts w:ascii="楷体" w:eastAsia="楷体" w:hAnsi="楷体" w:cs="宋体"/>
          <w:b/>
          <w:bCs/>
          <w:color w:val="000000"/>
          <w:kern w:val="0"/>
          <w:sz w:val="24"/>
          <w:szCs w:val="24"/>
        </w:rPr>
      </w:pPr>
      <w:r w:rsidRPr="000A6CD3">
        <w:rPr>
          <w:rFonts w:ascii="楷体" w:eastAsia="楷体" w:hAnsi="楷体" w:cs="宋体" w:hint="eastAsia"/>
          <w:b/>
          <w:bCs/>
          <w:color w:val="000000"/>
          <w:kern w:val="0"/>
          <w:sz w:val="24"/>
          <w:szCs w:val="24"/>
        </w:rPr>
        <w:lastRenderedPageBreak/>
        <w:t>提前终止及到期清算</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A6CD3">
        <w:rPr>
          <w:rFonts w:ascii="楷体" w:eastAsia="楷体" w:hAnsi="楷体" w:cs="宋体" w:hint="eastAsia"/>
          <w:color w:val="000000"/>
          <w:kern w:val="0"/>
          <w:sz w:val="24"/>
          <w:szCs w:val="24"/>
        </w:rPr>
        <w:t>遇政策</w:t>
      </w:r>
      <w:proofErr w:type="gramEnd"/>
      <w:r w:rsidRPr="000A6CD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2、到期清算日：2016年6月1日至2016年6月2日期间，逢假期顺延。适用假期：中国公众假期。清算期</w:t>
      </w:r>
      <w:proofErr w:type="gramStart"/>
      <w:r w:rsidRPr="000A6CD3">
        <w:rPr>
          <w:rFonts w:ascii="楷体" w:eastAsia="楷体" w:hAnsi="楷体" w:cs="宋体" w:hint="eastAsia"/>
          <w:color w:val="000000"/>
          <w:kern w:val="0"/>
          <w:sz w:val="24"/>
          <w:szCs w:val="24"/>
        </w:rPr>
        <w:t>内本理财</w:t>
      </w:r>
      <w:proofErr w:type="gramEnd"/>
      <w:r w:rsidRPr="000A6CD3">
        <w:rPr>
          <w:rFonts w:ascii="楷体" w:eastAsia="楷体" w:hAnsi="楷体" w:cs="宋体" w:hint="eastAsia"/>
          <w:color w:val="000000"/>
          <w:kern w:val="0"/>
          <w:sz w:val="24"/>
          <w:szCs w:val="24"/>
        </w:rPr>
        <w:t>计划不计息。</w:t>
      </w:r>
    </w:p>
    <w:p w:rsidR="000A6CD3" w:rsidRPr="000A6CD3" w:rsidRDefault="000A6CD3" w:rsidP="000A6CD3">
      <w:pPr>
        <w:widowControl/>
        <w:jc w:val="left"/>
        <w:rPr>
          <w:rFonts w:ascii="楷体" w:eastAsia="楷体" w:hAnsi="楷体" w:cs="宋体"/>
          <w:color w:val="000000"/>
          <w:kern w:val="0"/>
          <w:sz w:val="24"/>
          <w:szCs w:val="24"/>
        </w:rPr>
      </w:pPr>
    </w:p>
    <w:p w:rsidR="000A6CD3" w:rsidRPr="000A6CD3" w:rsidRDefault="000A6CD3" w:rsidP="000A6CD3">
      <w:pPr>
        <w:widowControl/>
        <w:jc w:val="left"/>
        <w:rPr>
          <w:rFonts w:ascii="楷体" w:eastAsia="楷体" w:hAnsi="楷体" w:cs="宋体"/>
          <w:b/>
          <w:bCs/>
          <w:color w:val="000000"/>
          <w:kern w:val="0"/>
          <w:sz w:val="24"/>
          <w:szCs w:val="24"/>
        </w:rPr>
      </w:pPr>
      <w:r w:rsidRPr="000A6CD3">
        <w:rPr>
          <w:rFonts w:ascii="楷体" w:eastAsia="楷体" w:hAnsi="楷体" w:cs="宋体" w:hint="eastAsia"/>
          <w:b/>
          <w:bCs/>
          <w:color w:val="000000"/>
          <w:kern w:val="0"/>
          <w:sz w:val="24"/>
          <w:szCs w:val="24"/>
        </w:rPr>
        <w:t>信息披露及投诉方式</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A6CD3" w:rsidRPr="000A6CD3" w:rsidRDefault="000A6CD3" w:rsidP="000A6CD3">
      <w:pPr>
        <w:widowControl/>
        <w:jc w:val="lef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A6CD3" w:rsidRPr="000A6CD3" w:rsidRDefault="000A6CD3" w:rsidP="000A6CD3">
      <w:pPr>
        <w:widowControl/>
        <w:jc w:val="left"/>
        <w:rPr>
          <w:rFonts w:ascii="楷体" w:eastAsia="楷体" w:hAnsi="楷体" w:cs="宋体"/>
          <w:color w:val="000000"/>
          <w:kern w:val="0"/>
          <w:sz w:val="24"/>
          <w:szCs w:val="24"/>
        </w:rPr>
      </w:pPr>
    </w:p>
    <w:p w:rsidR="000A6CD3" w:rsidRPr="000A6CD3" w:rsidRDefault="000A6CD3" w:rsidP="000A6CD3">
      <w:pPr>
        <w:widowControl/>
        <w:jc w:val="right"/>
        <w:rPr>
          <w:rFonts w:ascii="楷体" w:eastAsia="楷体" w:hAnsi="楷体" w:cs="宋体"/>
          <w:color w:val="000000"/>
          <w:kern w:val="0"/>
          <w:sz w:val="24"/>
          <w:szCs w:val="24"/>
        </w:rPr>
      </w:pPr>
      <w:r w:rsidRPr="000A6CD3">
        <w:rPr>
          <w:rFonts w:ascii="楷体" w:eastAsia="楷体" w:hAnsi="楷体" w:cs="宋体" w:hint="eastAsia"/>
          <w:color w:val="000000"/>
          <w:kern w:val="0"/>
          <w:sz w:val="24"/>
          <w:szCs w:val="24"/>
        </w:rPr>
        <w:t>广东南粤银行股份有限公司</w:t>
      </w:r>
    </w:p>
    <w:bookmarkEnd w:id="0"/>
    <w:p w:rsidR="000A6CD3" w:rsidRPr="000A6CD3" w:rsidRDefault="000A6CD3"/>
    <w:sectPr w:rsidR="000A6CD3" w:rsidRPr="000A6C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B6" w:rsidRDefault="00240CB6" w:rsidP="004B5DDF">
      <w:r>
        <w:separator/>
      </w:r>
    </w:p>
  </w:endnote>
  <w:endnote w:type="continuationSeparator" w:id="0">
    <w:p w:rsidR="00240CB6" w:rsidRDefault="00240CB6"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0A6CD3" w:rsidRPr="000A6CD3">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B6" w:rsidRDefault="00240CB6" w:rsidP="004B5DDF">
      <w:r>
        <w:separator/>
      </w:r>
    </w:p>
  </w:footnote>
  <w:footnote w:type="continuationSeparator" w:id="0">
    <w:p w:rsidR="00240CB6" w:rsidRDefault="00240CB6"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83612"/>
    <w:rsid w:val="00091CFE"/>
    <w:rsid w:val="000A6CD3"/>
    <w:rsid w:val="001D25AB"/>
    <w:rsid w:val="001E425F"/>
    <w:rsid w:val="00201132"/>
    <w:rsid w:val="00240CB6"/>
    <w:rsid w:val="00473A02"/>
    <w:rsid w:val="004B5DDF"/>
    <w:rsid w:val="006301C6"/>
    <w:rsid w:val="00666449"/>
    <w:rsid w:val="0085658E"/>
    <w:rsid w:val="008E39DE"/>
    <w:rsid w:val="009B7D61"/>
    <w:rsid w:val="00AB1326"/>
    <w:rsid w:val="00B84BEC"/>
    <w:rsid w:val="00CB3EAA"/>
    <w:rsid w:val="00CE25B0"/>
    <w:rsid w:val="00DA1F31"/>
    <w:rsid w:val="00E44BEB"/>
    <w:rsid w:val="00E953A2"/>
    <w:rsid w:val="00EA0289"/>
    <w:rsid w:val="00EF4893"/>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754476202">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 w:id="207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563</Words>
  <Characters>3211</Characters>
  <Application>Microsoft Office Word</Application>
  <DocSecurity>0</DocSecurity>
  <Lines>26</Lines>
  <Paragraphs>7</Paragraphs>
  <ScaleCrop>false</ScaleCrop>
  <Company>Lenovo</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2016-02-19T06:45:00Z</dcterms:created>
  <dcterms:modified xsi:type="dcterms:W3CDTF">2016-02-19T08:21:00Z</dcterms:modified>
</cp:coreProperties>
</file>