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FF" w:rsidRPr="00E833FF" w:rsidRDefault="00E833FF" w:rsidP="00E833FF">
      <w:pPr>
        <w:widowControl/>
        <w:jc w:val="center"/>
        <w:rPr>
          <w:rFonts w:ascii="Courier New" w:eastAsia="宋体" w:hAnsi="Courier New" w:cs="宋体"/>
          <w:b/>
          <w:bCs/>
          <w:kern w:val="0"/>
          <w:sz w:val="36"/>
          <w:szCs w:val="36"/>
        </w:rPr>
      </w:pPr>
      <w:r w:rsidRPr="00E833FF">
        <w:rPr>
          <w:rFonts w:ascii="Courier New" w:eastAsia="宋体" w:hAnsi="Courier New" w:cs="宋体"/>
          <w:b/>
          <w:bCs/>
          <w:kern w:val="0"/>
          <w:sz w:val="36"/>
          <w:szCs w:val="36"/>
        </w:rPr>
        <w:t>“</w:t>
      </w:r>
      <w:r w:rsidRPr="00E833FF">
        <w:rPr>
          <w:rFonts w:ascii="Courier New" w:eastAsia="宋体" w:hAnsi="Courier New" w:cs="宋体"/>
          <w:b/>
          <w:bCs/>
          <w:kern w:val="0"/>
          <w:sz w:val="36"/>
          <w:szCs w:val="36"/>
        </w:rPr>
        <w:t>宝盈理财</w:t>
      </w:r>
      <w:r w:rsidRPr="00E833FF">
        <w:rPr>
          <w:rFonts w:ascii="Courier New" w:eastAsia="宋体" w:hAnsi="Courier New" w:cs="宋体"/>
          <w:b/>
          <w:bCs/>
          <w:kern w:val="0"/>
          <w:sz w:val="36"/>
          <w:szCs w:val="36"/>
        </w:rPr>
        <w:t>”</w:t>
      </w:r>
      <w:r w:rsidRPr="00E833FF">
        <w:rPr>
          <w:rFonts w:ascii="Courier New" w:eastAsia="宋体" w:hAnsi="Courier New" w:cs="宋体"/>
          <w:b/>
          <w:bCs/>
          <w:kern w:val="0"/>
          <w:sz w:val="36"/>
          <w:szCs w:val="36"/>
        </w:rPr>
        <w:t>如意</w:t>
      </w:r>
      <w:r w:rsidRPr="00E833FF">
        <w:rPr>
          <w:rFonts w:ascii="Courier New" w:eastAsia="宋体" w:hAnsi="Courier New" w:cs="宋体"/>
          <w:b/>
          <w:bCs/>
          <w:kern w:val="0"/>
          <w:sz w:val="36"/>
          <w:szCs w:val="36"/>
        </w:rPr>
        <w:t>2016M03A01</w:t>
      </w:r>
      <w:r w:rsidRPr="00E833FF">
        <w:rPr>
          <w:rFonts w:ascii="Courier New" w:eastAsia="宋体" w:hAnsi="Courier New" w:cs="宋体"/>
          <w:b/>
          <w:bCs/>
          <w:kern w:val="0"/>
          <w:sz w:val="36"/>
          <w:szCs w:val="36"/>
        </w:rPr>
        <w:t>号滚动型人民币</w:t>
      </w:r>
      <w:r w:rsidRPr="00E833FF">
        <w:rPr>
          <w:rFonts w:ascii="Courier New" w:eastAsia="宋体" w:hAnsi="Courier New" w:cs="宋体"/>
          <w:b/>
          <w:bCs/>
          <w:kern w:val="0"/>
          <w:sz w:val="36"/>
          <w:szCs w:val="36"/>
        </w:rPr>
        <w:br/>
      </w:r>
      <w:r w:rsidRPr="00E833FF">
        <w:rPr>
          <w:rFonts w:ascii="Courier New" w:eastAsia="宋体" w:hAnsi="Courier New" w:cs="宋体"/>
          <w:b/>
          <w:bCs/>
          <w:kern w:val="0"/>
          <w:sz w:val="36"/>
          <w:szCs w:val="36"/>
        </w:rPr>
        <w:t>理财产品说明书</w:t>
      </w:r>
    </w:p>
    <w:p w:rsidR="00E833FF" w:rsidRPr="00E833FF" w:rsidRDefault="00E833FF" w:rsidP="00E833FF">
      <w:pPr>
        <w:widowControl/>
        <w:jc w:val="left"/>
        <w:rPr>
          <w:rFonts w:ascii="Courier New" w:eastAsia="宋体" w:hAnsi="Courier New" w:cs="宋体"/>
          <w:b/>
          <w:bCs/>
          <w:color w:val="000000"/>
          <w:kern w:val="0"/>
          <w:sz w:val="24"/>
          <w:szCs w:val="24"/>
        </w:rPr>
      </w:pPr>
      <w:r w:rsidRPr="00E833FF">
        <w:rPr>
          <w:rFonts w:ascii="Courier New" w:eastAsia="宋体" w:hAnsi="Courier New" w:cs="宋体"/>
          <w:b/>
          <w:bCs/>
          <w:color w:val="000000"/>
          <w:kern w:val="0"/>
          <w:sz w:val="24"/>
          <w:szCs w:val="24"/>
        </w:rPr>
        <w:t>客户须知</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E833FF">
        <w:rPr>
          <w:rFonts w:ascii="楷体" w:eastAsia="楷体" w:hAnsi="楷体" w:cs="宋体" w:hint="eastAsia"/>
          <w:color w:val="000000"/>
          <w:kern w:val="0"/>
          <w:sz w:val="24"/>
          <w:szCs w:val="24"/>
        </w:rPr>
        <w:t>预期年化投资收益率</w:t>
      </w:r>
      <w:proofErr w:type="gramEnd"/>
      <w:r w:rsidRPr="00E833FF">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4、投资者若对本说明书的内容有任何疑问，请向广东南粤银行各营业网点咨询。</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5、本说明书所有条款解释权归广东南粤银行所有。</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风险提示：</w:t>
      </w:r>
    </w:p>
    <w:p w:rsidR="00E833FF" w:rsidRPr="00E833FF" w:rsidRDefault="00E833FF" w:rsidP="00E833FF">
      <w:pPr>
        <w:widowControl/>
        <w:jc w:val="left"/>
        <w:rPr>
          <w:rFonts w:ascii="楷体" w:eastAsia="楷体" w:hAnsi="楷体" w:cs="宋体"/>
          <w:b/>
          <w:bCs/>
          <w:color w:val="000000"/>
          <w:kern w:val="0"/>
          <w:sz w:val="24"/>
          <w:szCs w:val="24"/>
        </w:rPr>
      </w:pPr>
      <w:r w:rsidRPr="00E833FF">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E833FF">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E833FF">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E833FF">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E833FF">
        <w:rPr>
          <w:rFonts w:ascii="楷体" w:eastAsia="楷体" w:hAnsi="楷体" w:cs="宋体" w:hint="eastAsia"/>
          <w:color w:val="000000"/>
          <w:kern w:val="0"/>
          <w:sz w:val="24"/>
          <w:szCs w:val="24"/>
        </w:rPr>
        <w:br/>
        <w:t xml:space="preserve">    （请投资者仔细阅读本产品说明书首页的风险提示）</w:t>
      </w:r>
    </w:p>
    <w:p w:rsidR="00E833FF" w:rsidRPr="00E833FF" w:rsidRDefault="00E833FF" w:rsidP="00E833FF">
      <w:pPr>
        <w:widowControl/>
        <w:jc w:val="left"/>
        <w:rPr>
          <w:rFonts w:ascii="楷体" w:eastAsia="楷体" w:hAnsi="楷体" w:cs="宋体"/>
          <w:b/>
          <w:bCs/>
          <w:color w:val="000000"/>
          <w:kern w:val="0"/>
          <w:sz w:val="24"/>
          <w:szCs w:val="24"/>
        </w:rPr>
      </w:pPr>
      <w:r w:rsidRPr="00E833FF">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E833FF" w:rsidRPr="00E833FF" w:rsidTr="00E833FF">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“宝盈理财”如意2016M03A01号滚动型人民币理财产品</w:t>
            </w:r>
          </w:p>
        </w:tc>
      </w:tr>
      <w:tr w:rsidR="00E833FF" w:rsidRPr="00E833FF" w:rsidTr="00E833FF">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代码：GDNY_RY_2016_M03A01</w:t>
            </w:r>
          </w:p>
        </w:tc>
      </w:tr>
      <w:tr w:rsidR="00E833FF" w:rsidRPr="00E833FF" w:rsidTr="00E833FF">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发行登记号：C1083015000640</w:t>
            </w:r>
          </w:p>
        </w:tc>
      </w:tr>
      <w:tr w:rsidR="00E833FF" w:rsidRPr="00E833FF" w:rsidTr="00E833FF">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经我行风险评估，评定为稳健型、平衡型、成长型、进取</w:t>
            </w:r>
            <w:proofErr w:type="gramStart"/>
            <w:r w:rsidRPr="00E833FF">
              <w:rPr>
                <w:rFonts w:ascii="楷体" w:eastAsia="楷体" w:hAnsi="楷体" w:cs="宋体" w:hint="eastAsia"/>
                <w:color w:val="000000"/>
                <w:kern w:val="0"/>
                <w:sz w:val="24"/>
                <w:szCs w:val="24"/>
              </w:rPr>
              <w:t>型个人</w:t>
            </w:r>
            <w:proofErr w:type="gramEnd"/>
            <w:r w:rsidRPr="00E833FF">
              <w:rPr>
                <w:rFonts w:ascii="楷体" w:eastAsia="楷体" w:hAnsi="楷体" w:cs="宋体" w:hint="eastAsia"/>
                <w:color w:val="000000"/>
                <w:kern w:val="0"/>
                <w:sz w:val="24"/>
                <w:szCs w:val="24"/>
              </w:rPr>
              <w:t>及机构客户。</w:t>
            </w:r>
          </w:p>
        </w:tc>
      </w:tr>
      <w:tr w:rsidR="00E833FF" w:rsidRPr="00E833FF" w:rsidTr="00E833FF">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个人客户5万元起，以1万元整数</w:t>
            </w:r>
            <w:proofErr w:type="gramStart"/>
            <w:r w:rsidRPr="00E833FF">
              <w:rPr>
                <w:rFonts w:ascii="楷体" w:eastAsia="楷体" w:hAnsi="楷体" w:cs="宋体" w:hint="eastAsia"/>
                <w:color w:val="000000"/>
                <w:kern w:val="0"/>
                <w:sz w:val="24"/>
                <w:szCs w:val="24"/>
              </w:rPr>
              <w:t>倍</w:t>
            </w:r>
            <w:proofErr w:type="gramEnd"/>
            <w:r w:rsidRPr="00E833FF">
              <w:rPr>
                <w:rFonts w:ascii="楷体" w:eastAsia="楷体" w:hAnsi="楷体" w:cs="宋体" w:hint="eastAsia"/>
                <w:color w:val="000000"/>
                <w:kern w:val="0"/>
                <w:sz w:val="24"/>
                <w:szCs w:val="24"/>
              </w:rPr>
              <w:t>递增，最高不超过3000万元；机构客户50万元起，以1万元整数</w:t>
            </w:r>
            <w:proofErr w:type="gramStart"/>
            <w:r w:rsidRPr="00E833FF">
              <w:rPr>
                <w:rFonts w:ascii="楷体" w:eastAsia="楷体" w:hAnsi="楷体" w:cs="宋体" w:hint="eastAsia"/>
                <w:color w:val="000000"/>
                <w:kern w:val="0"/>
                <w:sz w:val="24"/>
                <w:szCs w:val="24"/>
              </w:rPr>
              <w:t>倍</w:t>
            </w:r>
            <w:proofErr w:type="gramEnd"/>
            <w:r w:rsidRPr="00E833FF">
              <w:rPr>
                <w:rFonts w:ascii="楷体" w:eastAsia="楷体" w:hAnsi="楷体" w:cs="宋体" w:hint="eastAsia"/>
                <w:color w:val="000000"/>
                <w:kern w:val="0"/>
                <w:sz w:val="24"/>
                <w:szCs w:val="24"/>
              </w:rPr>
              <w:t>递增，最高不超过600万元</w:t>
            </w:r>
          </w:p>
        </w:tc>
      </w:tr>
      <w:tr w:rsidR="00E833FF" w:rsidRPr="00E833FF" w:rsidTr="00E833FF">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通过广东南粤银行各营业网点或</w:t>
            </w:r>
            <w:proofErr w:type="gramStart"/>
            <w:r w:rsidRPr="00E833FF">
              <w:rPr>
                <w:rFonts w:ascii="楷体" w:eastAsia="楷体" w:hAnsi="楷体" w:cs="宋体" w:hint="eastAsia"/>
                <w:color w:val="000000"/>
                <w:kern w:val="0"/>
                <w:sz w:val="24"/>
                <w:szCs w:val="24"/>
              </w:rPr>
              <w:t>广东南粤银行网银认购</w:t>
            </w:r>
            <w:proofErr w:type="gramEnd"/>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90天</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人民币</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非保本浮动收益型</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以实际募集金额为准</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产品起息后不设申购与赎回</w:t>
            </w:r>
          </w:p>
        </w:tc>
      </w:tr>
      <w:tr w:rsidR="00E833FF" w:rsidRPr="00E833FF" w:rsidTr="00E833FF">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2016年1月22日至2016年1月28日</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2016年1月29日。理财产品自起始日起息。</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2016年4月28日</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到期日后2个工作日内</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起始日-到期日前2天</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广发银行股份有限公司</w:t>
            </w:r>
          </w:p>
        </w:tc>
      </w:tr>
      <w:tr w:rsidR="00E833FF" w:rsidRPr="00E833FF" w:rsidTr="00E833FF">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833FF">
              <w:rPr>
                <w:rFonts w:ascii="楷体" w:eastAsia="楷体" w:hAnsi="楷体" w:cs="宋体" w:hint="eastAsia"/>
                <w:color w:val="000000"/>
                <w:kern w:val="0"/>
                <w:sz w:val="24"/>
                <w:szCs w:val="24"/>
              </w:rPr>
              <w:t>尽合理</w:t>
            </w:r>
            <w:proofErr w:type="gramEnd"/>
            <w:r w:rsidRPr="00E833FF">
              <w:rPr>
                <w:rFonts w:ascii="楷体" w:eastAsia="楷体" w:hAnsi="楷体" w:cs="宋体" w:hint="eastAsia"/>
                <w:color w:val="000000"/>
                <w:kern w:val="0"/>
                <w:sz w:val="24"/>
                <w:szCs w:val="24"/>
              </w:rPr>
              <w:t>努力，以客户利益最大化为原则尽快使投资比例恢复至上述规定区间）。</w:t>
            </w:r>
          </w:p>
        </w:tc>
      </w:tr>
      <w:tr w:rsidR="00E833FF" w:rsidRPr="00E833FF" w:rsidTr="00E833FF">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预期</w:t>
            </w:r>
            <w:proofErr w:type="gramStart"/>
            <w:r w:rsidRPr="00E833FF">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E833FF">
              <w:rPr>
                <w:rFonts w:ascii="楷体" w:eastAsia="楷体" w:hAnsi="楷体" w:cs="宋体" w:hint="eastAsia"/>
                <w:color w:val="000000"/>
                <w:kern w:val="0"/>
                <w:sz w:val="24"/>
                <w:szCs w:val="24"/>
              </w:rPr>
              <w:t>参考年化收益率</w:t>
            </w:r>
            <w:proofErr w:type="gramEnd"/>
            <w:r w:rsidRPr="00E833FF">
              <w:rPr>
                <w:rFonts w:ascii="楷体" w:eastAsia="楷体" w:hAnsi="楷体" w:cs="宋体" w:hint="eastAsia"/>
                <w:color w:val="000000"/>
                <w:kern w:val="0"/>
                <w:sz w:val="24"/>
                <w:szCs w:val="24"/>
              </w:rPr>
              <w:t>为5%。</w:t>
            </w:r>
          </w:p>
        </w:tc>
      </w:tr>
      <w:tr w:rsidR="00E833FF" w:rsidRPr="00E833FF" w:rsidTr="00E833FF">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在理财资产完全按预期价格足额收回情况下，本理财计划持有到</w:t>
            </w:r>
            <w:proofErr w:type="gramStart"/>
            <w:r w:rsidRPr="00E833FF">
              <w:rPr>
                <w:rFonts w:ascii="楷体" w:eastAsia="楷体" w:hAnsi="楷体" w:cs="宋体" w:hint="eastAsia"/>
                <w:color w:val="000000"/>
                <w:kern w:val="0"/>
                <w:sz w:val="24"/>
                <w:szCs w:val="24"/>
              </w:rPr>
              <w:t>期年化</w:t>
            </w:r>
            <w:proofErr w:type="gramEnd"/>
            <w:r w:rsidRPr="00E833FF">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E833FF" w:rsidRPr="00E833FF" w:rsidTr="00E833FF">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募集期是否计算</w:t>
            </w:r>
            <w:r w:rsidRPr="00E833FF">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是，但募集期间内的利息不计入认购本金。</w:t>
            </w:r>
          </w:p>
        </w:tc>
      </w:tr>
      <w:tr w:rsidR="00E833FF" w:rsidRPr="00E833FF" w:rsidTr="00E833FF">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个人客户5万元起，以1万元整数</w:t>
            </w:r>
            <w:proofErr w:type="gramStart"/>
            <w:r w:rsidRPr="00E833FF">
              <w:rPr>
                <w:rFonts w:ascii="楷体" w:eastAsia="楷体" w:hAnsi="楷体" w:cs="宋体" w:hint="eastAsia"/>
                <w:color w:val="000000"/>
                <w:kern w:val="0"/>
                <w:sz w:val="24"/>
                <w:szCs w:val="24"/>
              </w:rPr>
              <w:t>倍</w:t>
            </w:r>
            <w:proofErr w:type="gramEnd"/>
            <w:r w:rsidRPr="00E833FF">
              <w:rPr>
                <w:rFonts w:ascii="楷体" w:eastAsia="楷体" w:hAnsi="楷体" w:cs="宋体" w:hint="eastAsia"/>
                <w:color w:val="000000"/>
                <w:kern w:val="0"/>
                <w:sz w:val="24"/>
                <w:szCs w:val="24"/>
              </w:rPr>
              <w:t>递增，最高不超过3000万元；机构客户50万元起，以1万元整数</w:t>
            </w:r>
            <w:proofErr w:type="gramStart"/>
            <w:r w:rsidRPr="00E833FF">
              <w:rPr>
                <w:rFonts w:ascii="楷体" w:eastAsia="楷体" w:hAnsi="楷体" w:cs="宋体" w:hint="eastAsia"/>
                <w:color w:val="000000"/>
                <w:kern w:val="0"/>
                <w:sz w:val="24"/>
                <w:szCs w:val="24"/>
              </w:rPr>
              <w:t>倍</w:t>
            </w:r>
            <w:proofErr w:type="gramEnd"/>
            <w:r w:rsidRPr="00E833FF">
              <w:rPr>
                <w:rFonts w:ascii="楷体" w:eastAsia="楷体" w:hAnsi="楷体" w:cs="宋体" w:hint="eastAsia"/>
                <w:color w:val="000000"/>
                <w:kern w:val="0"/>
                <w:sz w:val="24"/>
                <w:szCs w:val="24"/>
              </w:rPr>
              <w:t>递增，最高不超过600万元</w:t>
            </w:r>
          </w:p>
        </w:tc>
      </w:tr>
      <w:tr w:rsidR="00E833FF" w:rsidRPr="00E833FF" w:rsidTr="00E833FF">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期末收益＝投资本金×实际收益率×实际理财天数/365</w:t>
            </w:r>
          </w:p>
        </w:tc>
      </w:tr>
      <w:tr w:rsidR="00E833FF" w:rsidRPr="00E833FF" w:rsidTr="00E833FF">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E833FF" w:rsidRPr="00E833FF" w:rsidTr="00E833FF">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E833FF" w:rsidRPr="00E833FF" w:rsidTr="00E833FF">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我行不代扣代缴，但法律、法规另有规定除外</w:t>
            </w:r>
          </w:p>
        </w:tc>
      </w:tr>
      <w:tr w:rsidR="00E833FF" w:rsidRPr="00E833FF" w:rsidTr="00E833FF">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二、 投资管理</w:t>
      </w:r>
      <w:r w:rsidRPr="00E833FF">
        <w:rPr>
          <w:rFonts w:ascii="楷体" w:eastAsia="楷体" w:hAnsi="楷体" w:cs="宋体" w:hint="eastAsia"/>
          <w:color w:val="000000"/>
          <w:kern w:val="0"/>
          <w:sz w:val="24"/>
          <w:szCs w:val="24"/>
        </w:rPr>
        <w:br/>
        <w:t xml:space="preserve">    1、 基础资产构成</w:t>
      </w:r>
      <w:r w:rsidRPr="00E833FF">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E833FF">
        <w:rPr>
          <w:rFonts w:ascii="楷体" w:eastAsia="楷体" w:hAnsi="楷体" w:cs="宋体" w:hint="eastAsia"/>
          <w:color w:val="000000"/>
          <w:kern w:val="0"/>
          <w:sz w:val="24"/>
          <w:szCs w:val="24"/>
        </w:rPr>
        <w:br/>
      </w:r>
      <w:r w:rsidRPr="00E833FF">
        <w:rPr>
          <w:rFonts w:ascii="楷体" w:eastAsia="楷体" w:hAnsi="楷体" w:cs="宋体" w:hint="eastAsia"/>
          <w:color w:val="000000"/>
          <w:kern w:val="0"/>
          <w:sz w:val="24"/>
          <w:szCs w:val="24"/>
        </w:rPr>
        <w:lastRenderedPageBreak/>
        <w:t xml:space="preserve">    2、 投资管理人</w:t>
      </w:r>
      <w:r w:rsidRPr="00E833FF">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E833FF">
        <w:rPr>
          <w:rFonts w:ascii="楷体" w:eastAsia="楷体" w:hAnsi="楷体" w:cs="宋体" w:hint="eastAsia"/>
          <w:color w:val="000000"/>
          <w:kern w:val="0"/>
          <w:sz w:val="24"/>
          <w:szCs w:val="24"/>
        </w:rPr>
        <w:br/>
        <w:t xml:space="preserve">    3、 基本原理原则</w:t>
      </w:r>
      <w:r w:rsidRPr="00E833FF">
        <w:rPr>
          <w:rFonts w:ascii="楷体" w:eastAsia="楷体" w:hAnsi="楷体" w:cs="宋体" w:hint="eastAsia"/>
          <w:color w:val="000000"/>
          <w:kern w:val="0"/>
          <w:sz w:val="24"/>
          <w:szCs w:val="24"/>
        </w:rPr>
        <w:br/>
        <w:t xml:space="preserve">    （1）合</w:t>
      </w:r>
      <w:proofErr w:type="gramStart"/>
      <w:r w:rsidRPr="00E833FF">
        <w:rPr>
          <w:rFonts w:ascii="楷体" w:eastAsia="楷体" w:hAnsi="楷体" w:cs="宋体" w:hint="eastAsia"/>
          <w:color w:val="000000"/>
          <w:kern w:val="0"/>
          <w:sz w:val="24"/>
          <w:szCs w:val="24"/>
        </w:rPr>
        <w:t>规</w:t>
      </w:r>
      <w:proofErr w:type="gramEnd"/>
      <w:r w:rsidRPr="00E833FF">
        <w:rPr>
          <w:rFonts w:ascii="楷体" w:eastAsia="楷体" w:hAnsi="楷体" w:cs="宋体" w:hint="eastAsia"/>
          <w:color w:val="000000"/>
          <w:kern w:val="0"/>
          <w:sz w:val="24"/>
          <w:szCs w:val="24"/>
        </w:rPr>
        <w:t>运作：严格遵守国家有关法律法规，严格遵守广东南粤银行相关规章制度。</w:t>
      </w:r>
      <w:r w:rsidRPr="00E833FF">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E833FF">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三、 理财收益计算示例</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 本金及理财收益风险</w:t>
      </w:r>
      <w:r w:rsidRPr="00E833FF">
        <w:rPr>
          <w:rFonts w:ascii="楷体" w:eastAsia="楷体" w:hAnsi="楷体" w:cs="宋体" w:hint="eastAsia"/>
          <w:color w:val="000000"/>
          <w:kern w:val="0"/>
          <w:sz w:val="24"/>
          <w:szCs w:val="24"/>
        </w:rPr>
        <w:br/>
        <w:t>本理财产品不保证本金及收益，广东南粤银行对本理财产品不做出任何保本或收益承诺。</w:t>
      </w:r>
      <w:r w:rsidRPr="00E833FF">
        <w:rPr>
          <w:rFonts w:ascii="楷体" w:eastAsia="楷体" w:hAnsi="楷体" w:cs="宋体" w:hint="eastAsia"/>
          <w:color w:val="000000"/>
          <w:kern w:val="0"/>
          <w:sz w:val="24"/>
          <w:szCs w:val="24"/>
        </w:rPr>
        <w:br/>
        <w:t xml:space="preserve">    2、 风险示例</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3、 投资者所得收益说明</w:t>
      </w:r>
      <w:r w:rsidRPr="00E833FF">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当理财计划实现</w:t>
      </w:r>
      <w:proofErr w:type="gramStart"/>
      <w:r w:rsidRPr="00E833FF">
        <w:rPr>
          <w:rFonts w:ascii="楷体" w:eastAsia="楷体" w:hAnsi="楷体" w:cs="宋体" w:hint="eastAsia"/>
          <w:color w:val="000000"/>
          <w:kern w:val="0"/>
          <w:sz w:val="24"/>
          <w:szCs w:val="24"/>
        </w:rPr>
        <w:t>的年化收益率</w:t>
      </w:r>
      <w:proofErr w:type="gramEnd"/>
      <w:r w:rsidRPr="00E833FF">
        <w:rPr>
          <w:rFonts w:ascii="楷体" w:eastAsia="楷体" w:hAnsi="楷体" w:cs="宋体" w:hint="eastAsia"/>
          <w:color w:val="000000"/>
          <w:kern w:val="0"/>
          <w:sz w:val="24"/>
          <w:szCs w:val="24"/>
        </w:rPr>
        <w:t>超出</w:t>
      </w:r>
      <w:proofErr w:type="gramStart"/>
      <w:r w:rsidRPr="00E833FF">
        <w:rPr>
          <w:rFonts w:ascii="楷体" w:eastAsia="楷体" w:hAnsi="楷体" w:cs="宋体" w:hint="eastAsia"/>
          <w:color w:val="000000"/>
          <w:kern w:val="0"/>
          <w:sz w:val="24"/>
          <w:szCs w:val="24"/>
        </w:rPr>
        <w:t>参考年化收益率</w:t>
      </w:r>
      <w:proofErr w:type="gramEnd"/>
      <w:r w:rsidRPr="00E833FF">
        <w:rPr>
          <w:rFonts w:ascii="楷体" w:eastAsia="楷体" w:hAnsi="楷体" w:cs="宋体" w:hint="eastAsia"/>
          <w:color w:val="000000"/>
          <w:kern w:val="0"/>
          <w:sz w:val="24"/>
          <w:szCs w:val="24"/>
        </w:rPr>
        <w:t>时，投资者只能获得本说明书中注明的对应档次</w:t>
      </w:r>
      <w:proofErr w:type="gramStart"/>
      <w:r w:rsidRPr="00E833FF">
        <w:rPr>
          <w:rFonts w:ascii="楷体" w:eastAsia="楷体" w:hAnsi="楷体" w:cs="宋体" w:hint="eastAsia"/>
          <w:color w:val="000000"/>
          <w:kern w:val="0"/>
          <w:sz w:val="24"/>
          <w:szCs w:val="24"/>
        </w:rPr>
        <w:t>参考年化收益率</w:t>
      </w:r>
      <w:proofErr w:type="gramEnd"/>
      <w:r w:rsidRPr="00E833FF">
        <w:rPr>
          <w:rFonts w:ascii="楷体" w:eastAsia="楷体" w:hAnsi="楷体" w:cs="宋体" w:hint="eastAsia"/>
          <w:color w:val="000000"/>
          <w:kern w:val="0"/>
          <w:sz w:val="24"/>
          <w:szCs w:val="24"/>
        </w:rPr>
        <w:t>，超出部分作为广东南粤银行管理费；若小于本说明书中的对应档次的</w:t>
      </w:r>
      <w:proofErr w:type="gramStart"/>
      <w:r w:rsidRPr="00E833FF">
        <w:rPr>
          <w:rFonts w:ascii="楷体" w:eastAsia="楷体" w:hAnsi="楷体" w:cs="宋体" w:hint="eastAsia"/>
          <w:color w:val="000000"/>
          <w:kern w:val="0"/>
          <w:sz w:val="24"/>
          <w:szCs w:val="24"/>
        </w:rPr>
        <w:t>参考年化收益率</w:t>
      </w:r>
      <w:proofErr w:type="gramEnd"/>
      <w:r w:rsidRPr="00E833FF">
        <w:rPr>
          <w:rFonts w:ascii="楷体" w:eastAsia="楷体" w:hAnsi="楷体" w:cs="宋体" w:hint="eastAsia"/>
          <w:color w:val="000000"/>
          <w:kern w:val="0"/>
          <w:sz w:val="24"/>
          <w:szCs w:val="24"/>
        </w:rPr>
        <w:t>，投资者到</w:t>
      </w:r>
      <w:proofErr w:type="gramStart"/>
      <w:r w:rsidRPr="00E833FF">
        <w:rPr>
          <w:rFonts w:ascii="楷体" w:eastAsia="楷体" w:hAnsi="楷体" w:cs="宋体" w:hint="eastAsia"/>
          <w:color w:val="000000"/>
          <w:kern w:val="0"/>
          <w:sz w:val="24"/>
          <w:szCs w:val="24"/>
        </w:rPr>
        <w:t>期年化</w:t>
      </w:r>
      <w:proofErr w:type="gramEnd"/>
      <w:r w:rsidRPr="00E833FF">
        <w:rPr>
          <w:rFonts w:ascii="楷体" w:eastAsia="楷体" w:hAnsi="楷体" w:cs="宋体" w:hint="eastAsia"/>
          <w:color w:val="000000"/>
          <w:kern w:val="0"/>
          <w:sz w:val="24"/>
          <w:szCs w:val="24"/>
        </w:rPr>
        <w:t>收益率则根据资产实际回收情况计算。</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4、 投资者所得收益计算示例</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 计算公式：</w:t>
      </w:r>
      <w:r w:rsidRPr="00E833FF">
        <w:rPr>
          <w:rFonts w:ascii="楷体" w:eastAsia="楷体" w:hAnsi="楷体" w:cs="宋体" w:hint="eastAsia"/>
          <w:color w:val="000000"/>
          <w:kern w:val="0"/>
          <w:sz w:val="24"/>
          <w:szCs w:val="24"/>
        </w:rPr>
        <w:br/>
        <w:t xml:space="preserve">    投资者理财收益=认购本金*理财产品</w:t>
      </w:r>
      <w:proofErr w:type="gramStart"/>
      <w:r w:rsidRPr="00E833FF">
        <w:rPr>
          <w:rFonts w:ascii="楷体" w:eastAsia="楷体" w:hAnsi="楷体" w:cs="宋体" w:hint="eastAsia"/>
          <w:color w:val="000000"/>
          <w:kern w:val="0"/>
          <w:sz w:val="24"/>
          <w:szCs w:val="24"/>
        </w:rPr>
        <w:t>实际年化收益率</w:t>
      </w:r>
      <w:proofErr w:type="gramEnd"/>
      <w:r w:rsidRPr="00E833FF">
        <w:rPr>
          <w:rFonts w:ascii="楷体" w:eastAsia="楷体" w:hAnsi="楷体" w:cs="宋体" w:hint="eastAsia"/>
          <w:color w:val="000000"/>
          <w:kern w:val="0"/>
          <w:sz w:val="24"/>
          <w:szCs w:val="24"/>
        </w:rPr>
        <w:t>*实际理财天数/365，</w:t>
      </w:r>
      <w:r w:rsidRPr="00E833FF">
        <w:rPr>
          <w:rFonts w:ascii="楷体" w:eastAsia="楷体" w:hAnsi="楷体" w:cs="宋体" w:hint="eastAsia"/>
          <w:color w:val="000000"/>
          <w:kern w:val="0"/>
          <w:sz w:val="24"/>
          <w:szCs w:val="24"/>
        </w:rPr>
        <w:br/>
        <w:t xml:space="preserve">    投资者到期收到款项按四舍五入法保留两位小数。</w:t>
      </w:r>
      <w:r w:rsidRPr="00E833FF">
        <w:rPr>
          <w:rFonts w:ascii="楷体" w:eastAsia="楷体" w:hAnsi="楷体" w:cs="宋体" w:hint="eastAsia"/>
          <w:color w:val="000000"/>
          <w:kern w:val="0"/>
          <w:sz w:val="24"/>
          <w:szCs w:val="24"/>
        </w:rPr>
        <w:br/>
        <w:t xml:space="preserve">    （2） 计算示例：</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假设客户理财本金为50,000元，对应档次的预期最高</w:t>
      </w:r>
      <w:proofErr w:type="gramStart"/>
      <w:r w:rsidRPr="00E833FF">
        <w:rPr>
          <w:rFonts w:ascii="楷体" w:eastAsia="楷体" w:hAnsi="楷体" w:cs="宋体" w:hint="eastAsia"/>
          <w:color w:val="000000"/>
          <w:kern w:val="0"/>
          <w:sz w:val="24"/>
          <w:szCs w:val="24"/>
        </w:rPr>
        <w:t>年化参考</w:t>
      </w:r>
      <w:proofErr w:type="gramEnd"/>
      <w:r w:rsidRPr="00E833FF">
        <w:rPr>
          <w:rFonts w:ascii="楷体" w:eastAsia="楷体" w:hAnsi="楷体" w:cs="宋体" w:hint="eastAsia"/>
          <w:color w:val="000000"/>
          <w:kern w:val="0"/>
          <w:sz w:val="24"/>
          <w:szCs w:val="24"/>
        </w:rPr>
        <w:t>收益率为5%，实际理财天数90天，</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A:若客户理财产品到期实现</w:t>
      </w:r>
      <w:proofErr w:type="gramStart"/>
      <w:r w:rsidRPr="00E833FF">
        <w:rPr>
          <w:rFonts w:ascii="楷体" w:eastAsia="楷体" w:hAnsi="楷体" w:cs="宋体" w:hint="eastAsia"/>
          <w:color w:val="000000"/>
          <w:kern w:val="0"/>
          <w:sz w:val="24"/>
          <w:szCs w:val="24"/>
        </w:rPr>
        <w:t>的年化收益率</w:t>
      </w:r>
      <w:proofErr w:type="gramEnd"/>
      <w:r w:rsidRPr="00E833FF">
        <w:rPr>
          <w:rFonts w:ascii="楷体" w:eastAsia="楷体" w:hAnsi="楷体" w:cs="宋体" w:hint="eastAsia"/>
          <w:color w:val="000000"/>
          <w:kern w:val="0"/>
          <w:sz w:val="24"/>
          <w:szCs w:val="24"/>
        </w:rPr>
        <w:t>为5.1%，则投资者的理财收益为：</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投资者的理财收益=50,000×5%×90/365= 616.44元</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B:若客户理财产品到期实现</w:t>
      </w:r>
      <w:proofErr w:type="gramStart"/>
      <w:r w:rsidRPr="00E833FF">
        <w:rPr>
          <w:rFonts w:ascii="楷体" w:eastAsia="楷体" w:hAnsi="楷体" w:cs="宋体" w:hint="eastAsia"/>
          <w:color w:val="000000"/>
          <w:kern w:val="0"/>
          <w:sz w:val="24"/>
          <w:szCs w:val="24"/>
        </w:rPr>
        <w:t>的年化收益率</w:t>
      </w:r>
      <w:proofErr w:type="gramEnd"/>
      <w:r w:rsidRPr="00E833FF">
        <w:rPr>
          <w:rFonts w:ascii="楷体" w:eastAsia="楷体" w:hAnsi="楷体" w:cs="宋体" w:hint="eastAsia"/>
          <w:color w:val="000000"/>
          <w:kern w:val="0"/>
          <w:sz w:val="24"/>
          <w:szCs w:val="24"/>
        </w:rPr>
        <w:t>为4.9%，则投资者的理财收益为：</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投资者的理财收益=50,000×4.9%×90/365= 604.11元</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（上述示例数据均采用假设数据计算，测算收益不等于实际收益，投资须谨慎）</w:t>
      </w:r>
      <w:r w:rsidRPr="00E833FF">
        <w:rPr>
          <w:rFonts w:ascii="楷体" w:eastAsia="楷体" w:hAnsi="楷体" w:cs="宋体" w:hint="eastAsia"/>
          <w:color w:val="000000"/>
          <w:kern w:val="0"/>
          <w:sz w:val="24"/>
          <w:szCs w:val="24"/>
        </w:rPr>
        <w:br/>
      </w:r>
      <w:r w:rsidRPr="00E833FF">
        <w:rPr>
          <w:rFonts w:ascii="楷体" w:eastAsia="楷体" w:hAnsi="楷体" w:cs="宋体" w:hint="eastAsia"/>
          <w:b/>
          <w:bCs/>
          <w:color w:val="000000"/>
          <w:kern w:val="0"/>
          <w:sz w:val="24"/>
          <w:szCs w:val="24"/>
        </w:rPr>
        <w:t>四、 内部风险评级</w:t>
      </w:r>
      <w:r w:rsidRPr="00E833FF">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E833FF">
        <w:rPr>
          <w:rFonts w:ascii="楷体" w:eastAsia="楷体" w:hAnsi="楷体" w:cs="宋体" w:hint="eastAsia"/>
          <w:color w:val="000000"/>
          <w:kern w:val="0"/>
          <w:sz w:val="24"/>
          <w:szCs w:val="24"/>
        </w:rPr>
        <w:br/>
        <w:t xml:space="preserve">    2、</w:t>
      </w:r>
      <w:proofErr w:type="gramStart"/>
      <w:r w:rsidRPr="00E833FF">
        <w:rPr>
          <w:rFonts w:ascii="楷体" w:eastAsia="楷体" w:hAnsi="楷体" w:cs="宋体" w:hint="eastAsia"/>
          <w:color w:val="000000"/>
          <w:kern w:val="0"/>
          <w:sz w:val="24"/>
          <w:szCs w:val="24"/>
        </w:rPr>
        <w:t>本风险</w:t>
      </w:r>
      <w:proofErr w:type="gramEnd"/>
      <w:r w:rsidRPr="00E833FF">
        <w:rPr>
          <w:rFonts w:ascii="楷体" w:eastAsia="楷体" w:hAnsi="楷体" w:cs="宋体" w:hint="eastAsia"/>
          <w:color w:val="000000"/>
          <w:kern w:val="0"/>
          <w:sz w:val="24"/>
          <w:szCs w:val="24"/>
        </w:rPr>
        <w:t>评级为广东南粤银行内部评级结果，仅供投资者参考，不具备法律效力。</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E833FF" w:rsidRPr="00E833FF" w:rsidTr="00E833FF">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本理财产品风险评级：R2</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适合投资策略</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风险控制</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稳健发展</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均衡成长</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积极进取</w:t>
            </w:r>
          </w:p>
        </w:tc>
      </w:tr>
      <w:tr w:rsidR="00E833FF" w:rsidRPr="00E833FF" w:rsidTr="00E833F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833FF" w:rsidRPr="00E833FF" w:rsidRDefault="00E833FF" w:rsidP="00E833FF">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E833FF" w:rsidRPr="00E833FF" w:rsidRDefault="00E833FF" w:rsidP="00E833FF">
            <w:pPr>
              <w:widowControl/>
              <w:jc w:val="center"/>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风险承受</w:t>
            </w:r>
          </w:p>
        </w:tc>
      </w:tr>
    </w:tbl>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（本评级为广东南粤银行股份有限公司内部评级，仅供参考）</w:t>
      </w:r>
    </w:p>
    <w:p w:rsidR="00E833FF" w:rsidRPr="00E833FF" w:rsidRDefault="00E833FF" w:rsidP="00E833FF">
      <w:pPr>
        <w:widowControl/>
        <w:jc w:val="left"/>
        <w:rPr>
          <w:rFonts w:ascii="楷体" w:eastAsia="楷体" w:hAnsi="楷体" w:cs="宋体"/>
          <w:b/>
          <w:bCs/>
          <w:color w:val="000000"/>
          <w:kern w:val="0"/>
          <w:sz w:val="24"/>
          <w:szCs w:val="24"/>
        </w:rPr>
      </w:pPr>
      <w:r w:rsidRPr="00E833FF">
        <w:rPr>
          <w:rFonts w:ascii="楷体" w:eastAsia="楷体" w:hAnsi="楷体" w:cs="宋体" w:hint="eastAsia"/>
          <w:b/>
          <w:bCs/>
          <w:color w:val="000000"/>
          <w:kern w:val="0"/>
          <w:sz w:val="24"/>
          <w:szCs w:val="24"/>
        </w:rPr>
        <w:t>五、信息披露及投诉方式</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833FF" w:rsidRPr="00E833FF" w:rsidRDefault="00E833FF" w:rsidP="00E833FF">
      <w:pPr>
        <w:widowControl/>
        <w:jc w:val="lef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833FF" w:rsidRPr="00E833FF" w:rsidRDefault="00E833FF" w:rsidP="00E833FF">
      <w:pPr>
        <w:widowControl/>
        <w:jc w:val="left"/>
        <w:rPr>
          <w:rFonts w:ascii="楷体" w:eastAsia="楷体" w:hAnsi="楷体" w:cs="宋体"/>
          <w:color w:val="000000"/>
          <w:kern w:val="0"/>
          <w:sz w:val="24"/>
          <w:szCs w:val="24"/>
        </w:rPr>
      </w:pPr>
    </w:p>
    <w:p w:rsidR="00E833FF" w:rsidRPr="00E833FF" w:rsidRDefault="00E833FF" w:rsidP="00E833FF">
      <w:pPr>
        <w:widowControl/>
        <w:jc w:val="right"/>
        <w:rPr>
          <w:rFonts w:ascii="楷体" w:eastAsia="楷体" w:hAnsi="楷体" w:cs="宋体"/>
          <w:color w:val="000000"/>
          <w:kern w:val="0"/>
          <w:sz w:val="24"/>
          <w:szCs w:val="24"/>
        </w:rPr>
      </w:pPr>
      <w:r w:rsidRPr="00E833FF">
        <w:rPr>
          <w:rFonts w:ascii="楷体" w:eastAsia="楷体" w:hAnsi="楷体" w:cs="宋体" w:hint="eastAsia"/>
          <w:color w:val="000000"/>
          <w:kern w:val="0"/>
          <w:sz w:val="24"/>
          <w:szCs w:val="24"/>
        </w:rPr>
        <w:t>广东南粤银行股份有限公司</w:t>
      </w:r>
    </w:p>
    <w:p w:rsidR="000A05C8" w:rsidRDefault="000A05C8"/>
    <w:sectPr w:rsidR="000A05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C2" w:rsidRDefault="00C71EC2" w:rsidP="00E833FF">
      <w:r>
        <w:separator/>
      </w:r>
    </w:p>
  </w:endnote>
  <w:endnote w:type="continuationSeparator" w:id="0">
    <w:p w:rsidR="00C71EC2" w:rsidRDefault="00C71EC2" w:rsidP="00E8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FF" w:rsidRDefault="00E833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725931"/>
      <w:docPartObj>
        <w:docPartGallery w:val="Page Numbers (Bottom of Page)"/>
        <w:docPartUnique/>
      </w:docPartObj>
    </w:sdtPr>
    <w:sdtContent>
      <w:bookmarkStart w:id="0" w:name="_GoBack" w:displacedByCustomXml="prev"/>
      <w:bookmarkEnd w:id="0" w:displacedByCustomXml="prev"/>
      <w:p w:rsidR="00E833FF" w:rsidRDefault="00E833FF">
        <w:pPr>
          <w:pStyle w:val="a4"/>
          <w:jc w:val="center"/>
        </w:pPr>
        <w:r>
          <w:fldChar w:fldCharType="begin"/>
        </w:r>
        <w:r>
          <w:instrText>PAGE   \* MERGEFORMAT</w:instrText>
        </w:r>
        <w:r>
          <w:fldChar w:fldCharType="separate"/>
        </w:r>
        <w:r w:rsidRPr="00E833FF">
          <w:rPr>
            <w:noProof/>
            <w:lang w:val="zh-CN"/>
          </w:rPr>
          <w:t>1</w:t>
        </w:r>
        <w:r>
          <w:fldChar w:fldCharType="end"/>
        </w:r>
      </w:p>
    </w:sdtContent>
  </w:sdt>
  <w:p w:rsidR="00E833FF" w:rsidRDefault="00E833F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FF" w:rsidRDefault="00E833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C2" w:rsidRDefault="00C71EC2" w:rsidP="00E833FF">
      <w:r>
        <w:separator/>
      </w:r>
    </w:p>
  </w:footnote>
  <w:footnote w:type="continuationSeparator" w:id="0">
    <w:p w:rsidR="00C71EC2" w:rsidRDefault="00C71EC2" w:rsidP="00E8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FF" w:rsidRDefault="00E833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FF" w:rsidRDefault="00E833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FF" w:rsidRDefault="00E833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FF"/>
    <w:rsid w:val="000A05C8"/>
    <w:rsid w:val="00C71EC2"/>
    <w:rsid w:val="00E833FF"/>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3FF"/>
    <w:rPr>
      <w:sz w:val="18"/>
      <w:szCs w:val="18"/>
    </w:rPr>
  </w:style>
  <w:style w:type="paragraph" w:styleId="a4">
    <w:name w:val="footer"/>
    <w:basedOn w:val="a"/>
    <w:link w:val="Char0"/>
    <w:uiPriority w:val="99"/>
    <w:unhideWhenUsed/>
    <w:rsid w:val="00E833F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3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3FF"/>
    <w:rPr>
      <w:sz w:val="18"/>
      <w:szCs w:val="18"/>
    </w:rPr>
  </w:style>
  <w:style w:type="paragraph" w:styleId="a4">
    <w:name w:val="footer"/>
    <w:basedOn w:val="a"/>
    <w:link w:val="Char0"/>
    <w:uiPriority w:val="99"/>
    <w:unhideWhenUsed/>
    <w:rsid w:val="00E833F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3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4167</Characters>
  <Application>Microsoft Office Word</Application>
  <DocSecurity>0</DocSecurity>
  <Lines>34</Lines>
  <Paragraphs>9</Paragraphs>
  <ScaleCrop>false</ScaleCrop>
  <Company>china</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1</cp:revision>
  <dcterms:created xsi:type="dcterms:W3CDTF">2016-01-19T06:54:00Z</dcterms:created>
  <dcterms:modified xsi:type="dcterms:W3CDTF">2016-01-19T06:55:00Z</dcterms:modified>
</cp:coreProperties>
</file>