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2AC" w:rsidRPr="00D312AC" w:rsidRDefault="00D312AC" w:rsidP="00D312AC">
      <w:pPr>
        <w:widowControl/>
        <w:jc w:val="center"/>
        <w:rPr>
          <w:rFonts w:ascii="Courier New" w:eastAsia="宋体" w:hAnsi="Courier New" w:cs="Courier New"/>
          <w:b/>
          <w:bCs/>
          <w:kern w:val="0"/>
          <w:sz w:val="36"/>
          <w:szCs w:val="36"/>
        </w:rPr>
      </w:pPr>
      <w:r w:rsidRPr="00D312AC">
        <w:rPr>
          <w:rFonts w:ascii="Courier New" w:eastAsia="宋体" w:hAnsi="Courier New" w:cs="Courier New"/>
          <w:b/>
          <w:bCs/>
          <w:kern w:val="0"/>
          <w:sz w:val="36"/>
          <w:szCs w:val="36"/>
        </w:rPr>
        <w:t>“</w:t>
      </w:r>
      <w:r w:rsidRPr="00D312AC">
        <w:rPr>
          <w:rFonts w:ascii="Courier New" w:eastAsia="宋体" w:hAnsi="Courier New" w:cs="Courier New"/>
          <w:b/>
          <w:bCs/>
          <w:kern w:val="0"/>
          <w:sz w:val="36"/>
          <w:szCs w:val="36"/>
        </w:rPr>
        <w:t>宝盈理财</w:t>
      </w:r>
      <w:r w:rsidRPr="00D312AC">
        <w:rPr>
          <w:rFonts w:ascii="Courier New" w:eastAsia="宋体" w:hAnsi="Courier New" w:cs="Courier New"/>
          <w:b/>
          <w:bCs/>
          <w:kern w:val="0"/>
          <w:sz w:val="36"/>
          <w:szCs w:val="36"/>
        </w:rPr>
        <w:t>”</w:t>
      </w:r>
      <w:r w:rsidRPr="00D312AC">
        <w:rPr>
          <w:rFonts w:ascii="Courier New" w:eastAsia="宋体" w:hAnsi="Courier New" w:cs="Courier New"/>
          <w:b/>
          <w:bCs/>
          <w:kern w:val="0"/>
          <w:sz w:val="36"/>
          <w:szCs w:val="36"/>
        </w:rPr>
        <w:t>卓越</w:t>
      </w:r>
      <w:r w:rsidRPr="00D312AC">
        <w:rPr>
          <w:rFonts w:ascii="Courier New" w:eastAsia="宋体" w:hAnsi="Courier New" w:cs="Courier New"/>
          <w:b/>
          <w:bCs/>
          <w:kern w:val="0"/>
          <w:sz w:val="36"/>
          <w:szCs w:val="36"/>
        </w:rPr>
        <w:t>907</w:t>
      </w:r>
      <w:r w:rsidRPr="00D312AC">
        <w:rPr>
          <w:rFonts w:ascii="Courier New" w:eastAsia="宋体" w:hAnsi="Courier New" w:cs="Courier New"/>
          <w:b/>
          <w:bCs/>
          <w:kern w:val="0"/>
          <w:sz w:val="36"/>
          <w:szCs w:val="36"/>
        </w:rPr>
        <w:t>号人民币理财产品说明书</w:t>
      </w:r>
    </w:p>
    <w:p w:rsidR="00D312AC" w:rsidRPr="00D312AC" w:rsidRDefault="00D312AC" w:rsidP="00D312AC">
      <w:pPr>
        <w:widowControl/>
        <w:jc w:val="left"/>
        <w:rPr>
          <w:rFonts w:ascii="楷体" w:eastAsia="楷体" w:hAnsi="楷体" w:cs="宋体"/>
          <w:b/>
          <w:bCs/>
          <w:color w:val="000000"/>
          <w:kern w:val="0"/>
          <w:sz w:val="24"/>
          <w:szCs w:val="24"/>
        </w:rPr>
      </w:pPr>
      <w:r w:rsidRPr="00D312AC">
        <w:rPr>
          <w:rFonts w:ascii="楷体" w:eastAsia="楷体" w:hAnsi="楷体" w:cs="宋体" w:hint="eastAsia"/>
          <w:b/>
          <w:bCs/>
          <w:color w:val="000000"/>
          <w:kern w:val="0"/>
          <w:sz w:val="24"/>
          <w:szCs w:val="24"/>
        </w:rPr>
        <w:t>客户须知</w:t>
      </w:r>
    </w:p>
    <w:p w:rsidR="00D312AC" w:rsidRPr="00D312AC" w:rsidRDefault="00D312AC" w:rsidP="00D312AC">
      <w:pPr>
        <w:widowControl/>
        <w:jc w:val="left"/>
        <w:rPr>
          <w:rFonts w:ascii="楷体" w:eastAsia="楷体" w:hAnsi="楷体" w:cs="宋体"/>
          <w:color w:val="000000"/>
          <w:kern w:val="0"/>
          <w:sz w:val="24"/>
          <w:szCs w:val="24"/>
        </w:rPr>
      </w:pPr>
      <w:r w:rsidRPr="00D312AC">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D312AC" w:rsidRPr="00D312AC" w:rsidRDefault="00D312AC" w:rsidP="00D312AC">
      <w:pPr>
        <w:widowControl/>
        <w:jc w:val="left"/>
        <w:rPr>
          <w:rFonts w:ascii="楷体" w:eastAsia="楷体" w:hAnsi="楷体" w:cs="宋体"/>
          <w:color w:val="000000"/>
          <w:kern w:val="0"/>
          <w:sz w:val="24"/>
          <w:szCs w:val="24"/>
        </w:rPr>
      </w:pPr>
      <w:r w:rsidRPr="00D312AC">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w:t>
      </w:r>
      <w:bookmarkStart w:id="0" w:name="_GoBack"/>
      <w:bookmarkEnd w:id="0"/>
      <w:r w:rsidRPr="00D312AC">
        <w:rPr>
          <w:rFonts w:ascii="楷体" w:eastAsia="楷体" w:hAnsi="楷体" w:cs="宋体" w:hint="eastAsia"/>
          <w:color w:val="000000"/>
          <w:kern w:val="0"/>
          <w:sz w:val="24"/>
          <w:szCs w:val="24"/>
        </w:rPr>
        <w:t>者若对本说明书的内容有任何疑问，请向广东南粤银行各营业网点咨询。</w:t>
      </w:r>
    </w:p>
    <w:p w:rsidR="00D312AC" w:rsidRPr="00D312AC" w:rsidRDefault="00D312AC" w:rsidP="00D312AC">
      <w:pPr>
        <w:widowControl/>
        <w:jc w:val="left"/>
        <w:rPr>
          <w:rFonts w:ascii="楷体" w:eastAsia="楷体" w:hAnsi="楷体" w:cs="宋体"/>
          <w:color w:val="000000"/>
          <w:kern w:val="0"/>
          <w:sz w:val="24"/>
          <w:szCs w:val="24"/>
        </w:rPr>
      </w:pPr>
      <w:r w:rsidRPr="00D312AC">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D312AC" w:rsidRPr="00D312AC" w:rsidRDefault="00D312AC" w:rsidP="00D312AC">
      <w:pPr>
        <w:widowControl/>
        <w:jc w:val="left"/>
        <w:rPr>
          <w:rFonts w:ascii="楷体" w:eastAsia="楷体" w:hAnsi="楷体" w:cs="宋体"/>
          <w:color w:val="000000"/>
          <w:kern w:val="0"/>
          <w:sz w:val="24"/>
          <w:szCs w:val="24"/>
        </w:rPr>
      </w:pPr>
      <w:r w:rsidRPr="00D312AC">
        <w:rPr>
          <w:rFonts w:ascii="楷体" w:eastAsia="楷体" w:hAnsi="楷体" w:cs="宋体" w:hint="eastAsia"/>
          <w:color w:val="000000"/>
          <w:kern w:val="0"/>
          <w:sz w:val="24"/>
          <w:szCs w:val="24"/>
        </w:rPr>
        <w:t xml:space="preserve">    本说明书所有条款解释权归广东南粤银行股份有限公司所有。</w:t>
      </w:r>
    </w:p>
    <w:p w:rsidR="00D312AC" w:rsidRPr="00D312AC" w:rsidRDefault="00D312AC" w:rsidP="00D312AC">
      <w:pPr>
        <w:widowControl/>
        <w:jc w:val="left"/>
        <w:rPr>
          <w:rFonts w:ascii="楷体" w:eastAsia="楷体" w:hAnsi="楷体" w:cs="宋体"/>
          <w:b/>
          <w:bCs/>
          <w:color w:val="000000"/>
          <w:kern w:val="0"/>
          <w:sz w:val="24"/>
          <w:szCs w:val="24"/>
        </w:rPr>
      </w:pPr>
      <w:r w:rsidRPr="00D312AC">
        <w:rPr>
          <w:rFonts w:ascii="楷体" w:eastAsia="楷体" w:hAnsi="楷体" w:cs="宋体" w:hint="eastAsia"/>
          <w:b/>
          <w:bCs/>
          <w:color w:val="000000"/>
          <w:kern w:val="0"/>
          <w:sz w:val="24"/>
          <w:szCs w:val="24"/>
        </w:rPr>
        <w:t>产品定义</w:t>
      </w:r>
    </w:p>
    <w:p w:rsidR="00D312AC" w:rsidRPr="00D312AC" w:rsidRDefault="00D312AC" w:rsidP="00D312AC">
      <w:pPr>
        <w:widowControl/>
        <w:jc w:val="left"/>
        <w:rPr>
          <w:rFonts w:ascii="楷体" w:eastAsia="楷体" w:hAnsi="楷体" w:cs="宋体"/>
          <w:color w:val="000000"/>
          <w:kern w:val="0"/>
          <w:sz w:val="24"/>
          <w:szCs w:val="24"/>
        </w:rPr>
      </w:pPr>
      <w:r w:rsidRPr="00D312AC">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D312AC" w:rsidRPr="00D312AC" w:rsidRDefault="00D312AC" w:rsidP="00D312AC">
      <w:pPr>
        <w:widowControl/>
        <w:jc w:val="left"/>
        <w:rPr>
          <w:rFonts w:ascii="楷体" w:eastAsia="楷体" w:hAnsi="楷体" w:cs="宋体"/>
          <w:b/>
          <w:bCs/>
          <w:color w:val="000000"/>
          <w:kern w:val="0"/>
          <w:sz w:val="24"/>
          <w:szCs w:val="24"/>
        </w:rPr>
      </w:pPr>
      <w:r w:rsidRPr="00D312AC">
        <w:rPr>
          <w:rFonts w:ascii="楷体" w:eastAsia="楷体" w:hAnsi="楷体" w:cs="宋体" w:hint="eastAsia"/>
          <w:b/>
          <w:bCs/>
          <w:color w:val="000000"/>
          <w:kern w:val="0"/>
          <w:sz w:val="24"/>
          <w:szCs w:val="24"/>
        </w:rPr>
        <w:t>产品概述</w:t>
      </w:r>
    </w:p>
    <w:tbl>
      <w:tblPr>
        <w:tblW w:w="8480" w:type="dxa"/>
        <w:tblInd w:w="108" w:type="dxa"/>
        <w:tblLook w:val="04A0" w:firstRow="1" w:lastRow="0" w:firstColumn="1" w:lastColumn="0" w:noHBand="0" w:noVBand="1"/>
      </w:tblPr>
      <w:tblGrid>
        <w:gridCol w:w="2240"/>
        <w:gridCol w:w="6240"/>
      </w:tblGrid>
      <w:tr w:rsidR="00D312AC" w:rsidRPr="00D312AC" w:rsidTr="00D312AC">
        <w:trPr>
          <w:trHeight w:val="285"/>
        </w:trPr>
        <w:tc>
          <w:tcPr>
            <w:tcW w:w="2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12AC" w:rsidRPr="00D312AC" w:rsidRDefault="00D312AC" w:rsidP="00D312AC">
            <w:pPr>
              <w:widowControl/>
              <w:jc w:val="left"/>
              <w:rPr>
                <w:rFonts w:ascii="楷体" w:eastAsia="楷体" w:hAnsi="楷体" w:cs="宋体"/>
                <w:color w:val="000000"/>
                <w:kern w:val="0"/>
                <w:sz w:val="24"/>
                <w:szCs w:val="24"/>
              </w:rPr>
            </w:pPr>
            <w:r w:rsidRPr="00D312AC">
              <w:rPr>
                <w:rFonts w:ascii="楷体" w:eastAsia="楷体" w:hAnsi="楷体" w:cs="宋体" w:hint="eastAsia"/>
                <w:color w:val="000000"/>
                <w:kern w:val="0"/>
                <w:sz w:val="24"/>
                <w:szCs w:val="24"/>
              </w:rPr>
              <w:t>产品名称</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312AC" w:rsidRPr="00D312AC" w:rsidRDefault="00D312AC" w:rsidP="00D312AC">
            <w:pPr>
              <w:widowControl/>
              <w:jc w:val="left"/>
              <w:rPr>
                <w:rFonts w:ascii="楷体" w:eastAsia="楷体" w:hAnsi="楷体" w:cs="宋体"/>
                <w:color w:val="000000"/>
                <w:kern w:val="0"/>
                <w:sz w:val="24"/>
                <w:szCs w:val="24"/>
              </w:rPr>
            </w:pPr>
            <w:r w:rsidRPr="00D312AC">
              <w:rPr>
                <w:rFonts w:ascii="楷体" w:eastAsia="楷体" w:hAnsi="楷体" w:cs="宋体" w:hint="eastAsia"/>
                <w:color w:val="000000"/>
                <w:kern w:val="0"/>
                <w:sz w:val="24"/>
                <w:szCs w:val="24"/>
              </w:rPr>
              <w:t>“宝盈理财”卓越907号人民币理财产品</w:t>
            </w:r>
          </w:p>
        </w:tc>
      </w:tr>
      <w:tr w:rsidR="00D312AC" w:rsidRPr="00D312AC" w:rsidTr="00D312AC">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D312AC" w:rsidRPr="00D312AC" w:rsidRDefault="00D312AC" w:rsidP="00D312AC">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312AC" w:rsidRPr="00D312AC" w:rsidRDefault="00D312AC" w:rsidP="00D312AC">
            <w:pPr>
              <w:widowControl/>
              <w:jc w:val="left"/>
              <w:rPr>
                <w:rFonts w:ascii="楷体" w:eastAsia="楷体" w:hAnsi="楷体" w:cs="宋体"/>
                <w:color w:val="000000"/>
                <w:kern w:val="0"/>
                <w:sz w:val="24"/>
                <w:szCs w:val="24"/>
              </w:rPr>
            </w:pPr>
            <w:r w:rsidRPr="00D312AC">
              <w:rPr>
                <w:rFonts w:ascii="楷体" w:eastAsia="楷体" w:hAnsi="楷体" w:cs="宋体" w:hint="eastAsia"/>
                <w:color w:val="000000"/>
                <w:kern w:val="0"/>
                <w:sz w:val="24"/>
                <w:szCs w:val="24"/>
              </w:rPr>
              <w:t>代码：GDNY_ZY_907</w:t>
            </w:r>
          </w:p>
        </w:tc>
      </w:tr>
      <w:tr w:rsidR="00D312AC" w:rsidRPr="00D312AC" w:rsidTr="00D312AC">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D312AC" w:rsidRPr="00D312AC" w:rsidRDefault="00D312AC" w:rsidP="00D312AC">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312AC" w:rsidRPr="00D312AC" w:rsidRDefault="00D312AC" w:rsidP="00D312AC">
            <w:pPr>
              <w:widowControl/>
              <w:jc w:val="left"/>
              <w:rPr>
                <w:rFonts w:ascii="楷体" w:eastAsia="楷体" w:hAnsi="楷体" w:cs="宋体"/>
                <w:color w:val="000000"/>
                <w:kern w:val="0"/>
                <w:sz w:val="24"/>
                <w:szCs w:val="24"/>
              </w:rPr>
            </w:pPr>
            <w:r w:rsidRPr="00D312AC">
              <w:rPr>
                <w:rFonts w:ascii="楷体" w:eastAsia="楷体" w:hAnsi="楷体" w:cs="宋体" w:hint="eastAsia"/>
                <w:color w:val="000000"/>
                <w:kern w:val="0"/>
                <w:sz w:val="24"/>
                <w:szCs w:val="24"/>
              </w:rPr>
              <w:t>发行登记号：C1083015000570</w:t>
            </w:r>
          </w:p>
        </w:tc>
      </w:tr>
      <w:tr w:rsidR="00D312AC" w:rsidRPr="00D312AC" w:rsidTr="00D312AC">
        <w:trPr>
          <w:trHeight w:val="63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12AC" w:rsidRPr="00D312AC" w:rsidRDefault="00D312AC" w:rsidP="00D312AC">
            <w:pPr>
              <w:widowControl/>
              <w:jc w:val="left"/>
              <w:rPr>
                <w:rFonts w:ascii="楷体" w:eastAsia="楷体" w:hAnsi="楷体" w:cs="宋体"/>
                <w:color w:val="000000"/>
                <w:kern w:val="0"/>
                <w:sz w:val="24"/>
                <w:szCs w:val="24"/>
              </w:rPr>
            </w:pPr>
            <w:r w:rsidRPr="00D312AC">
              <w:rPr>
                <w:rFonts w:ascii="楷体" w:eastAsia="楷体" w:hAnsi="楷体" w:cs="宋体" w:hint="eastAsia"/>
                <w:color w:val="000000"/>
                <w:kern w:val="0"/>
                <w:sz w:val="24"/>
                <w:szCs w:val="24"/>
              </w:rPr>
              <w:t>目标客户</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312AC" w:rsidRPr="00D312AC" w:rsidRDefault="00D312AC" w:rsidP="00D312AC">
            <w:pPr>
              <w:widowControl/>
              <w:jc w:val="left"/>
              <w:rPr>
                <w:rFonts w:ascii="楷体" w:eastAsia="楷体" w:hAnsi="楷体" w:cs="宋体"/>
                <w:color w:val="000000"/>
                <w:kern w:val="0"/>
                <w:sz w:val="24"/>
                <w:szCs w:val="24"/>
              </w:rPr>
            </w:pPr>
            <w:r w:rsidRPr="00D312AC">
              <w:rPr>
                <w:rFonts w:ascii="楷体" w:eastAsia="楷体" w:hAnsi="楷体" w:cs="宋体" w:hint="eastAsia"/>
                <w:color w:val="000000"/>
                <w:kern w:val="0"/>
                <w:sz w:val="24"/>
                <w:szCs w:val="24"/>
              </w:rPr>
              <w:t>经我行风险评估，评定为稳健型、平衡型、成长型、进取</w:t>
            </w:r>
            <w:proofErr w:type="gramStart"/>
            <w:r w:rsidRPr="00D312AC">
              <w:rPr>
                <w:rFonts w:ascii="楷体" w:eastAsia="楷体" w:hAnsi="楷体" w:cs="宋体" w:hint="eastAsia"/>
                <w:color w:val="000000"/>
                <w:kern w:val="0"/>
                <w:sz w:val="24"/>
                <w:szCs w:val="24"/>
              </w:rPr>
              <w:t>型个人</w:t>
            </w:r>
            <w:proofErr w:type="gramEnd"/>
            <w:r w:rsidRPr="00D312AC">
              <w:rPr>
                <w:rFonts w:ascii="楷体" w:eastAsia="楷体" w:hAnsi="楷体" w:cs="宋体" w:hint="eastAsia"/>
                <w:color w:val="000000"/>
                <w:kern w:val="0"/>
                <w:sz w:val="24"/>
                <w:szCs w:val="24"/>
              </w:rPr>
              <w:t>及机构客户。</w:t>
            </w:r>
          </w:p>
        </w:tc>
      </w:tr>
      <w:tr w:rsidR="00D312AC" w:rsidRPr="00D312AC" w:rsidTr="00D312AC">
        <w:trPr>
          <w:trHeight w:val="45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12AC" w:rsidRPr="00D312AC" w:rsidRDefault="00D312AC" w:rsidP="00D312AC">
            <w:pPr>
              <w:widowControl/>
              <w:jc w:val="left"/>
              <w:rPr>
                <w:rFonts w:ascii="楷体" w:eastAsia="楷体" w:hAnsi="楷体" w:cs="宋体"/>
                <w:color w:val="000000"/>
                <w:kern w:val="0"/>
                <w:sz w:val="24"/>
                <w:szCs w:val="24"/>
              </w:rPr>
            </w:pPr>
            <w:r w:rsidRPr="00D312AC">
              <w:rPr>
                <w:rFonts w:ascii="楷体" w:eastAsia="楷体" w:hAnsi="楷体" w:cs="宋体" w:hint="eastAsia"/>
                <w:color w:val="000000"/>
                <w:kern w:val="0"/>
                <w:sz w:val="24"/>
                <w:szCs w:val="24"/>
              </w:rPr>
              <w:t>购买方式</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312AC" w:rsidRPr="00D312AC" w:rsidRDefault="00D312AC" w:rsidP="00D312AC">
            <w:pPr>
              <w:widowControl/>
              <w:jc w:val="left"/>
              <w:rPr>
                <w:rFonts w:ascii="楷体" w:eastAsia="楷体" w:hAnsi="楷体" w:cs="宋体"/>
                <w:color w:val="000000"/>
                <w:kern w:val="0"/>
                <w:sz w:val="24"/>
                <w:szCs w:val="24"/>
              </w:rPr>
            </w:pPr>
            <w:r w:rsidRPr="00D312AC">
              <w:rPr>
                <w:rFonts w:ascii="楷体" w:eastAsia="楷体" w:hAnsi="楷体" w:cs="宋体" w:hint="eastAsia"/>
                <w:color w:val="000000"/>
                <w:kern w:val="0"/>
                <w:sz w:val="24"/>
                <w:szCs w:val="24"/>
              </w:rPr>
              <w:t>通过广东南粤银行各营业网点或</w:t>
            </w:r>
            <w:proofErr w:type="gramStart"/>
            <w:r w:rsidRPr="00D312AC">
              <w:rPr>
                <w:rFonts w:ascii="楷体" w:eastAsia="楷体" w:hAnsi="楷体" w:cs="宋体" w:hint="eastAsia"/>
                <w:color w:val="000000"/>
                <w:kern w:val="0"/>
                <w:sz w:val="24"/>
                <w:szCs w:val="24"/>
              </w:rPr>
              <w:t>广东南粤银行网银认购</w:t>
            </w:r>
            <w:proofErr w:type="gramEnd"/>
          </w:p>
        </w:tc>
      </w:tr>
      <w:tr w:rsidR="00D312AC" w:rsidRPr="00D312AC" w:rsidTr="00D312AC">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12AC" w:rsidRPr="00D312AC" w:rsidRDefault="00D312AC" w:rsidP="00D312AC">
            <w:pPr>
              <w:widowControl/>
              <w:jc w:val="left"/>
              <w:rPr>
                <w:rFonts w:ascii="楷体" w:eastAsia="楷体" w:hAnsi="楷体" w:cs="宋体"/>
                <w:color w:val="000000"/>
                <w:kern w:val="0"/>
                <w:sz w:val="24"/>
                <w:szCs w:val="24"/>
              </w:rPr>
            </w:pPr>
            <w:r w:rsidRPr="00D312AC">
              <w:rPr>
                <w:rFonts w:ascii="楷体" w:eastAsia="楷体" w:hAnsi="楷体" w:cs="宋体" w:hint="eastAsia"/>
                <w:color w:val="000000"/>
                <w:kern w:val="0"/>
                <w:sz w:val="24"/>
                <w:szCs w:val="24"/>
              </w:rPr>
              <w:t>期限</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312AC" w:rsidRPr="00D312AC" w:rsidRDefault="00D312AC" w:rsidP="00D312AC">
            <w:pPr>
              <w:widowControl/>
              <w:jc w:val="left"/>
              <w:rPr>
                <w:rFonts w:ascii="楷体" w:eastAsia="楷体" w:hAnsi="楷体" w:cs="宋体"/>
                <w:color w:val="000000"/>
                <w:kern w:val="0"/>
                <w:sz w:val="24"/>
                <w:szCs w:val="24"/>
              </w:rPr>
            </w:pPr>
            <w:r w:rsidRPr="00D312AC">
              <w:rPr>
                <w:rFonts w:ascii="楷体" w:eastAsia="楷体" w:hAnsi="楷体" w:cs="宋体" w:hint="eastAsia"/>
                <w:color w:val="000000"/>
                <w:kern w:val="0"/>
                <w:sz w:val="24"/>
                <w:szCs w:val="24"/>
              </w:rPr>
              <w:t>364天</w:t>
            </w:r>
          </w:p>
        </w:tc>
      </w:tr>
      <w:tr w:rsidR="00D312AC" w:rsidRPr="00D312AC" w:rsidTr="00D312AC">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12AC" w:rsidRPr="00D312AC" w:rsidRDefault="00D312AC" w:rsidP="00D312AC">
            <w:pPr>
              <w:widowControl/>
              <w:jc w:val="left"/>
              <w:rPr>
                <w:rFonts w:ascii="楷体" w:eastAsia="楷体" w:hAnsi="楷体" w:cs="宋体"/>
                <w:color w:val="000000"/>
                <w:kern w:val="0"/>
                <w:sz w:val="24"/>
                <w:szCs w:val="24"/>
              </w:rPr>
            </w:pPr>
            <w:r w:rsidRPr="00D312AC">
              <w:rPr>
                <w:rFonts w:ascii="楷体" w:eastAsia="楷体" w:hAnsi="楷体" w:cs="宋体" w:hint="eastAsia"/>
                <w:color w:val="000000"/>
                <w:kern w:val="0"/>
                <w:sz w:val="24"/>
                <w:szCs w:val="24"/>
              </w:rPr>
              <w:t>投资及收益币种</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312AC" w:rsidRPr="00D312AC" w:rsidRDefault="00D312AC" w:rsidP="00D312AC">
            <w:pPr>
              <w:widowControl/>
              <w:jc w:val="left"/>
              <w:rPr>
                <w:rFonts w:ascii="楷体" w:eastAsia="楷体" w:hAnsi="楷体" w:cs="宋体"/>
                <w:color w:val="000000"/>
                <w:kern w:val="0"/>
                <w:sz w:val="24"/>
                <w:szCs w:val="24"/>
              </w:rPr>
            </w:pPr>
            <w:r w:rsidRPr="00D312AC">
              <w:rPr>
                <w:rFonts w:ascii="楷体" w:eastAsia="楷体" w:hAnsi="楷体" w:cs="宋体" w:hint="eastAsia"/>
                <w:color w:val="000000"/>
                <w:kern w:val="0"/>
                <w:sz w:val="24"/>
                <w:szCs w:val="24"/>
              </w:rPr>
              <w:t>人民币</w:t>
            </w:r>
          </w:p>
        </w:tc>
      </w:tr>
      <w:tr w:rsidR="00D312AC" w:rsidRPr="00D312AC" w:rsidTr="00D312AC">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12AC" w:rsidRPr="00D312AC" w:rsidRDefault="00D312AC" w:rsidP="00D312AC">
            <w:pPr>
              <w:widowControl/>
              <w:jc w:val="left"/>
              <w:rPr>
                <w:rFonts w:ascii="楷体" w:eastAsia="楷体" w:hAnsi="楷体" w:cs="宋体"/>
                <w:color w:val="000000"/>
                <w:kern w:val="0"/>
                <w:sz w:val="24"/>
                <w:szCs w:val="24"/>
              </w:rPr>
            </w:pPr>
            <w:r w:rsidRPr="00D312AC">
              <w:rPr>
                <w:rFonts w:ascii="楷体" w:eastAsia="楷体" w:hAnsi="楷体" w:cs="宋体" w:hint="eastAsia"/>
                <w:color w:val="000000"/>
                <w:kern w:val="0"/>
                <w:sz w:val="24"/>
                <w:szCs w:val="24"/>
              </w:rPr>
              <w:t>产品类型</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312AC" w:rsidRPr="00D312AC" w:rsidRDefault="00D312AC" w:rsidP="00D312AC">
            <w:pPr>
              <w:widowControl/>
              <w:jc w:val="left"/>
              <w:rPr>
                <w:rFonts w:ascii="楷体" w:eastAsia="楷体" w:hAnsi="楷体" w:cs="宋体"/>
                <w:b/>
                <w:bCs/>
                <w:color w:val="000000"/>
                <w:kern w:val="0"/>
                <w:sz w:val="24"/>
                <w:szCs w:val="24"/>
              </w:rPr>
            </w:pPr>
            <w:r w:rsidRPr="00D312AC">
              <w:rPr>
                <w:rFonts w:ascii="楷体" w:eastAsia="楷体" w:hAnsi="楷体" w:cs="宋体" w:hint="eastAsia"/>
                <w:b/>
                <w:bCs/>
                <w:color w:val="000000"/>
                <w:kern w:val="0"/>
                <w:sz w:val="24"/>
                <w:szCs w:val="24"/>
              </w:rPr>
              <w:t>非保本浮动收益型</w:t>
            </w:r>
          </w:p>
        </w:tc>
      </w:tr>
      <w:tr w:rsidR="00D312AC" w:rsidRPr="00D312AC" w:rsidTr="00D312AC">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12AC" w:rsidRPr="00D312AC" w:rsidRDefault="00D312AC" w:rsidP="00D312AC">
            <w:pPr>
              <w:widowControl/>
              <w:jc w:val="left"/>
              <w:rPr>
                <w:rFonts w:ascii="楷体" w:eastAsia="楷体" w:hAnsi="楷体" w:cs="宋体"/>
                <w:color w:val="000000"/>
                <w:kern w:val="0"/>
                <w:sz w:val="24"/>
                <w:szCs w:val="24"/>
              </w:rPr>
            </w:pPr>
            <w:r w:rsidRPr="00D312AC">
              <w:rPr>
                <w:rFonts w:ascii="楷体" w:eastAsia="楷体" w:hAnsi="楷体" w:cs="宋体" w:hint="eastAsia"/>
                <w:color w:val="000000"/>
                <w:kern w:val="0"/>
                <w:sz w:val="24"/>
                <w:szCs w:val="24"/>
              </w:rPr>
              <w:t>发行规模</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312AC" w:rsidRPr="00D312AC" w:rsidRDefault="00D312AC" w:rsidP="00D312AC">
            <w:pPr>
              <w:widowControl/>
              <w:jc w:val="left"/>
              <w:rPr>
                <w:rFonts w:ascii="楷体" w:eastAsia="楷体" w:hAnsi="楷体" w:cs="宋体"/>
                <w:color w:val="000000"/>
                <w:kern w:val="0"/>
                <w:sz w:val="24"/>
                <w:szCs w:val="24"/>
              </w:rPr>
            </w:pPr>
            <w:r w:rsidRPr="00D312AC">
              <w:rPr>
                <w:rFonts w:ascii="楷体" w:eastAsia="楷体" w:hAnsi="楷体" w:cs="宋体" w:hint="eastAsia"/>
                <w:color w:val="000000"/>
                <w:kern w:val="0"/>
                <w:sz w:val="24"/>
                <w:szCs w:val="24"/>
              </w:rPr>
              <w:t>以实际募集金额为准</w:t>
            </w:r>
          </w:p>
        </w:tc>
      </w:tr>
      <w:tr w:rsidR="00D312AC" w:rsidRPr="00D312AC" w:rsidTr="00D312AC">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12AC" w:rsidRPr="00D312AC" w:rsidRDefault="00D312AC" w:rsidP="00D312AC">
            <w:pPr>
              <w:widowControl/>
              <w:jc w:val="left"/>
              <w:rPr>
                <w:rFonts w:ascii="楷体" w:eastAsia="楷体" w:hAnsi="楷体" w:cs="宋体"/>
                <w:color w:val="000000"/>
                <w:kern w:val="0"/>
                <w:sz w:val="24"/>
                <w:szCs w:val="24"/>
              </w:rPr>
            </w:pPr>
            <w:r w:rsidRPr="00D312AC">
              <w:rPr>
                <w:rFonts w:ascii="楷体" w:eastAsia="楷体" w:hAnsi="楷体" w:cs="宋体" w:hint="eastAsia"/>
                <w:color w:val="000000"/>
                <w:kern w:val="0"/>
                <w:sz w:val="24"/>
                <w:szCs w:val="24"/>
              </w:rPr>
              <w:t>募集期</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D312AC" w:rsidRPr="00D312AC" w:rsidRDefault="00D312AC" w:rsidP="00D312AC">
            <w:pPr>
              <w:widowControl/>
              <w:jc w:val="left"/>
              <w:rPr>
                <w:rFonts w:ascii="楷体" w:eastAsia="楷体" w:hAnsi="楷体" w:cs="宋体"/>
                <w:color w:val="000000"/>
                <w:kern w:val="0"/>
                <w:sz w:val="24"/>
                <w:szCs w:val="24"/>
              </w:rPr>
            </w:pPr>
            <w:r w:rsidRPr="00D312AC">
              <w:rPr>
                <w:rFonts w:ascii="楷体" w:eastAsia="楷体" w:hAnsi="楷体" w:cs="宋体" w:hint="eastAsia"/>
                <w:color w:val="000000"/>
                <w:kern w:val="0"/>
                <w:sz w:val="24"/>
                <w:szCs w:val="24"/>
              </w:rPr>
              <w:t>2016年1月6日至2016年1月12日</w:t>
            </w:r>
          </w:p>
        </w:tc>
      </w:tr>
      <w:tr w:rsidR="00D312AC" w:rsidRPr="00D312AC" w:rsidTr="00D312AC">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12AC" w:rsidRPr="00D312AC" w:rsidRDefault="00D312AC" w:rsidP="00D312AC">
            <w:pPr>
              <w:widowControl/>
              <w:jc w:val="left"/>
              <w:rPr>
                <w:rFonts w:ascii="楷体" w:eastAsia="楷体" w:hAnsi="楷体" w:cs="宋体"/>
                <w:color w:val="000000"/>
                <w:kern w:val="0"/>
                <w:sz w:val="24"/>
                <w:szCs w:val="24"/>
              </w:rPr>
            </w:pPr>
            <w:r w:rsidRPr="00D312AC">
              <w:rPr>
                <w:rFonts w:ascii="楷体" w:eastAsia="楷体" w:hAnsi="楷体" w:cs="宋体" w:hint="eastAsia"/>
                <w:color w:val="000000"/>
                <w:kern w:val="0"/>
                <w:sz w:val="24"/>
                <w:szCs w:val="24"/>
              </w:rPr>
              <w:t>起始日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D312AC" w:rsidRPr="00D312AC" w:rsidRDefault="00D312AC" w:rsidP="00D312AC">
            <w:pPr>
              <w:widowControl/>
              <w:jc w:val="left"/>
              <w:rPr>
                <w:rFonts w:ascii="楷体" w:eastAsia="楷体" w:hAnsi="楷体" w:cs="宋体"/>
                <w:color w:val="000000"/>
                <w:kern w:val="0"/>
                <w:sz w:val="24"/>
                <w:szCs w:val="24"/>
              </w:rPr>
            </w:pPr>
            <w:r w:rsidRPr="00D312AC">
              <w:rPr>
                <w:rFonts w:ascii="楷体" w:eastAsia="楷体" w:hAnsi="楷体" w:cs="宋体" w:hint="eastAsia"/>
                <w:color w:val="000000"/>
                <w:kern w:val="0"/>
                <w:sz w:val="24"/>
                <w:szCs w:val="24"/>
              </w:rPr>
              <w:t>2016年1月13日。理财产品自起始日起息。</w:t>
            </w:r>
          </w:p>
        </w:tc>
      </w:tr>
      <w:tr w:rsidR="00D312AC" w:rsidRPr="00D312AC" w:rsidTr="00D312AC">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12AC" w:rsidRPr="00D312AC" w:rsidRDefault="00D312AC" w:rsidP="00D312AC">
            <w:pPr>
              <w:widowControl/>
              <w:jc w:val="left"/>
              <w:rPr>
                <w:rFonts w:ascii="楷体" w:eastAsia="楷体" w:hAnsi="楷体" w:cs="宋体"/>
                <w:color w:val="000000"/>
                <w:kern w:val="0"/>
                <w:sz w:val="24"/>
                <w:szCs w:val="24"/>
              </w:rPr>
            </w:pPr>
            <w:r w:rsidRPr="00D312AC">
              <w:rPr>
                <w:rFonts w:ascii="楷体" w:eastAsia="楷体" w:hAnsi="楷体" w:cs="宋体" w:hint="eastAsia"/>
                <w:color w:val="000000"/>
                <w:kern w:val="0"/>
                <w:sz w:val="24"/>
                <w:szCs w:val="24"/>
              </w:rPr>
              <w:t>到期日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D312AC" w:rsidRPr="00D312AC" w:rsidRDefault="00D312AC" w:rsidP="00D312AC">
            <w:pPr>
              <w:widowControl/>
              <w:jc w:val="left"/>
              <w:rPr>
                <w:rFonts w:ascii="楷体" w:eastAsia="楷体" w:hAnsi="楷体" w:cs="宋体"/>
                <w:color w:val="000000"/>
                <w:kern w:val="0"/>
                <w:sz w:val="24"/>
                <w:szCs w:val="24"/>
              </w:rPr>
            </w:pPr>
            <w:r w:rsidRPr="00D312AC">
              <w:rPr>
                <w:rFonts w:ascii="楷体" w:eastAsia="楷体" w:hAnsi="楷体" w:cs="宋体" w:hint="eastAsia"/>
                <w:color w:val="000000"/>
                <w:kern w:val="0"/>
                <w:sz w:val="24"/>
                <w:szCs w:val="24"/>
              </w:rPr>
              <w:t>2017年1月11日</w:t>
            </w:r>
          </w:p>
        </w:tc>
      </w:tr>
      <w:tr w:rsidR="00D312AC" w:rsidRPr="00D312AC" w:rsidTr="00D312AC">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12AC" w:rsidRPr="00D312AC" w:rsidRDefault="00D312AC" w:rsidP="00D312AC">
            <w:pPr>
              <w:widowControl/>
              <w:jc w:val="left"/>
              <w:rPr>
                <w:rFonts w:ascii="楷体" w:eastAsia="楷体" w:hAnsi="楷体" w:cs="宋体"/>
                <w:color w:val="000000"/>
                <w:kern w:val="0"/>
                <w:sz w:val="24"/>
                <w:szCs w:val="24"/>
              </w:rPr>
            </w:pPr>
            <w:r w:rsidRPr="00D312AC">
              <w:rPr>
                <w:rFonts w:ascii="楷体" w:eastAsia="楷体" w:hAnsi="楷体" w:cs="宋体" w:hint="eastAsia"/>
                <w:color w:val="000000"/>
                <w:kern w:val="0"/>
                <w:sz w:val="24"/>
                <w:szCs w:val="24"/>
              </w:rPr>
              <w:t>产品到期资金到账日</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312AC" w:rsidRPr="00D312AC" w:rsidRDefault="00D312AC" w:rsidP="00D312AC">
            <w:pPr>
              <w:widowControl/>
              <w:jc w:val="left"/>
              <w:rPr>
                <w:rFonts w:ascii="楷体" w:eastAsia="楷体" w:hAnsi="楷体" w:cs="宋体"/>
                <w:color w:val="000000"/>
                <w:kern w:val="0"/>
                <w:sz w:val="24"/>
                <w:szCs w:val="24"/>
              </w:rPr>
            </w:pPr>
            <w:r w:rsidRPr="00D312AC">
              <w:rPr>
                <w:rFonts w:ascii="楷体" w:eastAsia="楷体" w:hAnsi="楷体" w:cs="宋体" w:hint="eastAsia"/>
                <w:color w:val="000000"/>
                <w:kern w:val="0"/>
                <w:sz w:val="24"/>
                <w:szCs w:val="24"/>
              </w:rPr>
              <w:t>到期日后2个工作日内</w:t>
            </w:r>
          </w:p>
        </w:tc>
      </w:tr>
      <w:tr w:rsidR="00D312AC" w:rsidRPr="00D312AC" w:rsidTr="00D312AC">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12AC" w:rsidRPr="00D312AC" w:rsidRDefault="00D312AC" w:rsidP="00D312AC">
            <w:pPr>
              <w:widowControl/>
              <w:jc w:val="left"/>
              <w:rPr>
                <w:rFonts w:ascii="楷体" w:eastAsia="楷体" w:hAnsi="楷体" w:cs="宋体"/>
                <w:color w:val="000000"/>
                <w:kern w:val="0"/>
                <w:sz w:val="24"/>
                <w:szCs w:val="24"/>
              </w:rPr>
            </w:pPr>
            <w:r w:rsidRPr="00D312AC">
              <w:rPr>
                <w:rFonts w:ascii="楷体" w:eastAsia="楷体" w:hAnsi="楷体" w:cs="宋体" w:hint="eastAsia"/>
                <w:color w:val="000000"/>
                <w:kern w:val="0"/>
                <w:sz w:val="24"/>
                <w:szCs w:val="24"/>
              </w:rPr>
              <w:t>理财资金托管行</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312AC" w:rsidRPr="00D312AC" w:rsidRDefault="00D312AC" w:rsidP="00D312AC">
            <w:pPr>
              <w:widowControl/>
              <w:jc w:val="left"/>
              <w:rPr>
                <w:rFonts w:ascii="楷体" w:eastAsia="楷体" w:hAnsi="楷体" w:cs="宋体"/>
                <w:color w:val="000000"/>
                <w:kern w:val="0"/>
                <w:sz w:val="24"/>
                <w:szCs w:val="24"/>
              </w:rPr>
            </w:pPr>
            <w:r w:rsidRPr="00D312AC">
              <w:rPr>
                <w:rFonts w:ascii="楷体" w:eastAsia="楷体" w:hAnsi="楷体" w:cs="宋体" w:hint="eastAsia"/>
                <w:color w:val="000000"/>
                <w:kern w:val="0"/>
                <w:sz w:val="24"/>
                <w:szCs w:val="24"/>
              </w:rPr>
              <w:t>中国邮政储蓄银行</w:t>
            </w:r>
          </w:p>
        </w:tc>
      </w:tr>
      <w:tr w:rsidR="00D312AC" w:rsidRPr="00D312AC" w:rsidTr="00D312AC">
        <w:trPr>
          <w:trHeight w:val="316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12AC" w:rsidRPr="00D312AC" w:rsidRDefault="00D312AC" w:rsidP="00D312AC">
            <w:pPr>
              <w:widowControl/>
              <w:jc w:val="left"/>
              <w:rPr>
                <w:rFonts w:ascii="楷体" w:eastAsia="楷体" w:hAnsi="楷体" w:cs="宋体"/>
                <w:color w:val="000000"/>
                <w:kern w:val="0"/>
                <w:sz w:val="24"/>
                <w:szCs w:val="24"/>
              </w:rPr>
            </w:pPr>
            <w:r w:rsidRPr="00D312AC">
              <w:rPr>
                <w:rFonts w:ascii="楷体" w:eastAsia="楷体" w:hAnsi="楷体" w:cs="宋体" w:hint="eastAsia"/>
                <w:color w:val="000000"/>
                <w:kern w:val="0"/>
                <w:sz w:val="24"/>
                <w:szCs w:val="24"/>
              </w:rPr>
              <w:t>资金投向</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312AC" w:rsidRPr="00D312AC" w:rsidRDefault="00D312AC" w:rsidP="00D312AC">
            <w:pPr>
              <w:widowControl/>
              <w:jc w:val="left"/>
              <w:rPr>
                <w:rFonts w:ascii="楷体" w:eastAsia="楷体" w:hAnsi="楷体" w:cs="宋体"/>
                <w:color w:val="000000"/>
                <w:kern w:val="0"/>
                <w:sz w:val="24"/>
                <w:szCs w:val="24"/>
              </w:rPr>
            </w:pPr>
            <w:r w:rsidRPr="00D312AC">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D312AC">
              <w:rPr>
                <w:rFonts w:ascii="楷体" w:eastAsia="楷体" w:hAnsi="楷体" w:cs="宋体" w:hint="eastAsia"/>
                <w:color w:val="000000"/>
                <w:kern w:val="0"/>
                <w:sz w:val="24"/>
                <w:szCs w:val="24"/>
              </w:rPr>
              <w:t>尽合理</w:t>
            </w:r>
            <w:proofErr w:type="gramEnd"/>
            <w:r w:rsidRPr="00D312AC">
              <w:rPr>
                <w:rFonts w:ascii="楷体" w:eastAsia="楷体" w:hAnsi="楷体" w:cs="宋体" w:hint="eastAsia"/>
                <w:color w:val="000000"/>
                <w:kern w:val="0"/>
                <w:sz w:val="24"/>
                <w:szCs w:val="24"/>
              </w:rPr>
              <w:t>努力，以客户利益最大化为原则尽快使投资比例恢复至上述规定区间）。</w:t>
            </w:r>
          </w:p>
        </w:tc>
      </w:tr>
      <w:tr w:rsidR="00D312AC" w:rsidRPr="00D312AC" w:rsidTr="00D312AC">
        <w:trPr>
          <w:trHeight w:val="67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12AC" w:rsidRPr="00D312AC" w:rsidRDefault="00D312AC" w:rsidP="00D312AC">
            <w:pPr>
              <w:widowControl/>
              <w:jc w:val="left"/>
              <w:rPr>
                <w:rFonts w:ascii="楷体" w:eastAsia="楷体" w:hAnsi="楷体" w:cs="宋体"/>
                <w:color w:val="000000"/>
                <w:kern w:val="0"/>
                <w:sz w:val="24"/>
                <w:szCs w:val="24"/>
              </w:rPr>
            </w:pPr>
            <w:proofErr w:type="gramStart"/>
            <w:r w:rsidRPr="00D312AC">
              <w:rPr>
                <w:rFonts w:ascii="楷体" w:eastAsia="楷体" w:hAnsi="楷体" w:cs="宋体" w:hint="eastAsia"/>
                <w:color w:val="000000"/>
                <w:kern w:val="0"/>
                <w:sz w:val="24"/>
                <w:szCs w:val="24"/>
              </w:rPr>
              <w:lastRenderedPageBreak/>
              <w:t>参考年化收益率</w:t>
            </w:r>
            <w:proofErr w:type="gramEnd"/>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312AC" w:rsidRPr="00D312AC" w:rsidRDefault="00D312AC" w:rsidP="00D312AC">
            <w:pPr>
              <w:widowControl/>
              <w:jc w:val="left"/>
              <w:rPr>
                <w:rFonts w:ascii="楷体" w:eastAsia="楷体" w:hAnsi="楷体" w:cs="宋体"/>
                <w:color w:val="000000"/>
                <w:kern w:val="0"/>
                <w:sz w:val="24"/>
                <w:szCs w:val="24"/>
              </w:rPr>
            </w:pPr>
            <w:r w:rsidRPr="00D312AC">
              <w:rPr>
                <w:rFonts w:ascii="楷体" w:eastAsia="楷体" w:hAnsi="楷体" w:cs="宋体" w:hint="eastAsia"/>
                <w:color w:val="000000"/>
                <w:kern w:val="0"/>
                <w:sz w:val="24"/>
                <w:szCs w:val="24"/>
              </w:rPr>
              <w:t>个人客户：5万-30万：5.25%；30万-3000万：5.3%；</w:t>
            </w:r>
            <w:r w:rsidRPr="00D312AC">
              <w:rPr>
                <w:rFonts w:ascii="楷体" w:eastAsia="楷体" w:hAnsi="楷体" w:cs="宋体" w:hint="eastAsia"/>
                <w:color w:val="000000"/>
                <w:kern w:val="0"/>
                <w:sz w:val="24"/>
                <w:szCs w:val="24"/>
              </w:rPr>
              <w:br/>
              <w:t>机构客户：50万-600万：5.25%；</w:t>
            </w:r>
          </w:p>
        </w:tc>
      </w:tr>
      <w:tr w:rsidR="00D312AC" w:rsidRPr="00D312AC" w:rsidTr="00D312AC">
        <w:trPr>
          <w:trHeight w:val="202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12AC" w:rsidRPr="00D312AC" w:rsidRDefault="00D312AC" w:rsidP="00D312AC">
            <w:pPr>
              <w:widowControl/>
              <w:jc w:val="left"/>
              <w:rPr>
                <w:rFonts w:ascii="楷体" w:eastAsia="楷体" w:hAnsi="楷体" w:cs="宋体"/>
                <w:color w:val="000000"/>
                <w:kern w:val="0"/>
                <w:sz w:val="24"/>
                <w:szCs w:val="24"/>
              </w:rPr>
            </w:pPr>
            <w:r w:rsidRPr="00D312AC">
              <w:rPr>
                <w:rFonts w:ascii="楷体" w:eastAsia="楷体" w:hAnsi="楷体" w:cs="宋体" w:hint="eastAsia"/>
                <w:color w:val="000000"/>
                <w:kern w:val="0"/>
                <w:sz w:val="24"/>
                <w:szCs w:val="24"/>
              </w:rPr>
              <w:t>收益率测算</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312AC" w:rsidRPr="00D312AC" w:rsidRDefault="00D312AC" w:rsidP="00D312AC">
            <w:pPr>
              <w:widowControl/>
              <w:jc w:val="left"/>
              <w:rPr>
                <w:rFonts w:ascii="楷体" w:eastAsia="楷体" w:hAnsi="楷体" w:cs="宋体"/>
                <w:color w:val="000000"/>
                <w:kern w:val="0"/>
                <w:sz w:val="24"/>
                <w:szCs w:val="24"/>
              </w:rPr>
            </w:pPr>
            <w:r w:rsidRPr="00D312AC">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D312AC">
              <w:rPr>
                <w:rFonts w:ascii="楷体" w:eastAsia="楷体" w:hAnsi="楷体" w:cs="宋体" w:hint="eastAsia"/>
                <w:color w:val="000000"/>
                <w:kern w:val="0"/>
                <w:sz w:val="24"/>
                <w:szCs w:val="24"/>
              </w:rPr>
              <w:t>最高年化收益率</w:t>
            </w:r>
            <w:proofErr w:type="gramEnd"/>
            <w:r w:rsidRPr="00D312AC">
              <w:rPr>
                <w:rFonts w:ascii="楷体" w:eastAsia="楷体" w:hAnsi="楷体" w:cs="宋体" w:hint="eastAsia"/>
                <w:color w:val="000000"/>
                <w:kern w:val="0"/>
                <w:sz w:val="24"/>
                <w:szCs w:val="24"/>
              </w:rPr>
              <w:t>，超过部分作为银行投资管理费用。</w:t>
            </w:r>
          </w:p>
        </w:tc>
      </w:tr>
      <w:tr w:rsidR="00D312AC" w:rsidRPr="00D312AC" w:rsidTr="00D312AC">
        <w:trPr>
          <w:trHeight w:val="8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12AC" w:rsidRPr="00D312AC" w:rsidRDefault="00D312AC" w:rsidP="00D312AC">
            <w:pPr>
              <w:widowControl/>
              <w:jc w:val="left"/>
              <w:rPr>
                <w:rFonts w:ascii="楷体" w:eastAsia="楷体" w:hAnsi="楷体" w:cs="宋体"/>
                <w:color w:val="000000"/>
                <w:kern w:val="0"/>
                <w:sz w:val="24"/>
                <w:szCs w:val="24"/>
              </w:rPr>
            </w:pPr>
            <w:r w:rsidRPr="00D312AC">
              <w:rPr>
                <w:rFonts w:ascii="楷体" w:eastAsia="楷体" w:hAnsi="楷体" w:cs="宋体" w:hint="eastAsia"/>
                <w:color w:val="000000"/>
                <w:kern w:val="0"/>
                <w:sz w:val="24"/>
                <w:szCs w:val="24"/>
              </w:rPr>
              <w:t>认购起点金额</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312AC" w:rsidRPr="00D312AC" w:rsidRDefault="00D312AC" w:rsidP="00D312AC">
            <w:pPr>
              <w:widowControl/>
              <w:jc w:val="left"/>
              <w:rPr>
                <w:rFonts w:ascii="楷体" w:eastAsia="楷体" w:hAnsi="楷体" w:cs="宋体"/>
                <w:color w:val="000000"/>
                <w:kern w:val="0"/>
                <w:sz w:val="24"/>
                <w:szCs w:val="24"/>
              </w:rPr>
            </w:pPr>
            <w:r w:rsidRPr="00D312AC">
              <w:rPr>
                <w:rFonts w:ascii="楷体" w:eastAsia="楷体" w:hAnsi="楷体" w:cs="宋体" w:hint="eastAsia"/>
                <w:color w:val="000000"/>
                <w:kern w:val="0"/>
                <w:sz w:val="24"/>
                <w:szCs w:val="24"/>
              </w:rPr>
              <w:t>个人客户5万元起，以1万元整数</w:t>
            </w:r>
            <w:proofErr w:type="gramStart"/>
            <w:r w:rsidRPr="00D312AC">
              <w:rPr>
                <w:rFonts w:ascii="楷体" w:eastAsia="楷体" w:hAnsi="楷体" w:cs="宋体" w:hint="eastAsia"/>
                <w:color w:val="000000"/>
                <w:kern w:val="0"/>
                <w:sz w:val="24"/>
                <w:szCs w:val="24"/>
              </w:rPr>
              <w:t>倍</w:t>
            </w:r>
            <w:proofErr w:type="gramEnd"/>
            <w:r w:rsidRPr="00D312AC">
              <w:rPr>
                <w:rFonts w:ascii="楷体" w:eastAsia="楷体" w:hAnsi="楷体" w:cs="宋体" w:hint="eastAsia"/>
                <w:color w:val="000000"/>
                <w:kern w:val="0"/>
                <w:sz w:val="24"/>
                <w:szCs w:val="24"/>
              </w:rPr>
              <w:t>递增，最高不超过3000万元；机构客户50万元起，以1万元整数</w:t>
            </w:r>
            <w:proofErr w:type="gramStart"/>
            <w:r w:rsidRPr="00D312AC">
              <w:rPr>
                <w:rFonts w:ascii="楷体" w:eastAsia="楷体" w:hAnsi="楷体" w:cs="宋体" w:hint="eastAsia"/>
                <w:color w:val="000000"/>
                <w:kern w:val="0"/>
                <w:sz w:val="24"/>
                <w:szCs w:val="24"/>
              </w:rPr>
              <w:t>倍</w:t>
            </w:r>
            <w:proofErr w:type="gramEnd"/>
            <w:r w:rsidRPr="00D312AC">
              <w:rPr>
                <w:rFonts w:ascii="楷体" w:eastAsia="楷体" w:hAnsi="楷体" w:cs="宋体" w:hint="eastAsia"/>
                <w:color w:val="000000"/>
                <w:kern w:val="0"/>
                <w:sz w:val="24"/>
                <w:szCs w:val="24"/>
              </w:rPr>
              <w:t>递增，最高不超过600万元</w:t>
            </w:r>
          </w:p>
        </w:tc>
      </w:tr>
      <w:tr w:rsidR="00D312AC" w:rsidRPr="00D312AC" w:rsidTr="00D312AC">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12AC" w:rsidRPr="00D312AC" w:rsidRDefault="00D312AC" w:rsidP="00D312AC">
            <w:pPr>
              <w:widowControl/>
              <w:jc w:val="left"/>
              <w:rPr>
                <w:rFonts w:ascii="楷体" w:eastAsia="楷体" w:hAnsi="楷体" w:cs="宋体"/>
                <w:color w:val="000000"/>
                <w:kern w:val="0"/>
                <w:sz w:val="24"/>
                <w:szCs w:val="24"/>
              </w:rPr>
            </w:pPr>
            <w:r w:rsidRPr="00D312AC">
              <w:rPr>
                <w:rFonts w:ascii="楷体" w:eastAsia="楷体" w:hAnsi="楷体" w:cs="宋体" w:hint="eastAsia"/>
                <w:color w:val="000000"/>
                <w:kern w:val="0"/>
                <w:sz w:val="24"/>
                <w:szCs w:val="24"/>
              </w:rPr>
              <w:t>收益计算方法</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312AC" w:rsidRPr="00D312AC" w:rsidRDefault="00D312AC" w:rsidP="00D312AC">
            <w:pPr>
              <w:widowControl/>
              <w:jc w:val="left"/>
              <w:rPr>
                <w:rFonts w:ascii="楷体" w:eastAsia="楷体" w:hAnsi="楷体" w:cs="宋体"/>
                <w:color w:val="000000"/>
                <w:kern w:val="0"/>
                <w:sz w:val="24"/>
                <w:szCs w:val="24"/>
              </w:rPr>
            </w:pPr>
            <w:r w:rsidRPr="00D312AC">
              <w:rPr>
                <w:rFonts w:ascii="楷体" w:eastAsia="楷体" w:hAnsi="楷体" w:cs="宋体" w:hint="eastAsia"/>
                <w:color w:val="000000"/>
                <w:kern w:val="0"/>
                <w:sz w:val="24"/>
                <w:szCs w:val="24"/>
              </w:rPr>
              <w:t>期末收益＝投资本金×实际收益率×实际理财天数/365</w:t>
            </w:r>
          </w:p>
        </w:tc>
      </w:tr>
      <w:tr w:rsidR="00D312AC" w:rsidRPr="00D312AC" w:rsidTr="00D312AC">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12AC" w:rsidRPr="00D312AC" w:rsidRDefault="00D312AC" w:rsidP="00D312AC">
            <w:pPr>
              <w:widowControl/>
              <w:jc w:val="left"/>
              <w:rPr>
                <w:rFonts w:ascii="楷体" w:eastAsia="楷体" w:hAnsi="楷体" w:cs="宋体"/>
                <w:color w:val="000000"/>
                <w:kern w:val="0"/>
                <w:sz w:val="24"/>
                <w:szCs w:val="24"/>
              </w:rPr>
            </w:pPr>
            <w:r w:rsidRPr="00D312AC">
              <w:rPr>
                <w:rFonts w:ascii="楷体" w:eastAsia="楷体" w:hAnsi="楷体" w:cs="宋体" w:hint="eastAsia"/>
                <w:color w:val="000000"/>
                <w:kern w:val="0"/>
                <w:sz w:val="24"/>
                <w:szCs w:val="24"/>
              </w:rPr>
              <w:t>提前终止权</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312AC" w:rsidRPr="00D312AC" w:rsidRDefault="00D312AC" w:rsidP="00D312AC">
            <w:pPr>
              <w:widowControl/>
              <w:jc w:val="left"/>
              <w:rPr>
                <w:rFonts w:ascii="楷体" w:eastAsia="楷体" w:hAnsi="楷体" w:cs="宋体"/>
                <w:color w:val="000000"/>
                <w:kern w:val="0"/>
                <w:sz w:val="24"/>
                <w:szCs w:val="24"/>
              </w:rPr>
            </w:pPr>
            <w:r w:rsidRPr="00D312AC">
              <w:rPr>
                <w:rFonts w:ascii="楷体" w:eastAsia="楷体" w:hAnsi="楷体" w:cs="宋体" w:hint="eastAsia"/>
                <w:color w:val="000000"/>
                <w:kern w:val="0"/>
                <w:sz w:val="24"/>
                <w:szCs w:val="24"/>
              </w:rPr>
              <w:t>客户无权提前终止该产品</w:t>
            </w:r>
          </w:p>
        </w:tc>
      </w:tr>
      <w:tr w:rsidR="00D312AC" w:rsidRPr="00D312AC" w:rsidTr="00D312AC">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12AC" w:rsidRPr="00D312AC" w:rsidRDefault="00D312AC" w:rsidP="00D312AC">
            <w:pPr>
              <w:widowControl/>
              <w:jc w:val="left"/>
              <w:rPr>
                <w:rFonts w:ascii="楷体" w:eastAsia="楷体" w:hAnsi="楷体" w:cs="宋体"/>
                <w:color w:val="000000"/>
                <w:kern w:val="0"/>
                <w:sz w:val="24"/>
                <w:szCs w:val="24"/>
              </w:rPr>
            </w:pPr>
            <w:r w:rsidRPr="00D312AC">
              <w:rPr>
                <w:rFonts w:ascii="楷体" w:eastAsia="楷体" w:hAnsi="楷体" w:cs="宋体" w:hint="eastAsia"/>
                <w:color w:val="000000"/>
                <w:kern w:val="0"/>
                <w:sz w:val="24"/>
                <w:szCs w:val="24"/>
              </w:rPr>
              <w:t>税务处理</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312AC" w:rsidRPr="00D312AC" w:rsidRDefault="00D312AC" w:rsidP="00D312AC">
            <w:pPr>
              <w:widowControl/>
              <w:jc w:val="left"/>
              <w:rPr>
                <w:rFonts w:ascii="楷体" w:eastAsia="楷体" w:hAnsi="楷体" w:cs="宋体"/>
                <w:color w:val="000000"/>
                <w:kern w:val="0"/>
                <w:sz w:val="24"/>
                <w:szCs w:val="24"/>
              </w:rPr>
            </w:pPr>
            <w:r w:rsidRPr="00D312AC">
              <w:rPr>
                <w:rFonts w:ascii="楷体" w:eastAsia="楷体" w:hAnsi="楷体" w:cs="宋体" w:hint="eastAsia"/>
                <w:color w:val="000000"/>
                <w:kern w:val="0"/>
                <w:sz w:val="24"/>
                <w:szCs w:val="24"/>
              </w:rPr>
              <w:t>我行不代扣代缴，但法律、法规另有规定除外</w:t>
            </w:r>
          </w:p>
        </w:tc>
      </w:tr>
      <w:tr w:rsidR="00D312AC" w:rsidRPr="00D312AC" w:rsidTr="00D312AC">
        <w:trPr>
          <w:trHeight w:val="285"/>
        </w:trPr>
        <w:tc>
          <w:tcPr>
            <w:tcW w:w="22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312AC" w:rsidRPr="00D312AC" w:rsidRDefault="00D312AC" w:rsidP="00D312AC">
            <w:pPr>
              <w:widowControl/>
              <w:jc w:val="left"/>
              <w:rPr>
                <w:rFonts w:ascii="楷体" w:eastAsia="楷体" w:hAnsi="楷体" w:cs="宋体"/>
                <w:color w:val="000000"/>
                <w:kern w:val="0"/>
                <w:sz w:val="24"/>
                <w:szCs w:val="24"/>
              </w:rPr>
            </w:pPr>
            <w:r w:rsidRPr="00D312AC">
              <w:rPr>
                <w:rFonts w:ascii="楷体" w:eastAsia="楷体" w:hAnsi="楷体" w:cs="宋体" w:hint="eastAsia"/>
                <w:color w:val="000000"/>
                <w:kern w:val="0"/>
                <w:sz w:val="24"/>
                <w:szCs w:val="24"/>
              </w:rPr>
              <w:t>其他规定</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312AC" w:rsidRPr="00D312AC" w:rsidRDefault="00D312AC" w:rsidP="00D312AC">
            <w:pPr>
              <w:widowControl/>
              <w:jc w:val="left"/>
              <w:rPr>
                <w:rFonts w:ascii="楷体" w:eastAsia="楷体" w:hAnsi="楷体" w:cs="宋体"/>
                <w:color w:val="000000"/>
                <w:kern w:val="0"/>
                <w:sz w:val="24"/>
                <w:szCs w:val="24"/>
              </w:rPr>
            </w:pPr>
            <w:r w:rsidRPr="00D312AC">
              <w:rPr>
                <w:rFonts w:ascii="楷体" w:eastAsia="楷体" w:hAnsi="楷体" w:cs="宋体" w:hint="eastAsia"/>
                <w:color w:val="000000"/>
                <w:kern w:val="0"/>
                <w:sz w:val="24"/>
                <w:szCs w:val="24"/>
              </w:rPr>
              <w:t>1、到期日至到账日之间，客户资金不计利息</w:t>
            </w:r>
          </w:p>
        </w:tc>
      </w:tr>
      <w:tr w:rsidR="00D312AC" w:rsidRPr="00D312AC" w:rsidTr="00D312AC">
        <w:trPr>
          <w:trHeight w:val="1305"/>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D312AC" w:rsidRPr="00D312AC" w:rsidRDefault="00D312AC" w:rsidP="00D312AC">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312AC" w:rsidRPr="00D312AC" w:rsidRDefault="00D312AC" w:rsidP="00D312AC">
            <w:pPr>
              <w:widowControl/>
              <w:jc w:val="left"/>
              <w:rPr>
                <w:rFonts w:ascii="楷体" w:eastAsia="楷体" w:hAnsi="楷体" w:cs="宋体"/>
                <w:color w:val="000000"/>
                <w:kern w:val="0"/>
                <w:sz w:val="24"/>
                <w:szCs w:val="24"/>
              </w:rPr>
            </w:pPr>
            <w:r w:rsidRPr="00D312AC">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D312AC" w:rsidRPr="00D312AC" w:rsidRDefault="00D312AC" w:rsidP="00D312AC">
      <w:pPr>
        <w:widowControl/>
        <w:jc w:val="left"/>
        <w:rPr>
          <w:rFonts w:ascii="楷体" w:eastAsia="楷体" w:hAnsi="楷体" w:cs="宋体"/>
          <w:b/>
          <w:bCs/>
          <w:color w:val="000000"/>
          <w:kern w:val="0"/>
          <w:sz w:val="24"/>
          <w:szCs w:val="24"/>
        </w:rPr>
      </w:pPr>
      <w:r w:rsidRPr="00D312AC">
        <w:rPr>
          <w:rFonts w:ascii="楷体" w:eastAsia="楷体" w:hAnsi="楷体" w:cs="宋体" w:hint="eastAsia"/>
          <w:b/>
          <w:bCs/>
          <w:color w:val="000000"/>
          <w:kern w:val="0"/>
          <w:sz w:val="24"/>
          <w:szCs w:val="24"/>
        </w:rPr>
        <w:t>风险提示</w:t>
      </w:r>
    </w:p>
    <w:p w:rsidR="00D312AC" w:rsidRPr="00D312AC" w:rsidRDefault="00D312AC" w:rsidP="00D312AC">
      <w:pPr>
        <w:widowControl/>
        <w:jc w:val="left"/>
        <w:rPr>
          <w:rFonts w:ascii="楷体" w:eastAsia="楷体" w:hAnsi="楷体" w:cs="宋体"/>
          <w:color w:val="000000"/>
          <w:kern w:val="0"/>
          <w:sz w:val="24"/>
          <w:szCs w:val="24"/>
        </w:rPr>
      </w:pPr>
      <w:r w:rsidRPr="00D312AC">
        <w:rPr>
          <w:rFonts w:ascii="楷体" w:eastAsia="楷体" w:hAnsi="楷体" w:cs="宋体" w:hint="eastAsia"/>
          <w:color w:val="000000"/>
          <w:kern w:val="0"/>
          <w:sz w:val="24"/>
          <w:szCs w:val="24"/>
        </w:rPr>
        <w:t xml:space="preserve">    本理财计划为非保本浮动收益型理财产品，不保证本金和收益，投资者应该充分认识投资风险，谨慎投资。以下风险揭示内容请投资者详细阅读，在充分了解并清楚知晓本产品蕴含风险的基础上，通过自身判断自主参与交易，并自愿承担相关风险：</w:t>
      </w:r>
    </w:p>
    <w:p w:rsidR="00D312AC" w:rsidRPr="00D312AC" w:rsidRDefault="00D312AC" w:rsidP="00D312AC">
      <w:pPr>
        <w:widowControl/>
        <w:jc w:val="left"/>
        <w:rPr>
          <w:rFonts w:ascii="楷体" w:eastAsia="楷体" w:hAnsi="楷体" w:cs="宋体"/>
          <w:color w:val="000000"/>
          <w:kern w:val="0"/>
          <w:sz w:val="24"/>
          <w:szCs w:val="24"/>
        </w:rPr>
      </w:pPr>
      <w:r w:rsidRPr="00D312AC">
        <w:rPr>
          <w:rFonts w:ascii="楷体" w:eastAsia="楷体" w:hAnsi="楷体" w:cs="宋体" w:hint="eastAsia"/>
          <w:color w:val="000000"/>
          <w:kern w:val="0"/>
          <w:sz w:val="24"/>
          <w:szCs w:val="24"/>
        </w:rPr>
        <w:t xml:space="preserve">    1、本金及理财收益风险：本理财产品为非保本浮动收益型，理财收益来源于本理财产品投资的回报，容易受到市场利率变化、资产运作情况的影响。在部分或全部资产未能完全按预期价格出让的情况下，则可能影响投资收益，出现收益波动、收益为零甚至本金损失的情况。</w:t>
      </w:r>
    </w:p>
    <w:p w:rsidR="00D312AC" w:rsidRPr="00D312AC" w:rsidRDefault="00D312AC" w:rsidP="00D312AC">
      <w:pPr>
        <w:widowControl/>
        <w:jc w:val="left"/>
        <w:rPr>
          <w:rFonts w:ascii="楷体" w:eastAsia="楷体" w:hAnsi="楷体" w:cs="宋体"/>
          <w:color w:val="000000"/>
          <w:kern w:val="0"/>
          <w:sz w:val="24"/>
          <w:szCs w:val="24"/>
        </w:rPr>
      </w:pPr>
      <w:r w:rsidRPr="00D312AC">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D312AC" w:rsidRPr="00D312AC" w:rsidRDefault="00D312AC" w:rsidP="00D312AC">
      <w:pPr>
        <w:widowControl/>
        <w:jc w:val="left"/>
        <w:rPr>
          <w:rFonts w:ascii="楷体" w:eastAsia="楷体" w:hAnsi="楷体" w:cs="宋体"/>
          <w:color w:val="000000"/>
          <w:kern w:val="0"/>
          <w:sz w:val="24"/>
          <w:szCs w:val="24"/>
        </w:rPr>
      </w:pPr>
      <w:r w:rsidRPr="00D312AC">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D312AC">
        <w:rPr>
          <w:rFonts w:ascii="楷体" w:eastAsia="楷体" w:hAnsi="楷体" w:cs="宋体" w:hint="eastAsia"/>
          <w:kern w:val="0"/>
          <w:sz w:val="24"/>
          <w:szCs w:val="24"/>
        </w:rPr>
        <w:t>会上下波动，影响理财产品收益。</w:t>
      </w:r>
    </w:p>
    <w:p w:rsidR="00D312AC" w:rsidRPr="00D312AC" w:rsidRDefault="00D312AC" w:rsidP="00D312AC">
      <w:pPr>
        <w:widowControl/>
        <w:jc w:val="left"/>
        <w:rPr>
          <w:rFonts w:ascii="楷体" w:eastAsia="楷体" w:hAnsi="楷体" w:cs="宋体"/>
          <w:color w:val="000000"/>
          <w:kern w:val="0"/>
          <w:sz w:val="24"/>
          <w:szCs w:val="24"/>
        </w:rPr>
      </w:pPr>
      <w:r w:rsidRPr="00D312AC">
        <w:rPr>
          <w:rFonts w:ascii="楷体" w:eastAsia="楷体" w:hAnsi="楷体" w:cs="宋体" w:hint="eastAsia"/>
          <w:color w:val="000000"/>
          <w:kern w:val="0"/>
          <w:sz w:val="24"/>
          <w:szCs w:val="24"/>
        </w:rPr>
        <w:t xml:space="preserve">    4、理财产品不成立风险：如理财产品募集结束时，</w:t>
      </w:r>
      <w:proofErr w:type="gramStart"/>
      <w:r w:rsidRPr="00D312AC">
        <w:rPr>
          <w:rFonts w:ascii="楷体" w:eastAsia="楷体" w:hAnsi="楷体" w:cs="宋体" w:hint="eastAsia"/>
          <w:color w:val="000000"/>
          <w:kern w:val="0"/>
          <w:sz w:val="24"/>
          <w:szCs w:val="24"/>
        </w:rPr>
        <w:t>认购总</w:t>
      </w:r>
      <w:proofErr w:type="gramEnd"/>
      <w:r w:rsidRPr="00D312AC">
        <w:rPr>
          <w:rFonts w:ascii="楷体" w:eastAsia="楷体" w:hAnsi="楷体" w:cs="宋体" w:hint="eastAsia"/>
          <w:color w:val="000000"/>
          <w:kern w:val="0"/>
          <w:sz w:val="24"/>
          <w:szCs w:val="24"/>
        </w:rPr>
        <w:t>金额未达到规模要求或市场发生剧烈波动等情况，经广东南粤银行合理判断难以按照本理财产品说明书规定向购买者提供本理财产品，广东南粤银行有权宣布本理财产品不成立。</w:t>
      </w:r>
    </w:p>
    <w:p w:rsidR="00D312AC" w:rsidRPr="00D312AC" w:rsidRDefault="00D312AC" w:rsidP="00D312AC">
      <w:pPr>
        <w:widowControl/>
        <w:jc w:val="left"/>
        <w:rPr>
          <w:rFonts w:ascii="楷体" w:eastAsia="楷体" w:hAnsi="楷体" w:cs="宋体"/>
          <w:color w:val="000000"/>
          <w:kern w:val="0"/>
          <w:sz w:val="24"/>
          <w:szCs w:val="24"/>
        </w:rPr>
      </w:pPr>
      <w:r w:rsidRPr="00D312AC">
        <w:rPr>
          <w:rFonts w:ascii="楷体" w:eastAsia="楷体" w:hAnsi="楷体" w:cs="宋体" w:hint="eastAsia"/>
          <w:color w:val="000000"/>
          <w:kern w:val="0"/>
          <w:sz w:val="24"/>
          <w:szCs w:val="24"/>
        </w:rPr>
        <w:t xml:space="preserve">    5、政策风险：本理财产品根据当前相关法律法规和政策设计，如国家宏观政策及市场相关法律法规发生变化，可能影响理财产品的受理、投资、偿还等正常进行，甚至导致本理财收益降低。</w:t>
      </w:r>
    </w:p>
    <w:p w:rsidR="00D312AC" w:rsidRPr="00D312AC" w:rsidRDefault="00D312AC" w:rsidP="00D312AC">
      <w:pPr>
        <w:widowControl/>
        <w:jc w:val="left"/>
        <w:rPr>
          <w:rFonts w:ascii="楷体" w:eastAsia="楷体" w:hAnsi="楷体" w:cs="宋体"/>
          <w:color w:val="000000"/>
          <w:kern w:val="0"/>
          <w:sz w:val="24"/>
          <w:szCs w:val="24"/>
        </w:rPr>
      </w:pPr>
      <w:r w:rsidRPr="00D312AC">
        <w:rPr>
          <w:rFonts w:ascii="楷体" w:eastAsia="楷体" w:hAnsi="楷体" w:cs="宋体" w:hint="eastAsia"/>
          <w:color w:val="000000"/>
          <w:kern w:val="0"/>
          <w:sz w:val="24"/>
          <w:szCs w:val="24"/>
        </w:rPr>
        <w:t xml:space="preserve">    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D312AC" w:rsidRPr="00D312AC" w:rsidRDefault="00D312AC" w:rsidP="00D312AC">
      <w:pPr>
        <w:widowControl/>
        <w:jc w:val="left"/>
        <w:rPr>
          <w:rFonts w:ascii="楷体" w:eastAsia="楷体" w:hAnsi="楷体" w:cs="宋体"/>
          <w:color w:val="000000"/>
          <w:kern w:val="0"/>
          <w:sz w:val="24"/>
          <w:szCs w:val="24"/>
        </w:rPr>
      </w:pPr>
      <w:r w:rsidRPr="00D312AC">
        <w:rPr>
          <w:rFonts w:ascii="楷体" w:eastAsia="楷体" w:hAnsi="楷体" w:cs="宋体" w:hint="eastAsia"/>
          <w:color w:val="000000"/>
          <w:kern w:val="0"/>
          <w:sz w:val="24"/>
          <w:szCs w:val="24"/>
        </w:rPr>
        <w:lastRenderedPageBreak/>
        <w:t xml:space="preserve">    7、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者未及时查询，或由于通讯故障、系统故障以及其他不可抗力等因素的影响使得投资者无法及时了解理财产品信息，因此而产生的风险和责任由投资者自行承担。</w:t>
      </w:r>
    </w:p>
    <w:p w:rsidR="00D312AC" w:rsidRPr="00D312AC" w:rsidRDefault="00D312AC" w:rsidP="00D312AC">
      <w:pPr>
        <w:widowControl/>
        <w:jc w:val="center"/>
        <w:rPr>
          <w:rFonts w:ascii="楷体" w:eastAsia="楷体" w:hAnsi="楷体" w:cs="宋体"/>
          <w:b/>
          <w:bCs/>
          <w:color w:val="000000"/>
          <w:kern w:val="0"/>
          <w:sz w:val="24"/>
          <w:szCs w:val="24"/>
        </w:rPr>
      </w:pPr>
      <w:r w:rsidRPr="00D312AC">
        <w:rPr>
          <w:rFonts w:ascii="楷体" w:eastAsia="楷体" w:hAnsi="楷体" w:cs="宋体" w:hint="eastAsia"/>
          <w:b/>
          <w:bCs/>
          <w:color w:val="000000"/>
          <w:kern w:val="0"/>
          <w:sz w:val="24"/>
          <w:szCs w:val="24"/>
        </w:rPr>
        <w:t>（请投资者仔细阅读本产品说明书首页的风险提示）</w:t>
      </w:r>
    </w:p>
    <w:p w:rsidR="00D312AC" w:rsidRPr="00D312AC" w:rsidRDefault="00D312AC" w:rsidP="00D312AC">
      <w:pPr>
        <w:widowControl/>
        <w:jc w:val="left"/>
        <w:rPr>
          <w:rFonts w:ascii="楷体" w:eastAsia="楷体" w:hAnsi="楷体" w:cs="宋体"/>
          <w:color w:val="000000"/>
          <w:kern w:val="0"/>
          <w:sz w:val="24"/>
          <w:szCs w:val="24"/>
        </w:rPr>
      </w:pPr>
      <w:r w:rsidRPr="00D312AC">
        <w:rPr>
          <w:rFonts w:ascii="楷体" w:eastAsia="楷体" w:hAnsi="楷体" w:cs="宋体" w:hint="eastAsia"/>
          <w:color w:val="000000"/>
          <w:kern w:val="0"/>
          <w:sz w:val="24"/>
          <w:szCs w:val="24"/>
        </w:rPr>
        <w:t>本理财产品风险评级：R2</w:t>
      </w:r>
    </w:p>
    <w:tbl>
      <w:tblPr>
        <w:tblW w:w="8480" w:type="dxa"/>
        <w:tblInd w:w="108" w:type="dxa"/>
        <w:tblLook w:val="04A0" w:firstRow="1" w:lastRow="0" w:firstColumn="1" w:lastColumn="0" w:noHBand="0" w:noVBand="1"/>
      </w:tblPr>
      <w:tblGrid>
        <w:gridCol w:w="846"/>
        <w:gridCol w:w="1561"/>
        <w:gridCol w:w="1754"/>
        <w:gridCol w:w="1928"/>
        <w:gridCol w:w="2391"/>
      </w:tblGrid>
      <w:tr w:rsidR="00D312AC" w:rsidRPr="00D312AC" w:rsidTr="00D312AC">
        <w:trPr>
          <w:trHeight w:val="28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D312AC" w:rsidRPr="00D312AC" w:rsidRDefault="00D312AC" w:rsidP="00D312AC">
            <w:pPr>
              <w:widowControl/>
              <w:jc w:val="center"/>
              <w:rPr>
                <w:rFonts w:ascii="楷体" w:eastAsia="楷体" w:hAnsi="楷体" w:cs="宋体"/>
                <w:color w:val="000000"/>
                <w:kern w:val="0"/>
                <w:sz w:val="24"/>
                <w:szCs w:val="24"/>
              </w:rPr>
            </w:pPr>
            <w:r w:rsidRPr="00D312AC">
              <w:rPr>
                <w:rFonts w:ascii="楷体" w:eastAsia="楷体" w:hAnsi="楷体" w:cs="宋体" w:hint="eastAsia"/>
                <w:color w:val="000000"/>
                <w:kern w:val="0"/>
                <w:sz w:val="24"/>
                <w:szCs w:val="24"/>
              </w:rPr>
              <w:t>内部风险评级</w:t>
            </w:r>
          </w:p>
        </w:tc>
        <w:tc>
          <w:tcPr>
            <w:tcW w:w="7840" w:type="dxa"/>
            <w:gridSpan w:val="4"/>
            <w:tcBorders>
              <w:top w:val="single" w:sz="4" w:space="0" w:color="auto"/>
              <w:left w:val="nil"/>
              <w:bottom w:val="single" w:sz="4" w:space="0" w:color="auto"/>
              <w:right w:val="single" w:sz="4" w:space="0" w:color="auto"/>
            </w:tcBorders>
            <w:shd w:val="clear" w:color="auto" w:fill="auto"/>
            <w:vAlign w:val="center"/>
            <w:hideMark/>
          </w:tcPr>
          <w:p w:rsidR="00D312AC" w:rsidRPr="00D312AC" w:rsidRDefault="00D312AC" w:rsidP="00D312AC">
            <w:pPr>
              <w:widowControl/>
              <w:jc w:val="center"/>
              <w:rPr>
                <w:rFonts w:ascii="楷体" w:eastAsia="楷体" w:hAnsi="楷体" w:cs="宋体"/>
                <w:color w:val="000000"/>
                <w:kern w:val="0"/>
                <w:sz w:val="24"/>
                <w:szCs w:val="24"/>
              </w:rPr>
            </w:pPr>
            <w:r w:rsidRPr="00D312AC">
              <w:rPr>
                <w:rFonts w:ascii="楷体" w:eastAsia="楷体" w:hAnsi="楷体" w:cs="宋体" w:hint="eastAsia"/>
                <w:color w:val="000000"/>
                <w:kern w:val="0"/>
                <w:sz w:val="24"/>
                <w:szCs w:val="24"/>
              </w:rPr>
              <w:t>本理财产品内部风险评级为：R2</w:t>
            </w:r>
          </w:p>
        </w:tc>
      </w:tr>
      <w:tr w:rsidR="00D312AC" w:rsidRPr="00D312AC" w:rsidTr="00D312AC">
        <w:trPr>
          <w:trHeight w:val="28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D312AC" w:rsidRPr="00D312AC" w:rsidRDefault="00D312AC" w:rsidP="00D312AC">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auto" w:fill="auto"/>
            <w:vAlign w:val="center"/>
            <w:hideMark/>
          </w:tcPr>
          <w:p w:rsidR="00D312AC" w:rsidRPr="00D312AC" w:rsidRDefault="00D312AC" w:rsidP="00D312AC">
            <w:pPr>
              <w:widowControl/>
              <w:jc w:val="center"/>
              <w:rPr>
                <w:rFonts w:ascii="楷体" w:eastAsia="楷体" w:hAnsi="楷体" w:cs="宋体"/>
                <w:color w:val="000000"/>
                <w:kern w:val="0"/>
                <w:sz w:val="24"/>
                <w:szCs w:val="24"/>
              </w:rPr>
            </w:pPr>
            <w:r w:rsidRPr="00D312AC">
              <w:rPr>
                <w:rFonts w:ascii="楷体" w:eastAsia="楷体" w:hAnsi="楷体" w:cs="宋体" w:hint="eastAsia"/>
                <w:color w:val="000000"/>
                <w:kern w:val="0"/>
                <w:sz w:val="24"/>
                <w:szCs w:val="24"/>
              </w:rPr>
              <w:t>风险评级</w:t>
            </w:r>
          </w:p>
        </w:tc>
        <w:tc>
          <w:tcPr>
            <w:tcW w:w="1800" w:type="dxa"/>
            <w:tcBorders>
              <w:top w:val="nil"/>
              <w:left w:val="nil"/>
              <w:bottom w:val="single" w:sz="4" w:space="0" w:color="auto"/>
              <w:right w:val="single" w:sz="4" w:space="0" w:color="auto"/>
            </w:tcBorders>
            <w:shd w:val="clear" w:color="auto" w:fill="auto"/>
            <w:vAlign w:val="center"/>
            <w:hideMark/>
          </w:tcPr>
          <w:p w:rsidR="00D312AC" w:rsidRPr="00D312AC" w:rsidRDefault="00D312AC" w:rsidP="00D312AC">
            <w:pPr>
              <w:widowControl/>
              <w:jc w:val="center"/>
              <w:rPr>
                <w:rFonts w:ascii="楷体" w:eastAsia="楷体" w:hAnsi="楷体" w:cs="宋体"/>
                <w:color w:val="000000"/>
                <w:kern w:val="0"/>
                <w:sz w:val="24"/>
                <w:szCs w:val="24"/>
              </w:rPr>
            </w:pPr>
            <w:r w:rsidRPr="00D312AC">
              <w:rPr>
                <w:rFonts w:ascii="楷体" w:eastAsia="楷体" w:hAnsi="楷体" w:cs="宋体" w:hint="eastAsia"/>
                <w:color w:val="000000"/>
                <w:kern w:val="0"/>
                <w:sz w:val="24"/>
                <w:szCs w:val="24"/>
              </w:rPr>
              <w:t>风险程度</w:t>
            </w:r>
          </w:p>
        </w:tc>
        <w:tc>
          <w:tcPr>
            <w:tcW w:w="1980" w:type="dxa"/>
            <w:tcBorders>
              <w:top w:val="nil"/>
              <w:left w:val="nil"/>
              <w:bottom w:val="single" w:sz="4" w:space="0" w:color="auto"/>
              <w:right w:val="single" w:sz="4" w:space="0" w:color="auto"/>
            </w:tcBorders>
            <w:shd w:val="clear" w:color="auto" w:fill="auto"/>
            <w:vAlign w:val="center"/>
            <w:hideMark/>
          </w:tcPr>
          <w:p w:rsidR="00D312AC" w:rsidRPr="00D312AC" w:rsidRDefault="00D312AC" w:rsidP="00D312AC">
            <w:pPr>
              <w:widowControl/>
              <w:jc w:val="center"/>
              <w:rPr>
                <w:rFonts w:ascii="楷体" w:eastAsia="楷体" w:hAnsi="楷体" w:cs="宋体"/>
                <w:color w:val="000000"/>
                <w:kern w:val="0"/>
                <w:sz w:val="24"/>
                <w:szCs w:val="24"/>
              </w:rPr>
            </w:pPr>
            <w:r w:rsidRPr="00D312AC">
              <w:rPr>
                <w:rFonts w:ascii="楷体" w:eastAsia="楷体" w:hAnsi="楷体" w:cs="宋体" w:hint="eastAsia"/>
                <w:color w:val="000000"/>
                <w:kern w:val="0"/>
                <w:sz w:val="24"/>
                <w:szCs w:val="24"/>
              </w:rPr>
              <w:t>适合的投资者</w:t>
            </w:r>
          </w:p>
        </w:tc>
        <w:tc>
          <w:tcPr>
            <w:tcW w:w="2460" w:type="dxa"/>
            <w:tcBorders>
              <w:top w:val="nil"/>
              <w:left w:val="nil"/>
              <w:bottom w:val="single" w:sz="4" w:space="0" w:color="auto"/>
              <w:right w:val="single" w:sz="4" w:space="0" w:color="auto"/>
            </w:tcBorders>
            <w:shd w:val="clear" w:color="auto" w:fill="auto"/>
            <w:vAlign w:val="center"/>
            <w:hideMark/>
          </w:tcPr>
          <w:p w:rsidR="00D312AC" w:rsidRPr="00D312AC" w:rsidRDefault="00D312AC" w:rsidP="00D312AC">
            <w:pPr>
              <w:widowControl/>
              <w:jc w:val="center"/>
              <w:rPr>
                <w:rFonts w:ascii="楷体" w:eastAsia="楷体" w:hAnsi="楷体" w:cs="宋体"/>
                <w:color w:val="000000"/>
                <w:kern w:val="0"/>
                <w:sz w:val="24"/>
                <w:szCs w:val="24"/>
              </w:rPr>
            </w:pPr>
            <w:r w:rsidRPr="00D312AC">
              <w:rPr>
                <w:rFonts w:ascii="楷体" w:eastAsia="楷体" w:hAnsi="楷体" w:cs="宋体" w:hint="eastAsia"/>
                <w:color w:val="000000"/>
                <w:kern w:val="0"/>
                <w:sz w:val="24"/>
                <w:szCs w:val="24"/>
              </w:rPr>
              <w:t>适合投资策略</w:t>
            </w:r>
          </w:p>
        </w:tc>
      </w:tr>
      <w:tr w:rsidR="00D312AC" w:rsidRPr="00D312AC" w:rsidTr="00D312AC">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D312AC" w:rsidRPr="00D312AC" w:rsidRDefault="00D312AC" w:rsidP="00D312AC">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D312AC" w:rsidRPr="00D312AC" w:rsidRDefault="00D312AC" w:rsidP="00D312AC">
            <w:pPr>
              <w:widowControl/>
              <w:jc w:val="center"/>
              <w:rPr>
                <w:rFonts w:ascii="楷体" w:eastAsia="楷体" w:hAnsi="楷体" w:cs="宋体"/>
                <w:color w:val="000000"/>
                <w:kern w:val="0"/>
                <w:sz w:val="24"/>
                <w:szCs w:val="24"/>
              </w:rPr>
            </w:pPr>
            <w:r w:rsidRPr="00D312AC">
              <w:rPr>
                <w:rFonts w:ascii="楷体" w:eastAsia="楷体" w:hAnsi="楷体" w:cs="宋体" w:hint="eastAsia"/>
                <w:color w:val="000000"/>
                <w:kern w:val="0"/>
                <w:sz w:val="24"/>
                <w:szCs w:val="24"/>
              </w:rPr>
              <w:t>R1</w:t>
            </w:r>
          </w:p>
        </w:tc>
        <w:tc>
          <w:tcPr>
            <w:tcW w:w="1800" w:type="dxa"/>
            <w:tcBorders>
              <w:top w:val="nil"/>
              <w:left w:val="nil"/>
              <w:bottom w:val="single" w:sz="4" w:space="0" w:color="auto"/>
              <w:right w:val="single" w:sz="4" w:space="0" w:color="auto"/>
            </w:tcBorders>
            <w:shd w:val="clear" w:color="000000" w:fill="CCE8CF"/>
            <w:vAlign w:val="center"/>
            <w:hideMark/>
          </w:tcPr>
          <w:p w:rsidR="00D312AC" w:rsidRPr="00D312AC" w:rsidRDefault="00D312AC" w:rsidP="00D312AC">
            <w:pPr>
              <w:widowControl/>
              <w:jc w:val="center"/>
              <w:rPr>
                <w:rFonts w:ascii="楷体" w:eastAsia="楷体" w:hAnsi="楷体" w:cs="宋体"/>
                <w:color w:val="000000"/>
                <w:kern w:val="0"/>
                <w:sz w:val="24"/>
                <w:szCs w:val="24"/>
              </w:rPr>
            </w:pPr>
            <w:r w:rsidRPr="00D312AC">
              <w:rPr>
                <w:rFonts w:ascii="楷体" w:eastAsia="楷体" w:hAnsi="楷体" w:cs="宋体" w:hint="eastAsia"/>
                <w:color w:val="000000"/>
                <w:kern w:val="0"/>
                <w:sz w:val="24"/>
                <w:szCs w:val="24"/>
              </w:rPr>
              <w:t>低</w:t>
            </w:r>
          </w:p>
        </w:tc>
        <w:tc>
          <w:tcPr>
            <w:tcW w:w="1980" w:type="dxa"/>
            <w:tcBorders>
              <w:top w:val="nil"/>
              <w:left w:val="nil"/>
              <w:bottom w:val="single" w:sz="4" w:space="0" w:color="auto"/>
              <w:right w:val="single" w:sz="4" w:space="0" w:color="auto"/>
            </w:tcBorders>
            <w:shd w:val="clear" w:color="000000" w:fill="CCE8CF"/>
            <w:vAlign w:val="center"/>
            <w:hideMark/>
          </w:tcPr>
          <w:p w:rsidR="00D312AC" w:rsidRPr="00D312AC" w:rsidRDefault="00D312AC" w:rsidP="00D312AC">
            <w:pPr>
              <w:widowControl/>
              <w:jc w:val="center"/>
              <w:rPr>
                <w:rFonts w:ascii="楷体" w:eastAsia="楷体" w:hAnsi="楷体" w:cs="宋体"/>
                <w:color w:val="000000"/>
                <w:kern w:val="0"/>
                <w:sz w:val="24"/>
                <w:szCs w:val="24"/>
              </w:rPr>
            </w:pPr>
            <w:r w:rsidRPr="00D312AC">
              <w:rPr>
                <w:rFonts w:ascii="楷体" w:eastAsia="楷体" w:hAnsi="楷体" w:cs="宋体" w:hint="eastAsia"/>
                <w:color w:val="000000"/>
                <w:kern w:val="0"/>
                <w:sz w:val="24"/>
                <w:szCs w:val="24"/>
              </w:rPr>
              <w:t>保守型</w:t>
            </w:r>
          </w:p>
        </w:tc>
        <w:tc>
          <w:tcPr>
            <w:tcW w:w="2460" w:type="dxa"/>
            <w:tcBorders>
              <w:top w:val="nil"/>
              <w:left w:val="nil"/>
              <w:bottom w:val="single" w:sz="4" w:space="0" w:color="auto"/>
              <w:right w:val="single" w:sz="4" w:space="0" w:color="auto"/>
            </w:tcBorders>
            <w:shd w:val="clear" w:color="000000" w:fill="CCE8CF"/>
            <w:vAlign w:val="center"/>
            <w:hideMark/>
          </w:tcPr>
          <w:p w:rsidR="00D312AC" w:rsidRPr="00D312AC" w:rsidRDefault="00D312AC" w:rsidP="00D312AC">
            <w:pPr>
              <w:widowControl/>
              <w:jc w:val="center"/>
              <w:rPr>
                <w:rFonts w:ascii="楷体" w:eastAsia="楷体" w:hAnsi="楷体" w:cs="宋体"/>
                <w:color w:val="000000"/>
                <w:kern w:val="0"/>
                <w:sz w:val="24"/>
                <w:szCs w:val="24"/>
              </w:rPr>
            </w:pPr>
            <w:r w:rsidRPr="00D312AC">
              <w:rPr>
                <w:rFonts w:ascii="楷体" w:eastAsia="楷体" w:hAnsi="楷体" w:cs="宋体" w:hint="eastAsia"/>
                <w:color w:val="000000"/>
                <w:kern w:val="0"/>
                <w:sz w:val="24"/>
                <w:szCs w:val="24"/>
              </w:rPr>
              <w:t>风险控制</w:t>
            </w:r>
          </w:p>
        </w:tc>
      </w:tr>
      <w:tr w:rsidR="00D312AC" w:rsidRPr="00D312AC" w:rsidTr="00D312AC">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D312AC" w:rsidRPr="00D312AC" w:rsidRDefault="00D312AC" w:rsidP="00D312AC">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D312AC" w:rsidRPr="00D312AC" w:rsidRDefault="00D312AC" w:rsidP="00D312AC">
            <w:pPr>
              <w:widowControl/>
              <w:jc w:val="center"/>
              <w:rPr>
                <w:rFonts w:ascii="楷体" w:eastAsia="楷体" w:hAnsi="楷体" w:cs="宋体"/>
                <w:color w:val="000000"/>
                <w:kern w:val="0"/>
                <w:sz w:val="24"/>
                <w:szCs w:val="24"/>
              </w:rPr>
            </w:pPr>
            <w:r w:rsidRPr="00D312AC">
              <w:rPr>
                <w:rFonts w:ascii="楷体" w:eastAsia="楷体" w:hAnsi="楷体" w:cs="宋体" w:hint="eastAsia"/>
                <w:color w:val="000000"/>
                <w:kern w:val="0"/>
                <w:sz w:val="24"/>
                <w:szCs w:val="24"/>
              </w:rPr>
              <w:t>R2</w:t>
            </w:r>
          </w:p>
        </w:tc>
        <w:tc>
          <w:tcPr>
            <w:tcW w:w="1800" w:type="dxa"/>
            <w:tcBorders>
              <w:top w:val="nil"/>
              <w:left w:val="nil"/>
              <w:bottom w:val="single" w:sz="4" w:space="0" w:color="auto"/>
              <w:right w:val="single" w:sz="4" w:space="0" w:color="auto"/>
            </w:tcBorders>
            <w:shd w:val="clear" w:color="000000" w:fill="CCE8CF"/>
            <w:vAlign w:val="center"/>
            <w:hideMark/>
          </w:tcPr>
          <w:p w:rsidR="00D312AC" w:rsidRPr="00D312AC" w:rsidRDefault="00D312AC" w:rsidP="00D312AC">
            <w:pPr>
              <w:widowControl/>
              <w:jc w:val="center"/>
              <w:rPr>
                <w:rFonts w:ascii="楷体" w:eastAsia="楷体" w:hAnsi="楷体" w:cs="宋体"/>
                <w:color w:val="000000"/>
                <w:kern w:val="0"/>
                <w:sz w:val="24"/>
                <w:szCs w:val="24"/>
              </w:rPr>
            </w:pPr>
            <w:r w:rsidRPr="00D312AC">
              <w:rPr>
                <w:rFonts w:ascii="楷体" w:eastAsia="楷体" w:hAnsi="楷体" w:cs="宋体" w:hint="eastAsia"/>
                <w:color w:val="000000"/>
                <w:kern w:val="0"/>
                <w:sz w:val="24"/>
                <w:szCs w:val="24"/>
              </w:rPr>
              <w:t>较低</w:t>
            </w:r>
          </w:p>
        </w:tc>
        <w:tc>
          <w:tcPr>
            <w:tcW w:w="1980" w:type="dxa"/>
            <w:tcBorders>
              <w:top w:val="nil"/>
              <w:left w:val="nil"/>
              <w:bottom w:val="single" w:sz="4" w:space="0" w:color="auto"/>
              <w:right w:val="single" w:sz="4" w:space="0" w:color="auto"/>
            </w:tcBorders>
            <w:shd w:val="clear" w:color="000000" w:fill="CCE8CF"/>
            <w:vAlign w:val="center"/>
            <w:hideMark/>
          </w:tcPr>
          <w:p w:rsidR="00D312AC" w:rsidRPr="00D312AC" w:rsidRDefault="00D312AC" w:rsidP="00D312AC">
            <w:pPr>
              <w:widowControl/>
              <w:jc w:val="center"/>
              <w:rPr>
                <w:rFonts w:ascii="楷体" w:eastAsia="楷体" w:hAnsi="楷体" w:cs="宋体"/>
                <w:color w:val="000000"/>
                <w:kern w:val="0"/>
                <w:sz w:val="24"/>
                <w:szCs w:val="24"/>
              </w:rPr>
            </w:pPr>
            <w:r w:rsidRPr="00D312AC">
              <w:rPr>
                <w:rFonts w:ascii="楷体" w:eastAsia="楷体" w:hAnsi="楷体" w:cs="宋体" w:hint="eastAsia"/>
                <w:color w:val="000000"/>
                <w:kern w:val="0"/>
                <w:sz w:val="24"/>
                <w:szCs w:val="24"/>
              </w:rPr>
              <w:t>稳健型</w:t>
            </w:r>
          </w:p>
        </w:tc>
        <w:tc>
          <w:tcPr>
            <w:tcW w:w="2460" w:type="dxa"/>
            <w:tcBorders>
              <w:top w:val="nil"/>
              <w:left w:val="nil"/>
              <w:bottom w:val="single" w:sz="4" w:space="0" w:color="auto"/>
              <w:right w:val="single" w:sz="4" w:space="0" w:color="auto"/>
            </w:tcBorders>
            <w:shd w:val="clear" w:color="000000" w:fill="CCE8CF"/>
            <w:vAlign w:val="center"/>
            <w:hideMark/>
          </w:tcPr>
          <w:p w:rsidR="00D312AC" w:rsidRPr="00D312AC" w:rsidRDefault="00D312AC" w:rsidP="00D312AC">
            <w:pPr>
              <w:widowControl/>
              <w:jc w:val="center"/>
              <w:rPr>
                <w:rFonts w:ascii="楷体" w:eastAsia="楷体" w:hAnsi="楷体" w:cs="宋体"/>
                <w:color w:val="000000"/>
                <w:kern w:val="0"/>
                <w:sz w:val="24"/>
                <w:szCs w:val="24"/>
              </w:rPr>
            </w:pPr>
            <w:r w:rsidRPr="00D312AC">
              <w:rPr>
                <w:rFonts w:ascii="楷体" w:eastAsia="楷体" w:hAnsi="楷体" w:cs="宋体" w:hint="eastAsia"/>
                <w:color w:val="000000"/>
                <w:kern w:val="0"/>
                <w:sz w:val="24"/>
                <w:szCs w:val="24"/>
              </w:rPr>
              <w:t>稳健发展</w:t>
            </w:r>
          </w:p>
        </w:tc>
      </w:tr>
      <w:tr w:rsidR="00D312AC" w:rsidRPr="00D312AC" w:rsidTr="00D312AC">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D312AC" w:rsidRPr="00D312AC" w:rsidRDefault="00D312AC" w:rsidP="00D312AC">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D312AC" w:rsidRPr="00D312AC" w:rsidRDefault="00D312AC" w:rsidP="00D312AC">
            <w:pPr>
              <w:widowControl/>
              <w:jc w:val="center"/>
              <w:rPr>
                <w:rFonts w:ascii="楷体" w:eastAsia="楷体" w:hAnsi="楷体" w:cs="宋体"/>
                <w:color w:val="000000"/>
                <w:kern w:val="0"/>
                <w:sz w:val="24"/>
                <w:szCs w:val="24"/>
              </w:rPr>
            </w:pPr>
            <w:r w:rsidRPr="00D312AC">
              <w:rPr>
                <w:rFonts w:ascii="楷体" w:eastAsia="楷体" w:hAnsi="楷体" w:cs="宋体" w:hint="eastAsia"/>
                <w:color w:val="000000"/>
                <w:kern w:val="0"/>
                <w:sz w:val="24"/>
                <w:szCs w:val="24"/>
              </w:rPr>
              <w:t>R3</w:t>
            </w:r>
          </w:p>
        </w:tc>
        <w:tc>
          <w:tcPr>
            <w:tcW w:w="1800" w:type="dxa"/>
            <w:tcBorders>
              <w:top w:val="nil"/>
              <w:left w:val="nil"/>
              <w:bottom w:val="single" w:sz="4" w:space="0" w:color="auto"/>
              <w:right w:val="single" w:sz="4" w:space="0" w:color="auto"/>
            </w:tcBorders>
            <w:shd w:val="clear" w:color="000000" w:fill="CCE8CF"/>
            <w:vAlign w:val="center"/>
            <w:hideMark/>
          </w:tcPr>
          <w:p w:rsidR="00D312AC" w:rsidRPr="00D312AC" w:rsidRDefault="00D312AC" w:rsidP="00D312AC">
            <w:pPr>
              <w:widowControl/>
              <w:jc w:val="center"/>
              <w:rPr>
                <w:rFonts w:ascii="楷体" w:eastAsia="楷体" w:hAnsi="楷体" w:cs="宋体"/>
                <w:color w:val="000000"/>
                <w:kern w:val="0"/>
                <w:sz w:val="24"/>
                <w:szCs w:val="24"/>
              </w:rPr>
            </w:pPr>
            <w:r w:rsidRPr="00D312AC">
              <w:rPr>
                <w:rFonts w:ascii="楷体" w:eastAsia="楷体" w:hAnsi="楷体" w:cs="宋体" w:hint="eastAsia"/>
                <w:color w:val="000000"/>
                <w:kern w:val="0"/>
                <w:sz w:val="24"/>
                <w:szCs w:val="24"/>
              </w:rPr>
              <w:t>中</w:t>
            </w:r>
          </w:p>
        </w:tc>
        <w:tc>
          <w:tcPr>
            <w:tcW w:w="1980" w:type="dxa"/>
            <w:tcBorders>
              <w:top w:val="nil"/>
              <w:left w:val="nil"/>
              <w:bottom w:val="single" w:sz="4" w:space="0" w:color="auto"/>
              <w:right w:val="single" w:sz="4" w:space="0" w:color="auto"/>
            </w:tcBorders>
            <w:shd w:val="clear" w:color="000000" w:fill="CCE8CF"/>
            <w:vAlign w:val="center"/>
            <w:hideMark/>
          </w:tcPr>
          <w:p w:rsidR="00D312AC" w:rsidRPr="00D312AC" w:rsidRDefault="00D312AC" w:rsidP="00D312AC">
            <w:pPr>
              <w:widowControl/>
              <w:jc w:val="center"/>
              <w:rPr>
                <w:rFonts w:ascii="楷体" w:eastAsia="楷体" w:hAnsi="楷体" w:cs="宋体"/>
                <w:color w:val="000000"/>
                <w:kern w:val="0"/>
                <w:sz w:val="24"/>
                <w:szCs w:val="24"/>
              </w:rPr>
            </w:pPr>
            <w:r w:rsidRPr="00D312AC">
              <w:rPr>
                <w:rFonts w:ascii="楷体" w:eastAsia="楷体" w:hAnsi="楷体" w:cs="宋体" w:hint="eastAsia"/>
                <w:color w:val="000000"/>
                <w:kern w:val="0"/>
                <w:sz w:val="24"/>
                <w:szCs w:val="24"/>
              </w:rPr>
              <w:t>平衡型</w:t>
            </w:r>
          </w:p>
        </w:tc>
        <w:tc>
          <w:tcPr>
            <w:tcW w:w="2460" w:type="dxa"/>
            <w:tcBorders>
              <w:top w:val="nil"/>
              <w:left w:val="nil"/>
              <w:bottom w:val="single" w:sz="4" w:space="0" w:color="auto"/>
              <w:right w:val="single" w:sz="4" w:space="0" w:color="auto"/>
            </w:tcBorders>
            <w:shd w:val="clear" w:color="000000" w:fill="CCE8CF"/>
            <w:vAlign w:val="center"/>
            <w:hideMark/>
          </w:tcPr>
          <w:p w:rsidR="00D312AC" w:rsidRPr="00D312AC" w:rsidRDefault="00D312AC" w:rsidP="00D312AC">
            <w:pPr>
              <w:widowControl/>
              <w:jc w:val="center"/>
              <w:rPr>
                <w:rFonts w:ascii="楷体" w:eastAsia="楷体" w:hAnsi="楷体" w:cs="宋体"/>
                <w:color w:val="000000"/>
                <w:kern w:val="0"/>
                <w:sz w:val="24"/>
                <w:szCs w:val="24"/>
              </w:rPr>
            </w:pPr>
            <w:r w:rsidRPr="00D312AC">
              <w:rPr>
                <w:rFonts w:ascii="楷体" w:eastAsia="楷体" w:hAnsi="楷体" w:cs="宋体" w:hint="eastAsia"/>
                <w:color w:val="000000"/>
                <w:kern w:val="0"/>
                <w:sz w:val="24"/>
                <w:szCs w:val="24"/>
              </w:rPr>
              <w:t>均衡成长</w:t>
            </w:r>
          </w:p>
        </w:tc>
      </w:tr>
      <w:tr w:rsidR="00D312AC" w:rsidRPr="00D312AC" w:rsidTr="00D312AC">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D312AC" w:rsidRPr="00D312AC" w:rsidRDefault="00D312AC" w:rsidP="00D312AC">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D312AC" w:rsidRPr="00D312AC" w:rsidRDefault="00D312AC" w:rsidP="00D312AC">
            <w:pPr>
              <w:widowControl/>
              <w:jc w:val="center"/>
              <w:rPr>
                <w:rFonts w:ascii="楷体" w:eastAsia="楷体" w:hAnsi="楷体" w:cs="宋体"/>
                <w:color w:val="000000"/>
                <w:kern w:val="0"/>
                <w:sz w:val="24"/>
                <w:szCs w:val="24"/>
              </w:rPr>
            </w:pPr>
            <w:r w:rsidRPr="00D312AC">
              <w:rPr>
                <w:rFonts w:ascii="楷体" w:eastAsia="楷体" w:hAnsi="楷体" w:cs="宋体" w:hint="eastAsia"/>
                <w:color w:val="000000"/>
                <w:kern w:val="0"/>
                <w:sz w:val="24"/>
                <w:szCs w:val="24"/>
              </w:rPr>
              <w:t>R4</w:t>
            </w:r>
          </w:p>
        </w:tc>
        <w:tc>
          <w:tcPr>
            <w:tcW w:w="1800" w:type="dxa"/>
            <w:tcBorders>
              <w:top w:val="nil"/>
              <w:left w:val="nil"/>
              <w:bottom w:val="single" w:sz="4" w:space="0" w:color="auto"/>
              <w:right w:val="single" w:sz="4" w:space="0" w:color="auto"/>
            </w:tcBorders>
            <w:shd w:val="clear" w:color="000000" w:fill="CCE8CF"/>
            <w:vAlign w:val="center"/>
            <w:hideMark/>
          </w:tcPr>
          <w:p w:rsidR="00D312AC" w:rsidRPr="00D312AC" w:rsidRDefault="00D312AC" w:rsidP="00D312AC">
            <w:pPr>
              <w:widowControl/>
              <w:jc w:val="center"/>
              <w:rPr>
                <w:rFonts w:ascii="楷体" w:eastAsia="楷体" w:hAnsi="楷体" w:cs="宋体"/>
                <w:color w:val="000000"/>
                <w:kern w:val="0"/>
                <w:sz w:val="24"/>
                <w:szCs w:val="24"/>
              </w:rPr>
            </w:pPr>
            <w:r w:rsidRPr="00D312AC">
              <w:rPr>
                <w:rFonts w:ascii="楷体" w:eastAsia="楷体" w:hAnsi="楷体" w:cs="宋体" w:hint="eastAsia"/>
                <w:color w:val="000000"/>
                <w:kern w:val="0"/>
                <w:sz w:val="24"/>
                <w:szCs w:val="24"/>
              </w:rPr>
              <w:t>较高</w:t>
            </w:r>
          </w:p>
        </w:tc>
        <w:tc>
          <w:tcPr>
            <w:tcW w:w="1980" w:type="dxa"/>
            <w:tcBorders>
              <w:top w:val="nil"/>
              <w:left w:val="nil"/>
              <w:bottom w:val="single" w:sz="4" w:space="0" w:color="auto"/>
              <w:right w:val="single" w:sz="4" w:space="0" w:color="auto"/>
            </w:tcBorders>
            <w:shd w:val="clear" w:color="000000" w:fill="CCE8CF"/>
            <w:vAlign w:val="center"/>
            <w:hideMark/>
          </w:tcPr>
          <w:p w:rsidR="00D312AC" w:rsidRPr="00D312AC" w:rsidRDefault="00D312AC" w:rsidP="00D312AC">
            <w:pPr>
              <w:widowControl/>
              <w:jc w:val="center"/>
              <w:rPr>
                <w:rFonts w:ascii="楷体" w:eastAsia="楷体" w:hAnsi="楷体" w:cs="宋体"/>
                <w:color w:val="000000"/>
                <w:kern w:val="0"/>
                <w:sz w:val="24"/>
                <w:szCs w:val="24"/>
              </w:rPr>
            </w:pPr>
            <w:r w:rsidRPr="00D312AC">
              <w:rPr>
                <w:rFonts w:ascii="楷体" w:eastAsia="楷体" w:hAnsi="楷体" w:cs="宋体" w:hint="eastAsia"/>
                <w:color w:val="000000"/>
                <w:kern w:val="0"/>
                <w:sz w:val="24"/>
                <w:szCs w:val="24"/>
              </w:rPr>
              <w:t>成长型</w:t>
            </w:r>
          </w:p>
        </w:tc>
        <w:tc>
          <w:tcPr>
            <w:tcW w:w="2460" w:type="dxa"/>
            <w:tcBorders>
              <w:top w:val="nil"/>
              <w:left w:val="nil"/>
              <w:bottom w:val="single" w:sz="4" w:space="0" w:color="auto"/>
              <w:right w:val="single" w:sz="4" w:space="0" w:color="auto"/>
            </w:tcBorders>
            <w:shd w:val="clear" w:color="000000" w:fill="CCE8CF"/>
            <w:vAlign w:val="center"/>
            <w:hideMark/>
          </w:tcPr>
          <w:p w:rsidR="00D312AC" w:rsidRPr="00D312AC" w:rsidRDefault="00D312AC" w:rsidP="00D312AC">
            <w:pPr>
              <w:widowControl/>
              <w:jc w:val="center"/>
              <w:rPr>
                <w:rFonts w:ascii="楷体" w:eastAsia="楷体" w:hAnsi="楷体" w:cs="宋体"/>
                <w:color w:val="000000"/>
                <w:kern w:val="0"/>
                <w:sz w:val="24"/>
                <w:szCs w:val="24"/>
              </w:rPr>
            </w:pPr>
            <w:r w:rsidRPr="00D312AC">
              <w:rPr>
                <w:rFonts w:ascii="楷体" w:eastAsia="楷体" w:hAnsi="楷体" w:cs="宋体" w:hint="eastAsia"/>
                <w:color w:val="000000"/>
                <w:kern w:val="0"/>
                <w:sz w:val="24"/>
                <w:szCs w:val="24"/>
              </w:rPr>
              <w:t>积极进取</w:t>
            </w:r>
          </w:p>
        </w:tc>
      </w:tr>
      <w:tr w:rsidR="00D312AC" w:rsidRPr="00D312AC" w:rsidTr="00D312AC">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D312AC" w:rsidRPr="00D312AC" w:rsidRDefault="00D312AC" w:rsidP="00D312AC">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D312AC" w:rsidRPr="00D312AC" w:rsidRDefault="00D312AC" w:rsidP="00D312AC">
            <w:pPr>
              <w:widowControl/>
              <w:jc w:val="center"/>
              <w:rPr>
                <w:rFonts w:ascii="楷体" w:eastAsia="楷体" w:hAnsi="楷体" w:cs="宋体"/>
                <w:color w:val="000000"/>
                <w:kern w:val="0"/>
                <w:sz w:val="24"/>
                <w:szCs w:val="24"/>
              </w:rPr>
            </w:pPr>
            <w:r w:rsidRPr="00D312AC">
              <w:rPr>
                <w:rFonts w:ascii="楷体" w:eastAsia="楷体" w:hAnsi="楷体" w:cs="宋体" w:hint="eastAsia"/>
                <w:color w:val="000000"/>
                <w:kern w:val="0"/>
                <w:sz w:val="24"/>
                <w:szCs w:val="24"/>
              </w:rPr>
              <w:t>R5</w:t>
            </w:r>
          </w:p>
        </w:tc>
        <w:tc>
          <w:tcPr>
            <w:tcW w:w="1800" w:type="dxa"/>
            <w:tcBorders>
              <w:top w:val="nil"/>
              <w:left w:val="nil"/>
              <w:bottom w:val="single" w:sz="4" w:space="0" w:color="auto"/>
              <w:right w:val="single" w:sz="4" w:space="0" w:color="auto"/>
            </w:tcBorders>
            <w:shd w:val="clear" w:color="000000" w:fill="CCE8CF"/>
            <w:vAlign w:val="center"/>
            <w:hideMark/>
          </w:tcPr>
          <w:p w:rsidR="00D312AC" w:rsidRPr="00D312AC" w:rsidRDefault="00D312AC" w:rsidP="00D312AC">
            <w:pPr>
              <w:widowControl/>
              <w:jc w:val="center"/>
              <w:rPr>
                <w:rFonts w:ascii="楷体" w:eastAsia="楷体" w:hAnsi="楷体" w:cs="宋体"/>
                <w:color w:val="000000"/>
                <w:kern w:val="0"/>
                <w:sz w:val="24"/>
                <w:szCs w:val="24"/>
              </w:rPr>
            </w:pPr>
            <w:r w:rsidRPr="00D312AC">
              <w:rPr>
                <w:rFonts w:ascii="楷体" w:eastAsia="楷体" w:hAnsi="楷体" w:cs="宋体" w:hint="eastAsia"/>
                <w:color w:val="000000"/>
                <w:kern w:val="0"/>
                <w:sz w:val="24"/>
                <w:szCs w:val="24"/>
              </w:rPr>
              <w:t>高</w:t>
            </w:r>
          </w:p>
        </w:tc>
        <w:tc>
          <w:tcPr>
            <w:tcW w:w="1980" w:type="dxa"/>
            <w:tcBorders>
              <w:top w:val="nil"/>
              <w:left w:val="nil"/>
              <w:bottom w:val="single" w:sz="4" w:space="0" w:color="auto"/>
              <w:right w:val="single" w:sz="4" w:space="0" w:color="auto"/>
            </w:tcBorders>
            <w:shd w:val="clear" w:color="000000" w:fill="CCE8CF"/>
            <w:vAlign w:val="center"/>
            <w:hideMark/>
          </w:tcPr>
          <w:p w:rsidR="00D312AC" w:rsidRPr="00D312AC" w:rsidRDefault="00D312AC" w:rsidP="00D312AC">
            <w:pPr>
              <w:widowControl/>
              <w:jc w:val="center"/>
              <w:rPr>
                <w:rFonts w:ascii="楷体" w:eastAsia="楷体" w:hAnsi="楷体" w:cs="宋体"/>
                <w:color w:val="000000"/>
                <w:kern w:val="0"/>
                <w:sz w:val="24"/>
                <w:szCs w:val="24"/>
              </w:rPr>
            </w:pPr>
            <w:r w:rsidRPr="00D312AC">
              <w:rPr>
                <w:rFonts w:ascii="楷体" w:eastAsia="楷体" w:hAnsi="楷体" w:cs="宋体" w:hint="eastAsia"/>
                <w:color w:val="000000"/>
                <w:kern w:val="0"/>
                <w:sz w:val="24"/>
                <w:szCs w:val="24"/>
              </w:rPr>
              <w:t>进取型</w:t>
            </w:r>
          </w:p>
        </w:tc>
        <w:tc>
          <w:tcPr>
            <w:tcW w:w="2460" w:type="dxa"/>
            <w:tcBorders>
              <w:top w:val="nil"/>
              <w:left w:val="nil"/>
              <w:bottom w:val="single" w:sz="4" w:space="0" w:color="auto"/>
              <w:right w:val="single" w:sz="4" w:space="0" w:color="auto"/>
            </w:tcBorders>
            <w:shd w:val="clear" w:color="000000" w:fill="CCE8CF"/>
            <w:vAlign w:val="center"/>
            <w:hideMark/>
          </w:tcPr>
          <w:p w:rsidR="00D312AC" w:rsidRPr="00D312AC" w:rsidRDefault="00D312AC" w:rsidP="00D312AC">
            <w:pPr>
              <w:widowControl/>
              <w:jc w:val="center"/>
              <w:rPr>
                <w:rFonts w:ascii="楷体" w:eastAsia="楷体" w:hAnsi="楷体" w:cs="宋体"/>
                <w:color w:val="000000"/>
                <w:kern w:val="0"/>
                <w:sz w:val="24"/>
                <w:szCs w:val="24"/>
              </w:rPr>
            </w:pPr>
            <w:r w:rsidRPr="00D312AC">
              <w:rPr>
                <w:rFonts w:ascii="楷体" w:eastAsia="楷体" w:hAnsi="楷体" w:cs="宋体" w:hint="eastAsia"/>
                <w:color w:val="000000"/>
                <w:kern w:val="0"/>
                <w:sz w:val="24"/>
                <w:szCs w:val="24"/>
              </w:rPr>
              <w:t>风险承受</w:t>
            </w:r>
          </w:p>
        </w:tc>
      </w:tr>
    </w:tbl>
    <w:p w:rsidR="00D312AC" w:rsidRPr="00D312AC" w:rsidRDefault="00D312AC" w:rsidP="00D312AC">
      <w:pPr>
        <w:widowControl/>
        <w:jc w:val="left"/>
        <w:rPr>
          <w:rFonts w:ascii="楷体" w:eastAsia="楷体" w:hAnsi="楷体" w:cs="宋体"/>
          <w:color w:val="000000"/>
          <w:kern w:val="0"/>
          <w:sz w:val="24"/>
          <w:szCs w:val="24"/>
        </w:rPr>
      </w:pPr>
      <w:r w:rsidRPr="00D312AC">
        <w:rPr>
          <w:rFonts w:ascii="楷体" w:eastAsia="楷体" w:hAnsi="楷体" w:cs="宋体" w:hint="eastAsia"/>
          <w:color w:val="000000"/>
          <w:kern w:val="0"/>
          <w:sz w:val="24"/>
          <w:szCs w:val="24"/>
        </w:rPr>
        <w:t>（本评级为广东南粤银行股份有限公司内部评级，仅供参考）</w:t>
      </w:r>
    </w:p>
    <w:p w:rsidR="00D312AC" w:rsidRPr="00D312AC" w:rsidRDefault="00D312AC" w:rsidP="00D312AC">
      <w:pPr>
        <w:widowControl/>
        <w:jc w:val="left"/>
        <w:rPr>
          <w:rFonts w:ascii="楷体" w:eastAsia="楷体" w:hAnsi="楷体" w:cs="宋体"/>
          <w:color w:val="000000"/>
          <w:kern w:val="0"/>
          <w:sz w:val="24"/>
          <w:szCs w:val="24"/>
        </w:rPr>
      </w:pPr>
    </w:p>
    <w:p w:rsidR="00D312AC" w:rsidRPr="00D312AC" w:rsidRDefault="00D312AC" w:rsidP="00D312AC">
      <w:pPr>
        <w:widowControl/>
        <w:jc w:val="left"/>
        <w:rPr>
          <w:rFonts w:ascii="楷体" w:eastAsia="楷体" w:hAnsi="楷体" w:cs="宋体"/>
          <w:b/>
          <w:bCs/>
          <w:color w:val="000000"/>
          <w:kern w:val="0"/>
          <w:sz w:val="24"/>
          <w:szCs w:val="24"/>
        </w:rPr>
      </w:pPr>
      <w:r w:rsidRPr="00D312AC">
        <w:rPr>
          <w:rFonts w:ascii="楷体" w:eastAsia="楷体" w:hAnsi="楷体" w:cs="宋体" w:hint="eastAsia"/>
          <w:b/>
          <w:bCs/>
          <w:color w:val="000000"/>
          <w:kern w:val="0"/>
          <w:sz w:val="24"/>
          <w:szCs w:val="24"/>
        </w:rPr>
        <w:t>理财本金与收益测算</w:t>
      </w:r>
    </w:p>
    <w:p w:rsidR="00D312AC" w:rsidRPr="00D312AC" w:rsidRDefault="00D312AC" w:rsidP="00D312AC">
      <w:pPr>
        <w:widowControl/>
        <w:jc w:val="left"/>
        <w:rPr>
          <w:rFonts w:ascii="楷体" w:eastAsia="楷体" w:hAnsi="楷体" w:cs="宋体"/>
          <w:color w:val="000000"/>
          <w:kern w:val="0"/>
          <w:sz w:val="24"/>
          <w:szCs w:val="24"/>
        </w:rPr>
      </w:pPr>
      <w:r w:rsidRPr="00D312AC">
        <w:rPr>
          <w:rFonts w:ascii="楷体" w:eastAsia="楷体" w:hAnsi="楷体" w:cs="宋体" w:hint="eastAsia"/>
          <w:color w:val="000000"/>
          <w:kern w:val="0"/>
          <w:sz w:val="24"/>
          <w:szCs w:val="24"/>
        </w:rPr>
        <w:t xml:space="preserve">    本理财产品不保证本金及收益，广东南粤银行对本理财产品不做出任何保本或收益承诺。</w:t>
      </w:r>
    </w:p>
    <w:p w:rsidR="00D312AC" w:rsidRPr="00D312AC" w:rsidRDefault="00D312AC" w:rsidP="00D312AC">
      <w:pPr>
        <w:widowControl/>
        <w:jc w:val="left"/>
        <w:rPr>
          <w:rFonts w:ascii="楷体" w:eastAsia="楷体" w:hAnsi="楷体" w:cs="宋体"/>
          <w:color w:val="000000"/>
          <w:kern w:val="0"/>
          <w:sz w:val="24"/>
          <w:szCs w:val="24"/>
        </w:rPr>
      </w:pPr>
      <w:r w:rsidRPr="00D312AC">
        <w:rPr>
          <w:rFonts w:ascii="楷体" w:eastAsia="楷体" w:hAnsi="楷体" w:cs="宋体" w:hint="eastAsia"/>
          <w:color w:val="000000"/>
          <w:kern w:val="0"/>
          <w:sz w:val="24"/>
          <w:szCs w:val="24"/>
        </w:rPr>
        <w:t xml:space="preserve">    1、理财计划本金与收益率测算</w:t>
      </w:r>
    </w:p>
    <w:p w:rsidR="00D312AC" w:rsidRPr="00D312AC" w:rsidRDefault="00D312AC" w:rsidP="00D312AC">
      <w:pPr>
        <w:widowControl/>
        <w:jc w:val="left"/>
        <w:rPr>
          <w:rFonts w:ascii="楷体" w:eastAsia="楷体" w:hAnsi="楷体" w:cs="宋体"/>
          <w:color w:val="000000"/>
          <w:kern w:val="0"/>
          <w:sz w:val="24"/>
          <w:szCs w:val="24"/>
        </w:rPr>
      </w:pPr>
      <w:r w:rsidRPr="00D312AC">
        <w:rPr>
          <w:rFonts w:ascii="楷体" w:eastAsia="楷体" w:hAnsi="楷体" w:cs="宋体" w:hint="eastAsia"/>
          <w:color w:val="000000"/>
          <w:kern w:val="0"/>
          <w:sz w:val="24"/>
          <w:szCs w:val="24"/>
        </w:rPr>
        <w:t xml:space="preserve">    （1）收益测算公式：</w:t>
      </w:r>
    </w:p>
    <w:p w:rsidR="00D312AC" w:rsidRPr="00D312AC" w:rsidRDefault="00D312AC" w:rsidP="00D312AC">
      <w:pPr>
        <w:widowControl/>
        <w:jc w:val="left"/>
        <w:rPr>
          <w:rFonts w:ascii="楷体" w:eastAsia="楷体" w:hAnsi="楷体" w:cs="宋体"/>
          <w:color w:val="000000"/>
          <w:kern w:val="0"/>
          <w:sz w:val="24"/>
          <w:szCs w:val="24"/>
        </w:rPr>
      </w:pPr>
      <w:r w:rsidRPr="00D312AC">
        <w:rPr>
          <w:rFonts w:ascii="楷体" w:eastAsia="楷体" w:hAnsi="楷体" w:cs="宋体" w:hint="eastAsia"/>
          <w:color w:val="000000"/>
          <w:kern w:val="0"/>
          <w:sz w:val="24"/>
          <w:szCs w:val="24"/>
        </w:rPr>
        <w:t xml:space="preserve">    本产品收益＝投资收益—投资相关成本</w:t>
      </w:r>
    </w:p>
    <w:p w:rsidR="00D312AC" w:rsidRPr="00D312AC" w:rsidRDefault="00D312AC" w:rsidP="00D312AC">
      <w:pPr>
        <w:widowControl/>
        <w:jc w:val="left"/>
        <w:rPr>
          <w:rFonts w:ascii="楷体" w:eastAsia="楷体" w:hAnsi="楷体" w:cs="宋体"/>
          <w:color w:val="000000"/>
          <w:kern w:val="0"/>
          <w:sz w:val="24"/>
          <w:szCs w:val="24"/>
        </w:rPr>
      </w:pPr>
      <w:r w:rsidRPr="00D312AC">
        <w:rPr>
          <w:rFonts w:ascii="楷体" w:eastAsia="楷体" w:hAnsi="楷体" w:cs="宋体" w:hint="eastAsia"/>
          <w:color w:val="000000"/>
          <w:kern w:val="0"/>
          <w:sz w:val="24"/>
          <w:szCs w:val="24"/>
        </w:rPr>
        <w:t xml:space="preserve">    理财产品到期支付款项=理财产品本金+本产品收益</w:t>
      </w:r>
    </w:p>
    <w:p w:rsidR="00D312AC" w:rsidRPr="00D312AC" w:rsidRDefault="00D312AC" w:rsidP="00D312AC">
      <w:pPr>
        <w:widowControl/>
        <w:jc w:val="left"/>
        <w:rPr>
          <w:rFonts w:ascii="楷体" w:eastAsia="楷体" w:hAnsi="楷体" w:cs="宋体"/>
          <w:color w:val="000000"/>
          <w:kern w:val="0"/>
          <w:sz w:val="24"/>
          <w:szCs w:val="24"/>
        </w:rPr>
      </w:pPr>
      <w:r w:rsidRPr="00D312AC">
        <w:rPr>
          <w:rFonts w:ascii="楷体" w:eastAsia="楷体" w:hAnsi="楷体" w:cs="宋体" w:hint="eastAsia"/>
          <w:color w:val="000000"/>
          <w:kern w:val="0"/>
          <w:sz w:val="24"/>
          <w:szCs w:val="24"/>
        </w:rPr>
        <w:t xml:space="preserve">    （2）收益测算说明：</w:t>
      </w:r>
    </w:p>
    <w:p w:rsidR="00D312AC" w:rsidRPr="00D312AC" w:rsidRDefault="00D312AC" w:rsidP="00D312AC">
      <w:pPr>
        <w:widowControl/>
        <w:jc w:val="left"/>
        <w:rPr>
          <w:rFonts w:ascii="楷体" w:eastAsia="楷体" w:hAnsi="楷体" w:cs="宋体"/>
          <w:color w:val="000000"/>
          <w:kern w:val="0"/>
          <w:sz w:val="24"/>
          <w:szCs w:val="24"/>
        </w:rPr>
      </w:pPr>
      <w:r w:rsidRPr="00D312AC">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D312AC" w:rsidRPr="00D312AC" w:rsidRDefault="00D312AC" w:rsidP="00D312AC">
      <w:pPr>
        <w:widowControl/>
        <w:jc w:val="left"/>
        <w:rPr>
          <w:rFonts w:ascii="楷体" w:eastAsia="楷体" w:hAnsi="楷体" w:cs="宋体"/>
          <w:color w:val="000000"/>
          <w:kern w:val="0"/>
          <w:sz w:val="24"/>
          <w:szCs w:val="24"/>
        </w:rPr>
      </w:pPr>
      <w:r w:rsidRPr="00D312AC">
        <w:rPr>
          <w:rFonts w:ascii="楷体" w:eastAsia="楷体" w:hAnsi="楷体" w:cs="宋体" w:hint="eastAsia"/>
          <w:color w:val="000000"/>
          <w:kern w:val="0"/>
          <w:sz w:val="24"/>
          <w:szCs w:val="24"/>
        </w:rPr>
        <w:t xml:space="preserve">    投资者到期收到款项按四舍五入法保留两位小数。</w:t>
      </w:r>
    </w:p>
    <w:p w:rsidR="00D312AC" w:rsidRPr="00D312AC" w:rsidRDefault="00D312AC" w:rsidP="00D312AC">
      <w:pPr>
        <w:widowControl/>
        <w:jc w:val="left"/>
        <w:rPr>
          <w:rFonts w:ascii="楷体" w:eastAsia="楷体" w:hAnsi="楷体" w:cs="宋体"/>
          <w:color w:val="000000"/>
          <w:kern w:val="0"/>
          <w:sz w:val="24"/>
          <w:szCs w:val="24"/>
        </w:rPr>
      </w:pPr>
      <w:r w:rsidRPr="00D312AC">
        <w:rPr>
          <w:rFonts w:ascii="楷体" w:eastAsia="楷体" w:hAnsi="楷体" w:cs="宋体" w:hint="eastAsia"/>
          <w:color w:val="000000"/>
          <w:kern w:val="0"/>
          <w:sz w:val="24"/>
          <w:szCs w:val="24"/>
        </w:rPr>
        <w:t xml:space="preserve">    2、投资者所得收益说明:</w:t>
      </w:r>
      <w:r w:rsidRPr="00D312AC">
        <w:rPr>
          <w:rFonts w:ascii="楷体" w:eastAsia="楷体" w:hAnsi="楷体" w:cs="宋体" w:hint="eastAsia"/>
          <w:color w:val="FF0000"/>
          <w:kern w:val="0"/>
          <w:sz w:val="24"/>
          <w:szCs w:val="24"/>
        </w:rPr>
        <w:t xml:space="preserve"> </w:t>
      </w:r>
    </w:p>
    <w:p w:rsidR="00D312AC" w:rsidRPr="00D312AC" w:rsidRDefault="00D312AC" w:rsidP="00D312AC">
      <w:pPr>
        <w:widowControl/>
        <w:jc w:val="left"/>
        <w:rPr>
          <w:rFonts w:ascii="楷体" w:eastAsia="楷体" w:hAnsi="楷体" w:cs="宋体"/>
          <w:color w:val="000000"/>
          <w:kern w:val="0"/>
          <w:sz w:val="24"/>
          <w:szCs w:val="24"/>
        </w:rPr>
      </w:pPr>
      <w:r w:rsidRPr="00D312AC">
        <w:rPr>
          <w:rFonts w:ascii="楷体" w:eastAsia="楷体" w:hAnsi="楷体" w:cs="宋体" w:hint="eastAsia"/>
          <w:color w:val="000000"/>
          <w:kern w:val="0"/>
          <w:sz w:val="24"/>
          <w:szCs w:val="24"/>
        </w:rPr>
        <w:t xml:space="preserve">    （1）</w:t>
      </w:r>
      <w:r w:rsidRPr="00D312AC">
        <w:rPr>
          <w:rFonts w:ascii="楷体" w:eastAsia="楷体" w:hAnsi="楷体" w:cs="宋体" w:hint="eastAsia"/>
          <w:kern w:val="0"/>
          <w:sz w:val="24"/>
          <w:szCs w:val="24"/>
        </w:rPr>
        <w:t>当理财计划实现</w:t>
      </w:r>
      <w:proofErr w:type="gramStart"/>
      <w:r w:rsidRPr="00D312AC">
        <w:rPr>
          <w:rFonts w:ascii="楷体" w:eastAsia="楷体" w:hAnsi="楷体" w:cs="宋体" w:hint="eastAsia"/>
          <w:kern w:val="0"/>
          <w:sz w:val="24"/>
          <w:szCs w:val="24"/>
        </w:rPr>
        <w:t>的年化收益率</w:t>
      </w:r>
      <w:proofErr w:type="gramEnd"/>
      <w:r w:rsidRPr="00D312AC">
        <w:rPr>
          <w:rFonts w:ascii="楷体" w:eastAsia="楷体" w:hAnsi="楷体" w:cs="宋体" w:hint="eastAsia"/>
          <w:kern w:val="0"/>
          <w:sz w:val="24"/>
          <w:szCs w:val="24"/>
        </w:rPr>
        <w:t>超出</w:t>
      </w:r>
      <w:proofErr w:type="gramStart"/>
      <w:r w:rsidRPr="00D312AC">
        <w:rPr>
          <w:rFonts w:ascii="楷体" w:eastAsia="楷体" w:hAnsi="楷体" w:cs="宋体" w:hint="eastAsia"/>
          <w:kern w:val="0"/>
          <w:sz w:val="24"/>
          <w:szCs w:val="24"/>
        </w:rPr>
        <w:t>参考年化收益率</w:t>
      </w:r>
      <w:proofErr w:type="gramEnd"/>
      <w:r w:rsidRPr="00D312AC">
        <w:rPr>
          <w:rFonts w:ascii="楷体" w:eastAsia="楷体" w:hAnsi="楷体" w:cs="宋体" w:hint="eastAsia"/>
          <w:kern w:val="0"/>
          <w:sz w:val="24"/>
          <w:szCs w:val="24"/>
        </w:rPr>
        <w:t>时，投资者只能获得本说明书中注明的对应档次</w:t>
      </w:r>
      <w:proofErr w:type="gramStart"/>
      <w:r w:rsidRPr="00D312AC">
        <w:rPr>
          <w:rFonts w:ascii="楷体" w:eastAsia="楷体" w:hAnsi="楷体" w:cs="宋体" w:hint="eastAsia"/>
          <w:kern w:val="0"/>
          <w:sz w:val="24"/>
          <w:szCs w:val="24"/>
        </w:rPr>
        <w:t>参考年化收益率</w:t>
      </w:r>
      <w:proofErr w:type="gramEnd"/>
      <w:r w:rsidRPr="00D312AC">
        <w:rPr>
          <w:rFonts w:ascii="楷体" w:eastAsia="楷体" w:hAnsi="楷体" w:cs="宋体" w:hint="eastAsia"/>
          <w:kern w:val="0"/>
          <w:sz w:val="24"/>
          <w:szCs w:val="24"/>
        </w:rPr>
        <w:t>，超出部分作为广东南粤银行管理费；若小于本说明书中的对应档次的</w:t>
      </w:r>
      <w:proofErr w:type="gramStart"/>
      <w:r w:rsidRPr="00D312AC">
        <w:rPr>
          <w:rFonts w:ascii="楷体" w:eastAsia="楷体" w:hAnsi="楷体" w:cs="宋体" w:hint="eastAsia"/>
          <w:kern w:val="0"/>
          <w:sz w:val="24"/>
          <w:szCs w:val="24"/>
        </w:rPr>
        <w:t>参考年化收益率</w:t>
      </w:r>
      <w:proofErr w:type="gramEnd"/>
      <w:r w:rsidRPr="00D312AC">
        <w:rPr>
          <w:rFonts w:ascii="楷体" w:eastAsia="楷体" w:hAnsi="楷体" w:cs="宋体" w:hint="eastAsia"/>
          <w:kern w:val="0"/>
          <w:sz w:val="24"/>
          <w:szCs w:val="24"/>
        </w:rPr>
        <w:t>，投资者到</w:t>
      </w:r>
      <w:proofErr w:type="gramStart"/>
      <w:r w:rsidRPr="00D312AC">
        <w:rPr>
          <w:rFonts w:ascii="楷体" w:eastAsia="楷体" w:hAnsi="楷体" w:cs="宋体" w:hint="eastAsia"/>
          <w:kern w:val="0"/>
          <w:sz w:val="24"/>
          <w:szCs w:val="24"/>
        </w:rPr>
        <w:t>期年化</w:t>
      </w:r>
      <w:proofErr w:type="gramEnd"/>
      <w:r w:rsidRPr="00D312AC">
        <w:rPr>
          <w:rFonts w:ascii="楷体" w:eastAsia="楷体" w:hAnsi="楷体" w:cs="宋体" w:hint="eastAsia"/>
          <w:kern w:val="0"/>
          <w:sz w:val="24"/>
          <w:szCs w:val="24"/>
        </w:rPr>
        <w:t>收益率则根据资产实际回收情况计算。</w:t>
      </w:r>
    </w:p>
    <w:p w:rsidR="00D312AC" w:rsidRPr="00D312AC" w:rsidRDefault="00D312AC" w:rsidP="00D312AC">
      <w:pPr>
        <w:widowControl/>
        <w:jc w:val="left"/>
        <w:rPr>
          <w:rFonts w:ascii="楷体" w:eastAsia="楷体" w:hAnsi="楷体" w:cs="宋体"/>
          <w:color w:val="000000"/>
          <w:kern w:val="0"/>
          <w:sz w:val="24"/>
          <w:szCs w:val="24"/>
        </w:rPr>
      </w:pPr>
      <w:r w:rsidRPr="00D312AC">
        <w:rPr>
          <w:rFonts w:ascii="楷体" w:eastAsia="楷体" w:hAnsi="楷体" w:cs="宋体" w:hint="eastAsia"/>
          <w:color w:val="000000"/>
          <w:kern w:val="0"/>
          <w:sz w:val="24"/>
          <w:szCs w:val="24"/>
        </w:rPr>
        <w:t xml:space="preserve">    计算公式：</w:t>
      </w:r>
    </w:p>
    <w:p w:rsidR="00D312AC" w:rsidRPr="00D312AC" w:rsidRDefault="00D312AC" w:rsidP="00D312AC">
      <w:pPr>
        <w:widowControl/>
        <w:jc w:val="left"/>
        <w:rPr>
          <w:rFonts w:ascii="楷体" w:eastAsia="楷体" w:hAnsi="楷体" w:cs="宋体"/>
          <w:color w:val="000000"/>
          <w:kern w:val="0"/>
          <w:sz w:val="24"/>
          <w:szCs w:val="24"/>
        </w:rPr>
      </w:pPr>
      <w:r w:rsidRPr="00D312AC">
        <w:rPr>
          <w:rFonts w:ascii="楷体" w:eastAsia="楷体" w:hAnsi="楷体" w:cs="宋体" w:hint="eastAsia"/>
          <w:color w:val="000000"/>
          <w:kern w:val="0"/>
          <w:sz w:val="24"/>
          <w:szCs w:val="24"/>
        </w:rPr>
        <w:t xml:space="preserve">    投资者理财收益=理财本金×投资者到</w:t>
      </w:r>
      <w:proofErr w:type="gramStart"/>
      <w:r w:rsidRPr="00D312AC">
        <w:rPr>
          <w:rFonts w:ascii="楷体" w:eastAsia="楷体" w:hAnsi="楷体" w:cs="宋体" w:hint="eastAsia"/>
          <w:color w:val="000000"/>
          <w:kern w:val="0"/>
          <w:sz w:val="24"/>
          <w:szCs w:val="24"/>
        </w:rPr>
        <w:t>期年化</w:t>
      </w:r>
      <w:proofErr w:type="gramEnd"/>
      <w:r w:rsidRPr="00D312AC">
        <w:rPr>
          <w:rFonts w:ascii="楷体" w:eastAsia="楷体" w:hAnsi="楷体" w:cs="宋体" w:hint="eastAsia"/>
          <w:color w:val="000000"/>
          <w:kern w:val="0"/>
          <w:sz w:val="24"/>
          <w:szCs w:val="24"/>
        </w:rPr>
        <w:t>收益率×实际理财天数/365</w:t>
      </w:r>
    </w:p>
    <w:p w:rsidR="00D312AC" w:rsidRPr="00D312AC" w:rsidRDefault="00D312AC" w:rsidP="00D312AC">
      <w:pPr>
        <w:widowControl/>
        <w:jc w:val="left"/>
        <w:rPr>
          <w:rFonts w:ascii="楷体" w:eastAsia="楷体" w:hAnsi="楷体" w:cs="宋体"/>
          <w:color w:val="000000"/>
          <w:kern w:val="0"/>
          <w:sz w:val="24"/>
          <w:szCs w:val="24"/>
        </w:rPr>
      </w:pPr>
      <w:r w:rsidRPr="00D312AC">
        <w:rPr>
          <w:rFonts w:ascii="楷体" w:eastAsia="楷体" w:hAnsi="楷体" w:cs="宋体" w:hint="eastAsia"/>
          <w:color w:val="000000"/>
          <w:kern w:val="0"/>
          <w:sz w:val="24"/>
          <w:szCs w:val="24"/>
        </w:rPr>
        <w:t xml:space="preserve">    （2）计算示例： </w:t>
      </w:r>
    </w:p>
    <w:p w:rsidR="00D312AC" w:rsidRPr="00D312AC" w:rsidRDefault="00D312AC" w:rsidP="00D312AC">
      <w:pPr>
        <w:widowControl/>
        <w:jc w:val="left"/>
        <w:rPr>
          <w:rFonts w:ascii="楷体" w:eastAsia="楷体" w:hAnsi="楷体" w:cs="宋体"/>
          <w:color w:val="000000"/>
          <w:kern w:val="0"/>
          <w:sz w:val="24"/>
          <w:szCs w:val="24"/>
        </w:rPr>
      </w:pPr>
      <w:r w:rsidRPr="00D312AC">
        <w:rPr>
          <w:rFonts w:ascii="楷体" w:eastAsia="楷体" w:hAnsi="楷体" w:cs="宋体" w:hint="eastAsia"/>
          <w:color w:val="000000"/>
          <w:kern w:val="0"/>
          <w:sz w:val="24"/>
          <w:szCs w:val="24"/>
        </w:rPr>
        <w:t xml:space="preserve">    假设客户理财本金为50,000元，对应档次的预期最高</w:t>
      </w:r>
      <w:proofErr w:type="gramStart"/>
      <w:r w:rsidRPr="00D312AC">
        <w:rPr>
          <w:rFonts w:ascii="楷体" w:eastAsia="楷体" w:hAnsi="楷体" w:cs="宋体" w:hint="eastAsia"/>
          <w:color w:val="000000"/>
          <w:kern w:val="0"/>
          <w:sz w:val="24"/>
          <w:szCs w:val="24"/>
        </w:rPr>
        <w:t>年化参考</w:t>
      </w:r>
      <w:proofErr w:type="gramEnd"/>
      <w:r w:rsidRPr="00D312AC">
        <w:rPr>
          <w:rFonts w:ascii="楷体" w:eastAsia="楷体" w:hAnsi="楷体" w:cs="宋体" w:hint="eastAsia"/>
          <w:color w:val="000000"/>
          <w:kern w:val="0"/>
          <w:sz w:val="24"/>
          <w:szCs w:val="24"/>
        </w:rPr>
        <w:t>收益率为5.25%，实际理财天数364天，</w:t>
      </w:r>
    </w:p>
    <w:p w:rsidR="00D312AC" w:rsidRPr="00D312AC" w:rsidRDefault="00D312AC" w:rsidP="00D312AC">
      <w:pPr>
        <w:widowControl/>
        <w:jc w:val="left"/>
        <w:rPr>
          <w:rFonts w:ascii="楷体" w:eastAsia="楷体" w:hAnsi="楷体" w:cs="宋体"/>
          <w:color w:val="000000"/>
          <w:kern w:val="0"/>
          <w:sz w:val="24"/>
          <w:szCs w:val="24"/>
        </w:rPr>
      </w:pPr>
      <w:r w:rsidRPr="00D312AC">
        <w:rPr>
          <w:rFonts w:ascii="楷体" w:eastAsia="楷体" w:hAnsi="楷体" w:cs="宋体" w:hint="eastAsia"/>
          <w:color w:val="000000"/>
          <w:kern w:val="0"/>
          <w:sz w:val="24"/>
          <w:szCs w:val="24"/>
        </w:rPr>
        <w:t xml:space="preserve">    A:若客户理财产品到期实现</w:t>
      </w:r>
      <w:proofErr w:type="gramStart"/>
      <w:r w:rsidRPr="00D312AC">
        <w:rPr>
          <w:rFonts w:ascii="楷体" w:eastAsia="楷体" w:hAnsi="楷体" w:cs="宋体" w:hint="eastAsia"/>
          <w:color w:val="000000"/>
          <w:kern w:val="0"/>
          <w:sz w:val="24"/>
          <w:szCs w:val="24"/>
        </w:rPr>
        <w:t>的年化收益率</w:t>
      </w:r>
      <w:proofErr w:type="gramEnd"/>
      <w:r w:rsidRPr="00D312AC">
        <w:rPr>
          <w:rFonts w:ascii="楷体" w:eastAsia="楷体" w:hAnsi="楷体" w:cs="宋体" w:hint="eastAsia"/>
          <w:color w:val="000000"/>
          <w:kern w:val="0"/>
          <w:sz w:val="24"/>
          <w:szCs w:val="24"/>
        </w:rPr>
        <w:t>为5.35%，则投资者的理财收益为：</w:t>
      </w:r>
    </w:p>
    <w:p w:rsidR="00D312AC" w:rsidRPr="00D312AC" w:rsidRDefault="00D312AC" w:rsidP="00D312AC">
      <w:pPr>
        <w:widowControl/>
        <w:jc w:val="left"/>
        <w:rPr>
          <w:rFonts w:ascii="楷体" w:eastAsia="楷体" w:hAnsi="楷体" w:cs="宋体"/>
          <w:color w:val="000000"/>
          <w:kern w:val="0"/>
          <w:sz w:val="24"/>
          <w:szCs w:val="24"/>
        </w:rPr>
      </w:pPr>
      <w:r w:rsidRPr="00D312AC">
        <w:rPr>
          <w:rFonts w:ascii="楷体" w:eastAsia="楷体" w:hAnsi="楷体" w:cs="宋体" w:hint="eastAsia"/>
          <w:color w:val="000000"/>
          <w:kern w:val="0"/>
          <w:sz w:val="24"/>
          <w:szCs w:val="24"/>
        </w:rPr>
        <w:t xml:space="preserve">    投资者的理财收益=50,000×5.25%×364/365= 2,617.81元</w:t>
      </w:r>
    </w:p>
    <w:p w:rsidR="00D312AC" w:rsidRPr="00D312AC" w:rsidRDefault="00D312AC" w:rsidP="00D312AC">
      <w:pPr>
        <w:widowControl/>
        <w:jc w:val="left"/>
        <w:rPr>
          <w:rFonts w:ascii="楷体" w:eastAsia="楷体" w:hAnsi="楷体" w:cs="宋体"/>
          <w:color w:val="000000"/>
          <w:kern w:val="0"/>
          <w:sz w:val="24"/>
          <w:szCs w:val="24"/>
        </w:rPr>
      </w:pPr>
      <w:r w:rsidRPr="00D312AC">
        <w:rPr>
          <w:rFonts w:ascii="楷体" w:eastAsia="楷体" w:hAnsi="楷体" w:cs="宋体" w:hint="eastAsia"/>
          <w:color w:val="000000"/>
          <w:kern w:val="0"/>
          <w:sz w:val="24"/>
          <w:szCs w:val="24"/>
        </w:rPr>
        <w:t xml:space="preserve">    B:若客户理财产品到期实现</w:t>
      </w:r>
      <w:proofErr w:type="gramStart"/>
      <w:r w:rsidRPr="00D312AC">
        <w:rPr>
          <w:rFonts w:ascii="楷体" w:eastAsia="楷体" w:hAnsi="楷体" w:cs="宋体" w:hint="eastAsia"/>
          <w:color w:val="000000"/>
          <w:kern w:val="0"/>
          <w:sz w:val="24"/>
          <w:szCs w:val="24"/>
        </w:rPr>
        <w:t>的年化收益率</w:t>
      </w:r>
      <w:proofErr w:type="gramEnd"/>
      <w:r w:rsidRPr="00D312AC">
        <w:rPr>
          <w:rFonts w:ascii="楷体" w:eastAsia="楷体" w:hAnsi="楷体" w:cs="宋体" w:hint="eastAsia"/>
          <w:color w:val="000000"/>
          <w:kern w:val="0"/>
          <w:sz w:val="24"/>
          <w:szCs w:val="24"/>
        </w:rPr>
        <w:t>为5.15%，则投资者的理财收益为：</w:t>
      </w:r>
    </w:p>
    <w:p w:rsidR="00D312AC" w:rsidRPr="00D312AC" w:rsidRDefault="00D312AC" w:rsidP="00D312AC">
      <w:pPr>
        <w:widowControl/>
        <w:jc w:val="left"/>
        <w:rPr>
          <w:rFonts w:ascii="楷体" w:eastAsia="楷体" w:hAnsi="楷体" w:cs="宋体"/>
          <w:color w:val="000000"/>
          <w:kern w:val="0"/>
          <w:sz w:val="24"/>
          <w:szCs w:val="24"/>
        </w:rPr>
      </w:pPr>
      <w:r w:rsidRPr="00D312AC">
        <w:rPr>
          <w:rFonts w:ascii="楷体" w:eastAsia="楷体" w:hAnsi="楷体" w:cs="宋体" w:hint="eastAsia"/>
          <w:color w:val="000000"/>
          <w:kern w:val="0"/>
          <w:sz w:val="24"/>
          <w:szCs w:val="24"/>
        </w:rPr>
        <w:t xml:space="preserve">    投资者的理财收益=50,000×5.15%×364/365= 2,567.95元</w:t>
      </w:r>
    </w:p>
    <w:p w:rsidR="00D312AC" w:rsidRPr="00D312AC" w:rsidRDefault="00D312AC" w:rsidP="00D312AC">
      <w:pPr>
        <w:widowControl/>
        <w:jc w:val="left"/>
        <w:rPr>
          <w:rFonts w:ascii="楷体" w:eastAsia="楷体" w:hAnsi="楷体" w:cs="宋体"/>
          <w:color w:val="000000"/>
          <w:kern w:val="0"/>
          <w:sz w:val="24"/>
          <w:szCs w:val="24"/>
        </w:rPr>
      </w:pPr>
      <w:r w:rsidRPr="00D312AC">
        <w:rPr>
          <w:rFonts w:ascii="楷体" w:eastAsia="楷体" w:hAnsi="楷体" w:cs="宋体" w:hint="eastAsia"/>
          <w:color w:val="000000"/>
          <w:kern w:val="0"/>
          <w:sz w:val="24"/>
          <w:szCs w:val="24"/>
        </w:rPr>
        <w:t xml:space="preserve">    （上述示例数据均采用假设数据计算，测算收益不等于实际收益，投资须谨慎）</w:t>
      </w:r>
    </w:p>
    <w:p w:rsidR="00D312AC" w:rsidRPr="00D312AC" w:rsidRDefault="00D312AC" w:rsidP="00D312AC">
      <w:pPr>
        <w:widowControl/>
        <w:jc w:val="left"/>
        <w:rPr>
          <w:rFonts w:ascii="楷体" w:eastAsia="楷体" w:hAnsi="楷体" w:cs="宋体"/>
          <w:b/>
          <w:bCs/>
          <w:color w:val="000000"/>
          <w:kern w:val="0"/>
          <w:sz w:val="24"/>
          <w:szCs w:val="24"/>
        </w:rPr>
      </w:pPr>
      <w:r w:rsidRPr="00D312AC">
        <w:rPr>
          <w:rFonts w:ascii="楷体" w:eastAsia="楷体" w:hAnsi="楷体" w:cs="宋体" w:hint="eastAsia"/>
          <w:b/>
          <w:bCs/>
          <w:color w:val="000000"/>
          <w:kern w:val="0"/>
          <w:sz w:val="24"/>
          <w:szCs w:val="24"/>
        </w:rPr>
        <w:lastRenderedPageBreak/>
        <w:t>提前终止及到期清算</w:t>
      </w:r>
    </w:p>
    <w:p w:rsidR="00D312AC" w:rsidRPr="00D312AC" w:rsidRDefault="00D312AC" w:rsidP="00D312AC">
      <w:pPr>
        <w:widowControl/>
        <w:jc w:val="left"/>
        <w:rPr>
          <w:rFonts w:ascii="楷体" w:eastAsia="楷体" w:hAnsi="楷体" w:cs="宋体"/>
          <w:color w:val="000000"/>
          <w:kern w:val="0"/>
          <w:sz w:val="24"/>
          <w:szCs w:val="24"/>
        </w:rPr>
      </w:pPr>
      <w:r w:rsidRPr="00D312AC">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w:t>
      </w:r>
      <w:proofErr w:type="gramStart"/>
      <w:r w:rsidRPr="00D312AC">
        <w:rPr>
          <w:rFonts w:ascii="楷体" w:eastAsia="楷体" w:hAnsi="楷体" w:cs="宋体" w:hint="eastAsia"/>
          <w:color w:val="000000"/>
          <w:kern w:val="0"/>
          <w:sz w:val="24"/>
          <w:szCs w:val="24"/>
        </w:rPr>
        <w:t>遇政策</w:t>
      </w:r>
      <w:proofErr w:type="gramEnd"/>
      <w:r w:rsidRPr="00D312AC">
        <w:rPr>
          <w:rFonts w:ascii="楷体" w:eastAsia="楷体" w:hAnsi="楷体" w:cs="宋体" w:hint="eastAsia"/>
          <w:color w:val="000000"/>
          <w:kern w:val="0"/>
          <w:sz w:val="24"/>
          <w:szCs w:val="24"/>
        </w:rPr>
        <w:t>调整、市场变化致使预期收益率无法达到的情况下，广东南粤银行有权停止销售并退还本金，期间认购资金按同期活期利率计算利息。</w:t>
      </w:r>
    </w:p>
    <w:p w:rsidR="00D312AC" w:rsidRPr="00D312AC" w:rsidRDefault="00D312AC" w:rsidP="00D312AC">
      <w:pPr>
        <w:widowControl/>
        <w:jc w:val="left"/>
        <w:rPr>
          <w:rFonts w:ascii="楷体" w:eastAsia="楷体" w:hAnsi="楷体" w:cs="宋体"/>
          <w:color w:val="000000"/>
          <w:kern w:val="0"/>
          <w:sz w:val="24"/>
          <w:szCs w:val="24"/>
        </w:rPr>
      </w:pPr>
      <w:r w:rsidRPr="00D312AC">
        <w:rPr>
          <w:rFonts w:ascii="楷体" w:eastAsia="楷体" w:hAnsi="楷体" w:cs="宋体" w:hint="eastAsia"/>
          <w:color w:val="000000"/>
          <w:kern w:val="0"/>
          <w:sz w:val="24"/>
          <w:szCs w:val="24"/>
        </w:rPr>
        <w:t xml:space="preserve">    2、到期清算日：2017年1月11日至2017年1月12日期间，逢假期顺延。适用假期：中国公众假期。清算期</w:t>
      </w:r>
      <w:proofErr w:type="gramStart"/>
      <w:r w:rsidRPr="00D312AC">
        <w:rPr>
          <w:rFonts w:ascii="楷体" w:eastAsia="楷体" w:hAnsi="楷体" w:cs="宋体" w:hint="eastAsia"/>
          <w:color w:val="000000"/>
          <w:kern w:val="0"/>
          <w:sz w:val="24"/>
          <w:szCs w:val="24"/>
        </w:rPr>
        <w:t>内本理财</w:t>
      </w:r>
      <w:proofErr w:type="gramEnd"/>
      <w:r w:rsidRPr="00D312AC">
        <w:rPr>
          <w:rFonts w:ascii="楷体" w:eastAsia="楷体" w:hAnsi="楷体" w:cs="宋体" w:hint="eastAsia"/>
          <w:color w:val="000000"/>
          <w:kern w:val="0"/>
          <w:sz w:val="24"/>
          <w:szCs w:val="24"/>
        </w:rPr>
        <w:t>计划不计息。</w:t>
      </w:r>
    </w:p>
    <w:p w:rsidR="00D312AC" w:rsidRPr="00D312AC" w:rsidRDefault="00D312AC" w:rsidP="00D312AC">
      <w:pPr>
        <w:widowControl/>
        <w:jc w:val="left"/>
        <w:rPr>
          <w:rFonts w:ascii="楷体" w:eastAsia="楷体" w:hAnsi="楷体" w:cs="宋体"/>
          <w:color w:val="000000"/>
          <w:kern w:val="0"/>
          <w:sz w:val="24"/>
          <w:szCs w:val="24"/>
        </w:rPr>
      </w:pPr>
    </w:p>
    <w:p w:rsidR="00D312AC" w:rsidRPr="00D312AC" w:rsidRDefault="00D312AC" w:rsidP="00D312AC">
      <w:pPr>
        <w:widowControl/>
        <w:jc w:val="left"/>
        <w:rPr>
          <w:rFonts w:ascii="楷体" w:eastAsia="楷体" w:hAnsi="楷体" w:cs="宋体"/>
          <w:b/>
          <w:bCs/>
          <w:color w:val="000000"/>
          <w:kern w:val="0"/>
          <w:sz w:val="24"/>
          <w:szCs w:val="24"/>
        </w:rPr>
      </w:pPr>
      <w:r w:rsidRPr="00D312AC">
        <w:rPr>
          <w:rFonts w:ascii="楷体" w:eastAsia="楷体" w:hAnsi="楷体" w:cs="宋体" w:hint="eastAsia"/>
          <w:b/>
          <w:bCs/>
          <w:color w:val="000000"/>
          <w:kern w:val="0"/>
          <w:sz w:val="24"/>
          <w:szCs w:val="24"/>
        </w:rPr>
        <w:t>信息披露及投诉方式</w:t>
      </w:r>
    </w:p>
    <w:p w:rsidR="00D312AC" w:rsidRPr="00D312AC" w:rsidRDefault="00D312AC" w:rsidP="00D312AC">
      <w:pPr>
        <w:widowControl/>
        <w:jc w:val="left"/>
        <w:rPr>
          <w:rFonts w:ascii="楷体" w:eastAsia="楷体" w:hAnsi="楷体" w:cs="宋体"/>
          <w:color w:val="000000"/>
          <w:kern w:val="0"/>
          <w:sz w:val="24"/>
          <w:szCs w:val="24"/>
        </w:rPr>
      </w:pPr>
      <w:r w:rsidRPr="00D312AC">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D312AC" w:rsidRPr="00D312AC" w:rsidRDefault="00D312AC" w:rsidP="00D312AC">
      <w:pPr>
        <w:widowControl/>
        <w:jc w:val="left"/>
        <w:rPr>
          <w:rFonts w:ascii="楷体" w:eastAsia="楷体" w:hAnsi="楷体" w:cs="宋体"/>
          <w:color w:val="000000"/>
          <w:kern w:val="0"/>
          <w:sz w:val="24"/>
          <w:szCs w:val="24"/>
        </w:rPr>
      </w:pPr>
      <w:r w:rsidRPr="00D312AC">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D312AC" w:rsidRPr="00D312AC" w:rsidRDefault="00D312AC" w:rsidP="00D312AC">
      <w:pPr>
        <w:widowControl/>
        <w:jc w:val="left"/>
        <w:rPr>
          <w:rFonts w:ascii="楷体" w:eastAsia="楷体" w:hAnsi="楷体" w:cs="宋体"/>
          <w:color w:val="000000"/>
          <w:kern w:val="0"/>
          <w:sz w:val="24"/>
          <w:szCs w:val="24"/>
        </w:rPr>
      </w:pPr>
      <w:r w:rsidRPr="00D312AC">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D312AC" w:rsidRPr="00D312AC" w:rsidRDefault="00D312AC" w:rsidP="00D312AC">
      <w:pPr>
        <w:widowControl/>
        <w:jc w:val="left"/>
        <w:rPr>
          <w:rFonts w:ascii="楷体" w:eastAsia="楷体" w:hAnsi="楷体" w:cs="宋体"/>
          <w:color w:val="000000"/>
          <w:kern w:val="0"/>
          <w:sz w:val="24"/>
          <w:szCs w:val="24"/>
        </w:rPr>
      </w:pPr>
    </w:p>
    <w:p w:rsidR="00D312AC" w:rsidRPr="00D312AC" w:rsidRDefault="00D312AC" w:rsidP="00D312AC">
      <w:pPr>
        <w:widowControl/>
        <w:jc w:val="right"/>
        <w:rPr>
          <w:rFonts w:ascii="楷体" w:eastAsia="楷体" w:hAnsi="楷体" w:cs="宋体"/>
          <w:color w:val="000000"/>
          <w:kern w:val="0"/>
          <w:sz w:val="24"/>
          <w:szCs w:val="24"/>
        </w:rPr>
      </w:pPr>
      <w:r w:rsidRPr="00D312AC">
        <w:rPr>
          <w:rFonts w:ascii="楷体" w:eastAsia="楷体" w:hAnsi="楷体" w:cs="宋体" w:hint="eastAsia"/>
          <w:color w:val="000000"/>
          <w:kern w:val="0"/>
          <w:sz w:val="24"/>
          <w:szCs w:val="24"/>
        </w:rPr>
        <w:t>广东南粤银行股份有限公司</w:t>
      </w:r>
    </w:p>
    <w:p w:rsidR="000A05C8" w:rsidRPr="00D312AC" w:rsidRDefault="000A05C8" w:rsidP="00D312AC"/>
    <w:sectPr w:rsidR="000A05C8" w:rsidRPr="00D312A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812" w:rsidRDefault="00934812" w:rsidP="00EA5E72">
      <w:r>
        <w:separator/>
      </w:r>
    </w:p>
  </w:endnote>
  <w:endnote w:type="continuationSeparator" w:id="0">
    <w:p w:rsidR="00934812" w:rsidRDefault="00934812" w:rsidP="00EA5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1060619"/>
      <w:docPartObj>
        <w:docPartGallery w:val="Page Numbers (Bottom of Page)"/>
        <w:docPartUnique/>
      </w:docPartObj>
    </w:sdtPr>
    <w:sdtContent>
      <w:p w:rsidR="00EA5E72" w:rsidRDefault="00EA5E72">
        <w:pPr>
          <w:pStyle w:val="a4"/>
          <w:jc w:val="center"/>
        </w:pPr>
        <w:r>
          <w:fldChar w:fldCharType="begin"/>
        </w:r>
        <w:r>
          <w:instrText>PAGE   \* MERGEFORMAT</w:instrText>
        </w:r>
        <w:r>
          <w:fldChar w:fldCharType="separate"/>
        </w:r>
        <w:r w:rsidR="00D312AC" w:rsidRPr="00D312AC">
          <w:rPr>
            <w:noProof/>
            <w:lang w:val="zh-CN"/>
          </w:rPr>
          <w:t>1</w:t>
        </w:r>
        <w:r>
          <w:fldChar w:fldCharType="end"/>
        </w:r>
      </w:p>
    </w:sdtContent>
  </w:sdt>
  <w:p w:rsidR="00EA5E72" w:rsidRDefault="00EA5E7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812" w:rsidRDefault="00934812" w:rsidP="00EA5E72">
      <w:r>
        <w:separator/>
      </w:r>
    </w:p>
  </w:footnote>
  <w:footnote w:type="continuationSeparator" w:id="0">
    <w:p w:rsidR="00934812" w:rsidRDefault="00934812" w:rsidP="00EA5E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BAC"/>
    <w:rsid w:val="00025BAC"/>
    <w:rsid w:val="000A05C8"/>
    <w:rsid w:val="003C66CE"/>
    <w:rsid w:val="00934812"/>
    <w:rsid w:val="00D312AC"/>
    <w:rsid w:val="00DD0D2F"/>
    <w:rsid w:val="00EA5E72"/>
    <w:rsid w:val="00EF5D00"/>
    <w:rsid w:val="00F949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A5E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A5E72"/>
    <w:rPr>
      <w:sz w:val="18"/>
      <w:szCs w:val="18"/>
    </w:rPr>
  </w:style>
  <w:style w:type="paragraph" w:styleId="a4">
    <w:name w:val="footer"/>
    <w:basedOn w:val="a"/>
    <w:link w:val="Char0"/>
    <w:uiPriority w:val="99"/>
    <w:unhideWhenUsed/>
    <w:rsid w:val="00EA5E72"/>
    <w:pPr>
      <w:tabs>
        <w:tab w:val="center" w:pos="4153"/>
        <w:tab w:val="right" w:pos="8306"/>
      </w:tabs>
      <w:snapToGrid w:val="0"/>
      <w:jc w:val="left"/>
    </w:pPr>
    <w:rPr>
      <w:sz w:val="18"/>
      <w:szCs w:val="18"/>
    </w:rPr>
  </w:style>
  <w:style w:type="character" w:customStyle="1" w:styleId="Char0">
    <w:name w:val="页脚 Char"/>
    <w:basedOn w:val="a0"/>
    <w:link w:val="a4"/>
    <w:uiPriority w:val="99"/>
    <w:rsid w:val="00EA5E7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A5E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A5E72"/>
    <w:rPr>
      <w:sz w:val="18"/>
      <w:szCs w:val="18"/>
    </w:rPr>
  </w:style>
  <w:style w:type="paragraph" w:styleId="a4">
    <w:name w:val="footer"/>
    <w:basedOn w:val="a"/>
    <w:link w:val="Char0"/>
    <w:uiPriority w:val="99"/>
    <w:unhideWhenUsed/>
    <w:rsid w:val="00EA5E72"/>
    <w:pPr>
      <w:tabs>
        <w:tab w:val="center" w:pos="4153"/>
        <w:tab w:val="right" w:pos="8306"/>
      </w:tabs>
      <w:snapToGrid w:val="0"/>
      <w:jc w:val="left"/>
    </w:pPr>
    <w:rPr>
      <w:sz w:val="18"/>
      <w:szCs w:val="18"/>
    </w:rPr>
  </w:style>
  <w:style w:type="character" w:customStyle="1" w:styleId="Char0">
    <w:name w:val="页脚 Char"/>
    <w:basedOn w:val="a0"/>
    <w:link w:val="a4"/>
    <w:uiPriority w:val="99"/>
    <w:rsid w:val="00EA5E7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633026">
      <w:bodyDiv w:val="1"/>
      <w:marLeft w:val="0"/>
      <w:marRight w:val="0"/>
      <w:marTop w:val="0"/>
      <w:marBottom w:val="0"/>
      <w:divBdr>
        <w:top w:val="none" w:sz="0" w:space="0" w:color="auto"/>
        <w:left w:val="none" w:sz="0" w:space="0" w:color="auto"/>
        <w:bottom w:val="none" w:sz="0" w:space="0" w:color="auto"/>
        <w:right w:val="none" w:sz="0" w:space="0" w:color="auto"/>
      </w:divBdr>
    </w:div>
    <w:div w:id="1395858013">
      <w:bodyDiv w:val="1"/>
      <w:marLeft w:val="0"/>
      <w:marRight w:val="0"/>
      <w:marTop w:val="0"/>
      <w:marBottom w:val="0"/>
      <w:divBdr>
        <w:top w:val="none" w:sz="0" w:space="0" w:color="auto"/>
        <w:left w:val="none" w:sz="0" w:space="0" w:color="auto"/>
        <w:bottom w:val="none" w:sz="0" w:space="0" w:color="auto"/>
        <w:right w:val="none" w:sz="0" w:space="0" w:color="auto"/>
      </w:divBdr>
    </w:div>
    <w:div w:id="1507860646">
      <w:bodyDiv w:val="1"/>
      <w:marLeft w:val="0"/>
      <w:marRight w:val="0"/>
      <w:marTop w:val="0"/>
      <w:marBottom w:val="0"/>
      <w:divBdr>
        <w:top w:val="none" w:sz="0" w:space="0" w:color="auto"/>
        <w:left w:val="none" w:sz="0" w:space="0" w:color="auto"/>
        <w:bottom w:val="none" w:sz="0" w:space="0" w:color="auto"/>
        <w:right w:val="none" w:sz="0" w:space="0" w:color="auto"/>
      </w:divBdr>
    </w:div>
    <w:div w:id="192460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564</Words>
  <Characters>3219</Characters>
  <Application>Microsoft Office Word</Application>
  <DocSecurity>0</DocSecurity>
  <Lines>26</Lines>
  <Paragraphs>7</Paragraphs>
  <ScaleCrop>false</ScaleCrop>
  <Company>china</Company>
  <LinksUpToDate>false</LinksUpToDate>
  <CharactersWithSpaces>3776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2016-01-04T08:43:00Z</dcterms:created>
  <dcterms:modified xsi:type="dcterms:W3CDTF">2016-01-04T08:43:00Z</dcterms:modified>
</cp:coreProperties>
</file>