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jc w:val="center"/>
        <w:rPr>
          <w:rFonts w:ascii="宋体" w:hAnsi="宋体" w:cs="宋体"/>
          <w:color w:val="000000"/>
          <w:kern w:val="0"/>
          <w:sz w:val="32"/>
          <w:szCs w:val="32"/>
        </w:rPr>
      </w:pPr>
      <w:r>
        <w:rPr>
          <w:rFonts w:hint="eastAsia" w:ascii="宋体" w:hAnsi="宋体" w:cs="宋体"/>
          <w:color w:val="000000"/>
          <w:kern w:val="0"/>
          <w:sz w:val="32"/>
          <w:szCs w:val="32"/>
        </w:rPr>
        <w:t>广东南粤银行“宝盈天利”开放式保本型</w:t>
      </w:r>
    </w:p>
    <w:p>
      <w:pPr>
        <w:spacing w:line="360" w:lineRule="auto"/>
        <w:jc w:val="center"/>
        <w:rPr>
          <w:rFonts w:ascii="宋体" w:hAnsi="宋体" w:cs="宋体"/>
          <w:color w:val="000000"/>
          <w:kern w:val="0"/>
          <w:sz w:val="32"/>
          <w:szCs w:val="32"/>
        </w:rPr>
      </w:pPr>
      <w:r>
        <w:rPr>
          <w:rFonts w:hint="eastAsia" w:ascii="宋体" w:hAnsi="宋体" w:cs="宋体"/>
          <w:color w:val="000000"/>
          <w:kern w:val="0"/>
          <w:sz w:val="32"/>
          <w:szCs w:val="32"/>
        </w:rPr>
        <w:t>人民币理财产品说明书</w:t>
      </w:r>
    </w:p>
    <w:p>
      <w:pPr>
        <w:widowControl/>
        <w:spacing w:line="520" w:lineRule="exact"/>
        <w:ind w:firstLine="472" w:firstLineChars="196"/>
        <w:jc w:val="left"/>
        <w:rPr>
          <w:rFonts w:ascii="宋体" w:hAnsi="宋体" w:cs="宋体"/>
          <w:b/>
          <w:bCs/>
          <w:color w:val="000000"/>
          <w:kern w:val="0"/>
          <w:sz w:val="24"/>
        </w:rPr>
      </w:pPr>
      <w:r>
        <w:rPr>
          <w:rFonts w:hint="eastAsia" w:ascii="宋体" w:hAnsi="宋体" w:cs="宋体"/>
          <w:b/>
          <w:bCs/>
          <w:color w:val="000000"/>
          <w:kern w:val="0"/>
          <w:sz w:val="24"/>
        </w:rPr>
        <w:t>客户须知</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本说明书与《广东南粤银行理财产品客户协议书》、《广东南粤银行理财产品适合度评估书》、《广东南粤银行理财产品风险揭示书》、《广东南粤银行理财产品客户权益须知》共同构成完整的不可分割的理财合同。</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理财非存款，产品有风险，投资需谨慎。在购买本理财产品前，请投资者确保完全明白此类投资的性质、投资所涉及的风险以及自身承受风险的能力。如影响投资者风险承受能力的因素发生变化，投资者再次购买理财产品时请主动要求广东南粤银行重新进行风险承受能力评估。投资者若对本说明书的内容有任何疑问，请向广东南粤银行各营业网点咨询。</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本说明书所引用的资料及数据仅供投资者参考，均不构成对投资者的推荐和承诺。</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本说明书所有条款解释权归广东南粤银行股份有限公司所有。</w:t>
      </w:r>
    </w:p>
    <w:p>
      <w:pPr>
        <w:widowControl/>
        <w:spacing w:line="480" w:lineRule="exact"/>
        <w:ind w:firstLine="480" w:firstLineChars="200"/>
        <w:jc w:val="left"/>
        <w:rPr>
          <w:rFonts w:ascii="宋体" w:hAnsi="宋体" w:cs="宋体"/>
          <w:color w:val="000000"/>
          <w:kern w:val="0"/>
          <w:sz w:val="24"/>
        </w:rPr>
      </w:pPr>
    </w:p>
    <w:p>
      <w:pPr>
        <w:widowControl/>
        <w:spacing w:line="480" w:lineRule="exact"/>
        <w:ind w:firstLine="472" w:firstLineChars="196"/>
        <w:jc w:val="left"/>
        <w:rPr>
          <w:rFonts w:ascii="宋体" w:hAnsi="宋体" w:cs="宋体"/>
          <w:b/>
          <w:color w:val="000000"/>
          <w:kern w:val="0"/>
          <w:sz w:val="24"/>
        </w:rPr>
      </w:pPr>
      <w:r>
        <w:rPr>
          <w:rFonts w:hint="eastAsia" w:ascii="宋体" w:hAnsi="宋体" w:cs="宋体"/>
          <w:b/>
          <w:color w:val="000000"/>
          <w:kern w:val="0"/>
          <w:sz w:val="24"/>
        </w:rPr>
        <w:t>风险提示</w:t>
      </w:r>
    </w:p>
    <w:p>
      <w:pPr>
        <w:autoSpaceDE w:val="0"/>
        <w:autoSpaceDN w:val="0"/>
        <w:adjustRightInd w:val="0"/>
        <w:spacing w:line="480" w:lineRule="exact"/>
        <w:ind w:firstLine="482" w:firstLineChars="200"/>
        <w:jc w:val="left"/>
        <w:rPr>
          <w:rFonts w:ascii="宋体" w:hAnsi="宋体" w:cs="楷体_GB2312"/>
          <w:b/>
          <w:color w:val="000000"/>
          <w:kern w:val="0"/>
          <w:sz w:val="24"/>
        </w:rPr>
      </w:pPr>
      <w:r>
        <w:rPr>
          <w:rFonts w:hint="eastAsia" w:ascii="宋体" w:hAnsi="宋体" w:cs="楷体_GB2312"/>
          <w:b/>
          <w:color w:val="000000"/>
          <w:kern w:val="0"/>
          <w:sz w:val="24"/>
        </w:rPr>
        <w:t>本理财产品为保本浮动收益型，理财收益来源于理财产品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本金及理财收益风险：本理财产品为保本浮动收益型，理财收益来源于本理财产品投资的回报，在部分或全部资产未能完全按预期价格出让的情况下，投资者净收益率可能下降，最不利情形是投资者净收益率为0，但保证投资者本金不受损失。</w:t>
      </w:r>
    </w:p>
    <w:p>
      <w:pPr>
        <w:spacing w:line="480" w:lineRule="exact"/>
        <w:ind w:firstLine="480" w:firstLineChars="200"/>
        <w:rPr>
          <w:rFonts w:ascii="宋体" w:hAnsi="宋体" w:cs="宋体"/>
          <w:color w:val="000000"/>
          <w:kern w:val="0"/>
          <w:sz w:val="24"/>
        </w:rPr>
      </w:pPr>
      <w:r>
        <w:rPr>
          <w:rFonts w:hint="eastAsia" w:ascii="宋体" w:hAnsi="宋体" w:cs="楷体_GB2312"/>
          <w:color w:val="000000"/>
          <w:kern w:val="0"/>
          <w:sz w:val="24"/>
        </w:rPr>
        <w:t>2、</w:t>
      </w:r>
      <w:r>
        <w:rPr>
          <w:rFonts w:hint="eastAsia" w:ascii="宋体" w:hAnsi="宋体" w:cs="宋体"/>
          <w:color w:val="000000"/>
          <w:kern w:val="0"/>
          <w:sz w:val="24"/>
        </w:rPr>
        <w:t>流动性风险：本理财产品在存续期间，当日累计净赎回额（当日累计赎回额-当日累计新增投资额）超过前1交易日产品总规模的20%时，即发生巨额赎回，此时广东南粤银行有权拒绝赎回申请，因此可能影响投资者的资金安排，带来流动性风险。</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3、市场风险：受各种市场因素、宏观政策因素等的影响，理财产品所投资的</w:t>
      </w:r>
      <w:r>
        <w:rPr>
          <w:rFonts w:hint="eastAsia" w:ascii="宋体" w:hAnsi="宋体" w:cs="楷体_GB2312"/>
          <w:color w:val="000000"/>
          <w:kern w:val="0"/>
          <w:sz w:val="24"/>
        </w:rPr>
        <w:t>未到期债券、央行票据、金融债、信托融资等金融产品</w:t>
      </w:r>
      <w:r>
        <w:rPr>
          <w:rFonts w:hint="eastAsia" w:ascii="宋体" w:hAnsi="宋体" w:cs="宋体"/>
          <w:kern w:val="0"/>
          <w:sz w:val="24"/>
        </w:rPr>
        <w:t>会上下波动，影响理财产品收益。</w:t>
      </w:r>
    </w:p>
    <w:p>
      <w:pPr>
        <w:autoSpaceDE w:val="0"/>
        <w:autoSpaceDN w:val="0"/>
        <w:adjustRightInd w:val="0"/>
        <w:spacing w:line="480" w:lineRule="exact"/>
        <w:ind w:right="-500" w:firstLine="466" w:firstLineChars="194"/>
        <w:jc w:val="left"/>
        <w:rPr>
          <w:rFonts w:ascii="宋体" w:hAnsi="宋体" w:cs="楷体_GB2312"/>
          <w:color w:val="000000"/>
          <w:kern w:val="0"/>
          <w:sz w:val="24"/>
        </w:rPr>
      </w:pPr>
      <w:r>
        <w:rPr>
          <w:rFonts w:hint="eastAsia" w:ascii="宋体" w:hAnsi="宋体" w:cs="楷体_GB2312"/>
          <w:color w:val="000000"/>
          <w:kern w:val="0"/>
          <w:sz w:val="24"/>
        </w:rPr>
        <w:t>4、管理人风险：因管理人的知识、经验、判断、决策、技能等，会影响其对信息的获取和对经济形势、金融市场价格走势的判断从而影响收益水平。</w:t>
      </w:r>
    </w:p>
    <w:p>
      <w:pPr>
        <w:autoSpaceDE w:val="0"/>
        <w:autoSpaceDN w:val="0"/>
        <w:adjustRightInd w:val="0"/>
        <w:spacing w:line="480" w:lineRule="exact"/>
        <w:ind w:right="-500" w:firstLine="466" w:firstLineChars="194"/>
        <w:jc w:val="left"/>
        <w:rPr>
          <w:rFonts w:ascii="宋体" w:hAnsi="宋体" w:cs="楷体_GB2312"/>
          <w:color w:val="000000"/>
          <w:kern w:val="0"/>
          <w:sz w:val="24"/>
        </w:rPr>
      </w:pPr>
      <w:r>
        <w:rPr>
          <w:rFonts w:hint="eastAsia" w:ascii="宋体" w:hAnsi="宋体" w:cs="楷体_GB2312"/>
          <w:color w:val="000000"/>
          <w:kern w:val="0"/>
          <w:sz w:val="24"/>
        </w:rPr>
        <w:t>5、政策风险：本理财产品根据当前相关法律法规和政策设计，如国家宏观政策及市场相关法律法规发生变化，可能影响理财产品的受理、投资、偿还等正常进行，甚至导致本理财收益降低。</w:t>
      </w:r>
    </w:p>
    <w:p>
      <w:pPr>
        <w:autoSpaceDE w:val="0"/>
        <w:autoSpaceDN w:val="0"/>
        <w:adjustRightInd w:val="0"/>
        <w:spacing w:line="480" w:lineRule="exact"/>
        <w:ind w:right="-500" w:firstLine="466" w:firstLineChars="194"/>
        <w:jc w:val="left"/>
        <w:rPr>
          <w:rFonts w:ascii="宋体" w:hAnsi="宋体" w:cs="楷体_GB2312"/>
          <w:color w:val="000000"/>
          <w:kern w:val="0"/>
          <w:sz w:val="24"/>
        </w:rPr>
      </w:pPr>
      <w:r>
        <w:rPr>
          <w:rFonts w:hint="eastAsia" w:ascii="宋体" w:hAnsi="宋体" w:cs="楷体_GB2312"/>
          <w:color w:val="000000"/>
          <w:kern w:val="0"/>
          <w:sz w:val="24"/>
        </w:rPr>
        <w:t>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pPr>
        <w:widowControl/>
        <w:spacing w:line="480" w:lineRule="exact"/>
        <w:ind w:firstLine="480" w:firstLineChars="200"/>
        <w:jc w:val="left"/>
        <w:rPr>
          <w:rFonts w:ascii="宋体" w:hAnsi="宋体" w:cs="楷体_GB2312"/>
          <w:color w:val="000000"/>
          <w:kern w:val="0"/>
          <w:sz w:val="24"/>
        </w:rPr>
      </w:pPr>
      <w:r>
        <w:rPr>
          <w:rFonts w:hint="eastAsia" w:ascii="宋体" w:hAnsi="宋体" w:cs="楷体_GB2312"/>
          <w:color w:val="000000"/>
          <w:kern w:val="0"/>
          <w:sz w:val="24"/>
        </w:rPr>
        <w:t>7、信息传递风险：广东南粤银行将在官方网站，发布本理财产品相关信息的公告。投资者应根据说明书条款的约定及时致电广东南粤银行客户服务热线（4000961818）或到广东南粤银行官方网站查询。如果投资者未及时查询，或由于通讯故障、系统故障以及其他不可抗力等因素的影响使得投资者无法及时了解理财产品信息，因此而产生的风险和责任由投资者自行承担。</w:t>
      </w:r>
    </w:p>
    <w:p>
      <w:pPr>
        <w:widowControl/>
        <w:spacing w:line="360" w:lineRule="exact"/>
        <w:ind w:firstLine="472" w:firstLineChars="196"/>
        <w:jc w:val="left"/>
        <w:rPr>
          <w:rFonts w:ascii="宋体" w:hAnsi="宋体" w:cs="宋体"/>
          <w:b/>
          <w:color w:val="000000"/>
          <w:kern w:val="0"/>
          <w:sz w:val="24"/>
        </w:rPr>
      </w:pPr>
    </w:p>
    <w:p>
      <w:pPr>
        <w:widowControl/>
        <w:spacing w:line="360" w:lineRule="exact"/>
        <w:ind w:firstLine="472" w:firstLineChars="196"/>
        <w:jc w:val="left"/>
        <w:rPr>
          <w:rFonts w:ascii="宋体" w:hAnsi="宋体" w:cs="宋体"/>
          <w:b/>
          <w:color w:val="000000"/>
          <w:kern w:val="0"/>
          <w:sz w:val="24"/>
        </w:rPr>
      </w:pPr>
      <w:r>
        <w:rPr>
          <w:rFonts w:hint="eastAsia" w:ascii="宋体" w:hAnsi="宋体" w:cs="宋体"/>
          <w:b/>
          <w:color w:val="000000"/>
          <w:kern w:val="0"/>
          <w:sz w:val="24"/>
        </w:rPr>
        <w:t>本理财产品风险评级R1（风险程度：低）</w:t>
      </w:r>
    </w:p>
    <w:tbl>
      <w:tblPr>
        <w:tblStyle w:val="8"/>
        <w:tblW w:w="6760" w:type="dxa"/>
        <w:tblInd w:w="93" w:type="dxa"/>
        <w:tblLayout w:type="fixed"/>
        <w:tblCellMar>
          <w:top w:w="0" w:type="dxa"/>
          <w:left w:w="108" w:type="dxa"/>
          <w:bottom w:w="0" w:type="dxa"/>
          <w:right w:w="108" w:type="dxa"/>
        </w:tblCellMar>
      </w:tblPr>
      <w:tblGrid>
        <w:gridCol w:w="1080"/>
        <w:gridCol w:w="1420"/>
        <w:gridCol w:w="2200"/>
        <w:gridCol w:w="2060"/>
      </w:tblGrid>
      <w:tr>
        <w:tblPrEx>
          <w:tblLayout w:type="fixed"/>
          <w:tblCellMar>
            <w:top w:w="0" w:type="dxa"/>
            <w:left w:w="108" w:type="dxa"/>
            <w:bottom w:w="0" w:type="dxa"/>
            <w:right w:w="108" w:type="dxa"/>
          </w:tblCellMar>
        </w:tblPrEx>
        <w:trPr>
          <w:trHeight w:val="300" w:hRule="atLeast"/>
        </w:trPr>
        <w:tc>
          <w:tcPr>
            <w:tcW w:w="1080" w:type="dxa"/>
            <w:vMerge w:val="restart"/>
            <w:tcBorders>
              <w:top w:val="single" w:color="auto" w:sz="8" w:space="0"/>
              <w:left w:val="single" w:color="auto" w:sz="8" w:space="0"/>
              <w:bottom w:val="single" w:color="000000" w:sz="8" w:space="0"/>
              <w:right w:val="single" w:color="auto" w:sz="8" w:space="0"/>
            </w:tcBorders>
            <w:textDirection w:val="tbRlV"/>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内 部 风 险 评 级</w:t>
            </w:r>
          </w:p>
        </w:tc>
        <w:tc>
          <w:tcPr>
            <w:tcW w:w="5680" w:type="dxa"/>
            <w:gridSpan w:val="3"/>
            <w:tcBorders>
              <w:top w:val="single" w:color="auto" w:sz="8" w:space="0"/>
              <w:left w:val="nil"/>
              <w:bottom w:val="single" w:color="auto" w:sz="8" w:space="0"/>
              <w:right w:val="nil"/>
            </w:tcBorders>
          </w:tcPr>
          <w:p>
            <w:pPr>
              <w:widowControl/>
              <w:jc w:val="center"/>
              <w:rPr>
                <w:rFonts w:ascii="宋体" w:hAnsi="宋体" w:cs="宋体"/>
                <w:b/>
                <w:bCs/>
                <w:color w:val="000000"/>
                <w:kern w:val="0"/>
                <w:sz w:val="24"/>
              </w:rPr>
            </w:pPr>
            <w:r>
              <w:rPr>
                <w:rFonts w:hint="eastAsia" w:ascii="宋体" w:hAnsi="宋体" w:cs="宋体"/>
                <w:b/>
                <w:bCs/>
                <w:color w:val="000000"/>
                <w:kern w:val="0"/>
                <w:sz w:val="24"/>
              </w:rPr>
              <w:t>本理财产品内部风险评级为：R</w:t>
            </w:r>
            <w:r>
              <w:rPr>
                <w:rFonts w:hint="eastAsia" w:ascii="宋体" w:hAnsi="宋体" w:cs="宋体"/>
                <w:b/>
                <w:bCs/>
                <w:kern w:val="0"/>
                <w:sz w:val="24"/>
              </w:rPr>
              <w:t>1</w:t>
            </w:r>
          </w:p>
        </w:tc>
      </w:tr>
      <w:tr>
        <w:tblPrEx>
          <w:tblLayout w:type="fixed"/>
          <w:tblCellMar>
            <w:top w:w="0" w:type="dxa"/>
            <w:left w:w="108" w:type="dxa"/>
            <w:bottom w:w="0" w:type="dxa"/>
            <w:right w:w="108" w:type="dxa"/>
          </w:tblCellMar>
        </w:tblPrEx>
        <w:trPr>
          <w:trHeight w:val="585"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1420" w:type="dxa"/>
            <w:tcBorders>
              <w:top w:val="nil"/>
              <w:left w:val="nil"/>
              <w:bottom w:val="single" w:color="auto" w:sz="8" w:space="0"/>
              <w:right w:val="single" w:color="auto" w:sz="8"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风险评级</w:t>
            </w:r>
          </w:p>
        </w:tc>
        <w:tc>
          <w:tcPr>
            <w:tcW w:w="2200" w:type="dxa"/>
            <w:tcBorders>
              <w:top w:val="nil"/>
              <w:left w:val="nil"/>
              <w:bottom w:val="single" w:color="auto" w:sz="8" w:space="0"/>
              <w:right w:val="single" w:color="auto" w:sz="8"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风险程度</w:t>
            </w:r>
          </w:p>
        </w:tc>
        <w:tc>
          <w:tcPr>
            <w:tcW w:w="2060" w:type="dxa"/>
            <w:tcBorders>
              <w:top w:val="nil"/>
              <w:left w:val="nil"/>
              <w:bottom w:val="single" w:color="auto" w:sz="8" w:space="0"/>
              <w:right w:val="single" w:color="auto" w:sz="8"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适合的投资者</w:t>
            </w:r>
          </w:p>
        </w:tc>
      </w:tr>
      <w:tr>
        <w:tblPrEx>
          <w:tblLayout w:type="fixed"/>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1420" w:type="dxa"/>
            <w:tcBorders>
              <w:top w:val="nil"/>
              <w:left w:val="nil"/>
              <w:bottom w:val="single" w:color="auto" w:sz="8" w:space="0"/>
              <w:right w:val="single" w:color="auto" w:sz="8" w:space="0"/>
            </w:tcBorders>
          </w:tcPr>
          <w:p>
            <w:pPr>
              <w:widowControl/>
              <w:jc w:val="center"/>
              <w:rPr>
                <w:rFonts w:ascii="宋体" w:hAnsi="宋体" w:cs="宋体"/>
                <w:bCs/>
                <w:color w:val="000000"/>
                <w:kern w:val="0"/>
                <w:sz w:val="24"/>
              </w:rPr>
            </w:pPr>
            <w:r>
              <w:rPr>
                <w:rFonts w:hint="eastAsia" w:ascii="宋体" w:hAnsi="宋体" w:cs="宋体"/>
                <w:bCs/>
                <w:color w:val="000000"/>
                <w:kern w:val="0"/>
                <w:sz w:val="24"/>
              </w:rPr>
              <w:t>R1</w:t>
            </w:r>
          </w:p>
        </w:tc>
        <w:tc>
          <w:tcPr>
            <w:tcW w:w="2200" w:type="dxa"/>
            <w:tcBorders>
              <w:top w:val="nil"/>
              <w:left w:val="nil"/>
              <w:bottom w:val="single" w:color="auto" w:sz="8" w:space="0"/>
              <w:right w:val="single" w:color="auto" w:sz="8" w:space="0"/>
            </w:tcBorders>
          </w:tcPr>
          <w:p>
            <w:pPr>
              <w:widowControl/>
              <w:jc w:val="center"/>
              <w:rPr>
                <w:rFonts w:ascii="宋体" w:hAnsi="宋体" w:cs="宋体"/>
                <w:bCs/>
                <w:color w:val="000000"/>
                <w:kern w:val="0"/>
                <w:sz w:val="24"/>
              </w:rPr>
            </w:pPr>
            <w:r>
              <w:rPr>
                <w:rFonts w:hint="eastAsia" w:ascii="宋体" w:hAnsi="宋体" w:cs="宋体"/>
                <w:bCs/>
                <w:color w:val="000000"/>
                <w:kern w:val="0"/>
                <w:sz w:val="24"/>
              </w:rPr>
              <w:t>低</w:t>
            </w:r>
          </w:p>
        </w:tc>
        <w:tc>
          <w:tcPr>
            <w:tcW w:w="2060" w:type="dxa"/>
            <w:tcBorders>
              <w:top w:val="nil"/>
              <w:left w:val="nil"/>
              <w:bottom w:val="single" w:color="auto" w:sz="8" w:space="0"/>
              <w:right w:val="single" w:color="auto" w:sz="8" w:space="0"/>
            </w:tcBorders>
          </w:tcPr>
          <w:p>
            <w:pPr>
              <w:widowControl/>
              <w:jc w:val="center"/>
              <w:rPr>
                <w:rFonts w:ascii="宋体" w:hAnsi="宋体" w:cs="宋体"/>
                <w:bCs/>
                <w:color w:val="000000"/>
                <w:kern w:val="0"/>
                <w:sz w:val="24"/>
              </w:rPr>
            </w:pPr>
            <w:r>
              <w:rPr>
                <w:rFonts w:hint="eastAsia" w:ascii="宋体" w:hAnsi="宋体" w:cs="宋体"/>
                <w:bCs/>
                <w:color w:val="000000"/>
                <w:kern w:val="0"/>
                <w:sz w:val="24"/>
              </w:rPr>
              <w:t>保守型</w:t>
            </w:r>
          </w:p>
        </w:tc>
      </w:tr>
      <w:tr>
        <w:tblPrEx>
          <w:tblLayout w:type="fixed"/>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1420" w:type="dxa"/>
            <w:tcBorders>
              <w:top w:val="nil"/>
              <w:left w:val="nil"/>
              <w:bottom w:val="single" w:color="auto" w:sz="8" w:space="0"/>
              <w:right w:val="single" w:color="auto" w:sz="8" w:space="0"/>
            </w:tcBorders>
          </w:tcPr>
          <w:p>
            <w:pPr>
              <w:widowControl/>
              <w:jc w:val="center"/>
              <w:rPr>
                <w:rFonts w:ascii="宋体" w:hAnsi="宋体" w:cs="宋体"/>
                <w:color w:val="000000"/>
                <w:kern w:val="0"/>
                <w:sz w:val="24"/>
              </w:rPr>
            </w:pPr>
            <w:r>
              <w:rPr>
                <w:rFonts w:hint="eastAsia" w:ascii="宋体" w:hAnsi="宋体" w:cs="宋体"/>
                <w:color w:val="000000"/>
                <w:kern w:val="0"/>
                <w:sz w:val="24"/>
              </w:rPr>
              <w:t>R2</w:t>
            </w:r>
          </w:p>
        </w:tc>
        <w:tc>
          <w:tcPr>
            <w:tcW w:w="2200" w:type="dxa"/>
            <w:tcBorders>
              <w:top w:val="nil"/>
              <w:left w:val="nil"/>
              <w:bottom w:val="single" w:color="auto" w:sz="8" w:space="0"/>
              <w:right w:val="single" w:color="auto" w:sz="8" w:space="0"/>
            </w:tcBorders>
          </w:tcPr>
          <w:p>
            <w:pPr>
              <w:widowControl/>
              <w:jc w:val="center"/>
              <w:rPr>
                <w:rFonts w:ascii="宋体" w:hAnsi="宋体" w:cs="宋体"/>
                <w:color w:val="000000"/>
                <w:kern w:val="0"/>
                <w:sz w:val="24"/>
              </w:rPr>
            </w:pPr>
            <w:r>
              <w:rPr>
                <w:rFonts w:hint="eastAsia" w:ascii="宋体" w:hAnsi="宋体" w:cs="宋体"/>
                <w:color w:val="000000"/>
                <w:kern w:val="0"/>
                <w:sz w:val="24"/>
              </w:rPr>
              <w:t>较低</w:t>
            </w:r>
          </w:p>
        </w:tc>
        <w:tc>
          <w:tcPr>
            <w:tcW w:w="2060" w:type="dxa"/>
            <w:tcBorders>
              <w:top w:val="nil"/>
              <w:left w:val="nil"/>
              <w:bottom w:val="single" w:color="auto" w:sz="8" w:space="0"/>
              <w:right w:val="single" w:color="auto" w:sz="8" w:space="0"/>
            </w:tcBorders>
          </w:tcPr>
          <w:p>
            <w:pPr>
              <w:widowControl/>
              <w:jc w:val="center"/>
              <w:rPr>
                <w:rFonts w:ascii="宋体" w:hAnsi="宋体" w:cs="宋体"/>
                <w:color w:val="000000"/>
                <w:kern w:val="0"/>
                <w:sz w:val="24"/>
              </w:rPr>
            </w:pPr>
            <w:r>
              <w:rPr>
                <w:rFonts w:hint="eastAsia" w:ascii="宋体" w:hAnsi="宋体" w:cs="宋体"/>
                <w:color w:val="000000"/>
                <w:kern w:val="0"/>
                <w:sz w:val="24"/>
              </w:rPr>
              <w:t>稳健型</w:t>
            </w:r>
          </w:p>
        </w:tc>
      </w:tr>
      <w:tr>
        <w:tblPrEx>
          <w:tblLayout w:type="fixed"/>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1420" w:type="dxa"/>
            <w:tcBorders>
              <w:top w:val="nil"/>
              <w:left w:val="nil"/>
              <w:bottom w:val="single" w:color="auto" w:sz="8" w:space="0"/>
              <w:right w:val="single" w:color="auto" w:sz="8" w:space="0"/>
            </w:tcBorders>
          </w:tcPr>
          <w:p>
            <w:pPr>
              <w:widowControl/>
              <w:jc w:val="center"/>
              <w:rPr>
                <w:rFonts w:ascii="宋体" w:hAnsi="宋体" w:cs="宋体"/>
                <w:bCs/>
                <w:color w:val="000000"/>
                <w:kern w:val="0"/>
                <w:sz w:val="24"/>
              </w:rPr>
            </w:pPr>
            <w:r>
              <w:rPr>
                <w:rFonts w:hint="eastAsia" w:ascii="宋体" w:hAnsi="宋体" w:cs="宋体"/>
                <w:bCs/>
                <w:color w:val="000000"/>
                <w:kern w:val="0"/>
                <w:sz w:val="24"/>
              </w:rPr>
              <w:t>R3</w:t>
            </w:r>
          </w:p>
        </w:tc>
        <w:tc>
          <w:tcPr>
            <w:tcW w:w="2200" w:type="dxa"/>
            <w:tcBorders>
              <w:top w:val="nil"/>
              <w:left w:val="nil"/>
              <w:bottom w:val="single" w:color="auto" w:sz="8" w:space="0"/>
              <w:right w:val="single" w:color="auto" w:sz="8" w:space="0"/>
            </w:tcBorders>
          </w:tcPr>
          <w:p>
            <w:pPr>
              <w:widowControl/>
              <w:jc w:val="center"/>
              <w:rPr>
                <w:rFonts w:ascii="宋体" w:hAnsi="宋体" w:cs="宋体"/>
                <w:color w:val="000000"/>
                <w:kern w:val="0"/>
                <w:sz w:val="24"/>
              </w:rPr>
            </w:pPr>
            <w:r>
              <w:rPr>
                <w:rFonts w:hint="eastAsia" w:ascii="宋体" w:hAnsi="宋体" w:cs="宋体"/>
                <w:color w:val="000000"/>
                <w:kern w:val="0"/>
                <w:sz w:val="24"/>
              </w:rPr>
              <w:t>中</w:t>
            </w:r>
          </w:p>
        </w:tc>
        <w:tc>
          <w:tcPr>
            <w:tcW w:w="2060" w:type="dxa"/>
            <w:tcBorders>
              <w:top w:val="nil"/>
              <w:left w:val="nil"/>
              <w:bottom w:val="single" w:color="auto" w:sz="8" w:space="0"/>
              <w:right w:val="single" w:color="auto" w:sz="8" w:space="0"/>
            </w:tcBorders>
          </w:tcPr>
          <w:p>
            <w:pPr>
              <w:widowControl/>
              <w:jc w:val="center"/>
              <w:rPr>
                <w:rFonts w:ascii="宋体" w:hAnsi="宋体" w:cs="宋体"/>
                <w:color w:val="000000"/>
                <w:kern w:val="0"/>
                <w:sz w:val="24"/>
              </w:rPr>
            </w:pPr>
            <w:r>
              <w:rPr>
                <w:rFonts w:hint="eastAsia" w:ascii="宋体" w:hAnsi="宋体" w:cs="宋体"/>
                <w:color w:val="000000"/>
                <w:kern w:val="0"/>
                <w:sz w:val="24"/>
              </w:rPr>
              <w:t>平衡型</w:t>
            </w:r>
          </w:p>
        </w:tc>
      </w:tr>
      <w:tr>
        <w:tblPrEx>
          <w:tblLayout w:type="fixed"/>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1420" w:type="dxa"/>
            <w:tcBorders>
              <w:top w:val="nil"/>
              <w:left w:val="nil"/>
              <w:bottom w:val="single" w:color="auto" w:sz="8" w:space="0"/>
              <w:right w:val="single" w:color="auto" w:sz="8" w:space="0"/>
            </w:tcBorders>
          </w:tcPr>
          <w:p>
            <w:pPr>
              <w:widowControl/>
              <w:jc w:val="center"/>
              <w:rPr>
                <w:rFonts w:ascii="宋体" w:hAnsi="宋体" w:cs="宋体"/>
                <w:bCs/>
                <w:color w:val="000000"/>
                <w:kern w:val="0"/>
                <w:sz w:val="24"/>
              </w:rPr>
            </w:pPr>
            <w:r>
              <w:rPr>
                <w:rFonts w:hint="eastAsia" w:ascii="宋体" w:hAnsi="宋体" w:cs="宋体"/>
                <w:bCs/>
                <w:color w:val="000000"/>
                <w:kern w:val="0"/>
                <w:sz w:val="24"/>
              </w:rPr>
              <w:t>R4</w:t>
            </w:r>
          </w:p>
        </w:tc>
        <w:tc>
          <w:tcPr>
            <w:tcW w:w="2200" w:type="dxa"/>
            <w:tcBorders>
              <w:top w:val="nil"/>
              <w:left w:val="nil"/>
              <w:bottom w:val="single" w:color="auto" w:sz="8" w:space="0"/>
              <w:right w:val="single" w:color="auto" w:sz="8" w:space="0"/>
            </w:tcBorders>
          </w:tcPr>
          <w:p>
            <w:pPr>
              <w:widowControl/>
              <w:jc w:val="center"/>
              <w:rPr>
                <w:rFonts w:ascii="宋体" w:hAnsi="宋体" w:cs="宋体"/>
                <w:color w:val="000000"/>
                <w:kern w:val="0"/>
                <w:sz w:val="24"/>
              </w:rPr>
            </w:pPr>
            <w:r>
              <w:rPr>
                <w:rFonts w:hint="eastAsia" w:ascii="宋体" w:hAnsi="宋体" w:cs="宋体"/>
                <w:color w:val="000000"/>
                <w:kern w:val="0"/>
                <w:sz w:val="24"/>
              </w:rPr>
              <w:t>较高</w:t>
            </w:r>
          </w:p>
        </w:tc>
        <w:tc>
          <w:tcPr>
            <w:tcW w:w="2060" w:type="dxa"/>
            <w:tcBorders>
              <w:top w:val="nil"/>
              <w:left w:val="nil"/>
              <w:bottom w:val="single" w:color="auto" w:sz="8" w:space="0"/>
              <w:right w:val="single" w:color="auto" w:sz="8" w:space="0"/>
            </w:tcBorders>
          </w:tcPr>
          <w:p>
            <w:pPr>
              <w:widowControl/>
              <w:jc w:val="center"/>
              <w:rPr>
                <w:rFonts w:ascii="宋体" w:hAnsi="宋体" w:cs="宋体"/>
                <w:color w:val="000000"/>
                <w:kern w:val="0"/>
                <w:sz w:val="24"/>
              </w:rPr>
            </w:pPr>
            <w:r>
              <w:rPr>
                <w:rFonts w:hint="eastAsia" w:ascii="宋体" w:hAnsi="宋体" w:cs="宋体"/>
                <w:color w:val="000000"/>
                <w:kern w:val="0"/>
                <w:sz w:val="24"/>
              </w:rPr>
              <w:t>成长型</w:t>
            </w:r>
          </w:p>
        </w:tc>
      </w:tr>
      <w:tr>
        <w:tblPrEx>
          <w:tblLayout w:type="fixed"/>
          <w:tblCellMar>
            <w:top w:w="0" w:type="dxa"/>
            <w:left w:w="108" w:type="dxa"/>
            <w:bottom w:w="0" w:type="dxa"/>
            <w:right w:w="108" w:type="dxa"/>
          </w:tblCellMar>
        </w:tblPrEx>
        <w:trPr>
          <w:trHeight w:val="30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1420" w:type="dxa"/>
            <w:tcBorders>
              <w:top w:val="nil"/>
              <w:left w:val="nil"/>
              <w:bottom w:val="single" w:color="auto" w:sz="8" w:space="0"/>
              <w:right w:val="single" w:color="auto" w:sz="8" w:space="0"/>
            </w:tcBorders>
          </w:tcPr>
          <w:p>
            <w:pPr>
              <w:widowControl/>
              <w:jc w:val="center"/>
              <w:rPr>
                <w:rFonts w:ascii="宋体" w:hAnsi="宋体" w:cs="宋体"/>
                <w:bCs/>
                <w:color w:val="000000"/>
                <w:kern w:val="0"/>
                <w:sz w:val="24"/>
              </w:rPr>
            </w:pPr>
            <w:r>
              <w:rPr>
                <w:rFonts w:hint="eastAsia" w:ascii="宋体" w:hAnsi="宋体" w:cs="宋体"/>
                <w:bCs/>
                <w:color w:val="000000"/>
                <w:kern w:val="0"/>
                <w:sz w:val="24"/>
              </w:rPr>
              <w:t>R5</w:t>
            </w:r>
          </w:p>
        </w:tc>
        <w:tc>
          <w:tcPr>
            <w:tcW w:w="2200" w:type="dxa"/>
            <w:tcBorders>
              <w:top w:val="nil"/>
              <w:left w:val="nil"/>
              <w:bottom w:val="single" w:color="auto" w:sz="8" w:space="0"/>
              <w:right w:val="single" w:color="auto" w:sz="8" w:space="0"/>
            </w:tcBorders>
          </w:tcPr>
          <w:p>
            <w:pPr>
              <w:widowControl/>
              <w:jc w:val="center"/>
              <w:rPr>
                <w:rFonts w:ascii="宋体" w:hAnsi="宋体" w:cs="宋体"/>
                <w:color w:val="000000"/>
                <w:kern w:val="0"/>
                <w:sz w:val="24"/>
              </w:rPr>
            </w:pPr>
            <w:r>
              <w:rPr>
                <w:rFonts w:hint="eastAsia" w:ascii="宋体" w:hAnsi="宋体" w:cs="宋体"/>
                <w:color w:val="000000"/>
                <w:kern w:val="0"/>
                <w:sz w:val="24"/>
              </w:rPr>
              <w:t>高</w:t>
            </w:r>
          </w:p>
        </w:tc>
        <w:tc>
          <w:tcPr>
            <w:tcW w:w="2060" w:type="dxa"/>
            <w:tcBorders>
              <w:top w:val="nil"/>
              <w:left w:val="nil"/>
              <w:bottom w:val="single" w:color="auto" w:sz="8" w:space="0"/>
              <w:right w:val="single" w:color="auto" w:sz="8" w:space="0"/>
            </w:tcBorders>
          </w:tcPr>
          <w:p>
            <w:pPr>
              <w:widowControl/>
              <w:jc w:val="center"/>
              <w:rPr>
                <w:rFonts w:ascii="宋体" w:hAnsi="宋体" w:cs="宋体"/>
                <w:color w:val="000000"/>
                <w:kern w:val="0"/>
                <w:sz w:val="24"/>
              </w:rPr>
            </w:pPr>
            <w:r>
              <w:rPr>
                <w:rFonts w:hint="eastAsia" w:ascii="宋体" w:hAnsi="宋体" w:cs="宋体"/>
                <w:color w:val="000000"/>
                <w:kern w:val="0"/>
                <w:sz w:val="24"/>
              </w:rPr>
              <w:t>进取型</w:t>
            </w:r>
          </w:p>
        </w:tc>
      </w:tr>
    </w:tbl>
    <w:p>
      <w:pPr>
        <w:widowControl/>
        <w:spacing w:line="360" w:lineRule="exact"/>
        <w:ind w:firstLine="600" w:firstLineChars="250"/>
        <w:jc w:val="left"/>
        <w:rPr>
          <w:rFonts w:ascii="宋体" w:hAnsi="宋体" w:cs="宋体"/>
          <w:color w:val="000000"/>
          <w:kern w:val="0"/>
          <w:sz w:val="24"/>
        </w:rPr>
      </w:pPr>
    </w:p>
    <w:p>
      <w:pPr>
        <w:widowControl/>
        <w:spacing w:line="360" w:lineRule="exact"/>
        <w:ind w:firstLine="600" w:firstLineChars="250"/>
        <w:jc w:val="left"/>
        <w:rPr>
          <w:rFonts w:ascii="宋体" w:hAnsi="宋体" w:cs="宋体"/>
          <w:color w:val="000000"/>
          <w:kern w:val="0"/>
          <w:sz w:val="24"/>
        </w:rPr>
      </w:pPr>
      <w:r>
        <w:rPr>
          <w:rFonts w:hint="eastAsia" w:ascii="宋体" w:hAnsi="宋体" w:cs="宋体"/>
          <w:color w:val="000000"/>
          <w:kern w:val="0"/>
          <w:sz w:val="24"/>
        </w:rPr>
        <w:t>（本评级为广东南粤银行股份有限公司内部评级，仅供参考）</w:t>
      </w:r>
    </w:p>
    <w:p>
      <w:pPr>
        <w:widowControl/>
        <w:spacing w:line="520" w:lineRule="exact"/>
        <w:ind w:firstLine="482" w:firstLineChars="200"/>
        <w:jc w:val="left"/>
        <w:rPr>
          <w:rFonts w:ascii="宋体" w:hAnsi="宋体" w:cs="宋体"/>
          <w:b/>
          <w:bCs/>
          <w:color w:val="000000"/>
          <w:kern w:val="0"/>
          <w:sz w:val="24"/>
        </w:rPr>
      </w:pPr>
    </w:p>
    <w:p>
      <w:pPr>
        <w:widowControl/>
        <w:spacing w:line="520" w:lineRule="exact"/>
        <w:ind w:firstLine="482" w:firstLineChars="200"/>
        <w:jc w:val="left"/>
        <w:rPr>
          <w:rFonts w:ascii="宋体" w:hAnsi="宋体" w:cs="宋体"/>
          <w:b/>
          <w:bCs/>
          <w:color w:val="000000"/>
          <w:kern w:val="0"/>
          <w:sz w:val="24"/>
        </w:rPr>
      </w:pPr>
      <w:r>
        <w:rPr>
          <w:rFonts w:hint="eastAsia" w:ascii="宋体" w:hAnsi="宋体" w:cs="宋体"/>
          <w:b/>
          <w:bCs/>
          <w:color w:val="000000"/>
          <w:kern w:val="0"/>
          <w:sz w:val="24"/>
        </w:rPr>
        <w:t>产品基本要素</w:t>
      </w:r>
    </w:p>
    <w:tbl>
      <w:tblPr>
        <w:tblStyle w:val="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7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trPr>
        <w:tc>
          <w:tcPr>
            <w:tcW w:w="2448" w:type="dxa"/>
            <w:vMerge w:val="restart"/>
            <w:tcBorders>
              <w:top w:val="single" w:color="auto" w:sz="4" w:space="0"/>
              <w:left w:val="single" w:color="auto" w:sz="4" w:space="0"/>
              <w:bottom w:val="single" w:color="auto" w:sz="4" w:space="0"/>
              <w:right w:val="single" w:color="auto" w:sz="4" w:space="0"/>
            </w:tcBorders>
            <w:vAlign w:val="center"/>
          </w:tcPr>
          <w:p>
            <w:pPr>
              <w:pStyle w:val="2"/>
              <w:spacing w:line="360" w:lineRule="exact"/>
              <w:ind w:firstLine="0" w:firstLineChars="0"/>
              <w:jc w:val="center"/>
              <w:rPr>
                <w:rFonts w:ascii="宋体" w:hAnsi="宋体" w:eastAsia="宋体"/>
                <w:color w:val="000000"/>
                <w:szCs w:val="24"/>
              </w:rPr>
            </w:pPr>
            <w:r>
              <w:rPr>
                <w:rFonts w:hint="eastAsia" w:ascii="宋体" w:hAnsi="宋体" w:eastAsia="宋体"/>
                <w:color w:val="000000"/>
                <w:szCs w:val="24"/>
              </w:rPr>
              <w:t>产品名称</w:t>
            </w:r>
          </w:p>
        </w:tc>
        <w:tc>
          <w:tcPr>
            <w:tcW w:w="7016" w:type="dxa"/>
            <w:tcBorders>
              <w:top w:val="single" w:color="auto" w:sz="4" w:space="0"/>
              <w:left w:val="single" w:color="auto" w:sz="4" w:space="0"/>
              <w:bottom w:val="single" w:color="auto" w:sz="4" w:space="0"/>
              <w:right w:val="single" w:color="auto" w:sz="4" w:space="0"/>
            </w:tcBorders>
          </w:tcPr>
          <w:p>
            <w:pPr>
              <w:spacing w:line="360" w:lineRule="exact"/>
              <w:outlineLvl w:val="0"/>
              <w:rPr>
                <w:rFonts w:ascii="宋体" w:hAnsi="宋体"/>
                <w:color w:val="000000"/>
                <w:sz w:val="24"/>
              </w:rPr>
            </w:pPr>
            <w:r>
              <w:rPr>
                <w:rFonts w:hint="eastAsia" w:ascii="宋体" w:hAnsi="宋体"/>
                <w:color w:val="000000"/>
                <w:sz w:val="24"/>
              </w:rPr>
              <w:t>广东南粤银行“宝盈天利”开放式保本型人民币理财产品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4"/>
              </w:rPr>
            </w:pPr>
          </w:p>
        </w:tc>
        <w:tc>
          <w:tcPr>
            <w:tcW w:w="7016" w:type="dxa"/>
            <w:tcBorders>
              <w:top w:val="single" w:color="auto" w:sz="4" w:space="0"/>
              <w:left w:val="single" w:color="auto" w:sz="4" w:space="0"/>
              <w:bottom w:val="single" w:color="auto" w:sz="4" w:space="0"/>
              <w:right w:val="single" w:color="auto" w:sz="4" w:space="0"/>
            </w:tcBorders>
          </w:tcPr>
          <w:p>
            <w:pPr>
              <w:pStyle w:val="2"/>
              <w:spacing w:line="360" w:lineRule="exact"/>
              <w:ind w:firstLine="0" w:firstLineChars="0"/>
              <w:rPr>
                <w:rFonts w:ascii="宋体" w:hAnsi="宋体" w:eastAsia="宋体" w:cs="宋体"/>
                <w:color w:val="000000"/>
                <w:kern w:val="0"/>
                <w:szCs w:val="24"/>
              </w:rPr>
            </w:pPr>
            <w:r>
              <w:rPr>
                <w:rFonts w:hint="eastAsia" w:ascii="宋体" w:hAnsi="宋体" w:eastAsia="宋体" w:cs="宋体"/>
                <w:color w:val="000000"/>
                <w:kern w:val="0"/>
                <w:szCs w:val="24"/>
              </w:rPr>
              <w:t>代码：GDNY_BYTL_01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vAlign w:val="center"/>
          </w:tcPr>
          <w:p>
            <w:pPr>
              <w:pStyle w:val="2"/>
              <w:spacing w:line="360" w:lineRule="exact"/>
              <w:ind w:firstLine="0" w:firstLineChars="0"/>
              <w:jc w:val="center"/>
              <w:rPr>
                <w:rFonts w:ascii="宋体" w:hAnsi="宋体" w:eastAsia="宋体"/>
                <w:b/>
                <w:color w:val="000000"/>
                <w:szCs w:val="24"/>
              </w:rPr>
            </w:pPr>
            <w:r>
              <w:rPr>
                <w:rFonts w:hint="eastAsia" w:ascii="宋体" w:hAnsi="宋体" w:eastAsia="宋体"/>
                <w:color w:val="000000"/>
                <w:szCs w:val="24"/>
              </w:rPr>
              <w:t>目标投资者</w:t>
            </w:r>
          </w:p>
        </w:tc>
        <w:tc>
          <w:tcPr>
            <w:tcW w:w="7016" w:type="dxa"/>
            <w:tcBorders>
              <w:top w:val="single" w:color="auto" w:sz="4" w:space="0"/>
              <w:left w:val="single" w:color="auto" w:sz="4" w:space="0"/>
              <w:bottom w:val="single" w:color="auto" w:sz="4" w:space="0"/>
              <w:right w:val="single" w:color="auto" w:sz="4" w:space="0"/>
            </w:tcBorders>
          </w:tcPr>
          <w:p>
            <w:pPr>
              <w:pStyle w:val="2"/>
              <w:spacing w:line="360" w:lineRule="exact"/>
              <w:ind w:firstLine="0" w:firstLineChars="0"/>
              <w:rPr>
                <w:rFonts w:ascii="宋体" w:hAnsi="宋体" w:eastAsia="宋体" w:cs="宋体"/>
                <w:color w:val="000000"/>
                <w:kern w:val="0"/>
                <w:szCs w:val="24"/>
              </w:rPr>
            </w:pPr>
            <w:r>
              <w:rPr>
                <w:rFonts w:hint="eastAsia" w:ascii="宋体" w:hAnsi="宋体" w:eastAsia="宋体" w:cs="宋体"/>
                <w:color w:val="000000"/>
                <w:kern w:val="0"/>
                <w:szCs w:val="24"/>
              </w:rPr>
              <w:t>经我行风险评估，评定为保守型、</w:t>
            </w:r>
            <w:r>
              <w:rPr>
                <w:rFonts w:hint="eastAsia" w:eastAsia="宋体" w:cs="宋体"/>
                <w:kern w:val="0"/>
                <w:szCs w:val="24"/>
              </w:rPr>
              <w:t>稳健型、</w:t>
            </w:r>
            <w:r>
              <w:rPr>
                <w:rFonts w:hint="eastAsia" w:ascii="宋体" w:hAnsi="宋体" w:eastAsia="宋体" w:cs="宋体"/>
                <w:color w:val="000000"/>
                <w:kern w:val="0"/>
                <w:szCs w:val="24"/>
              </w:rPr>
              <w:t>平衡型、成长型、进取型的机构和个人客户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 w:val="24"/>
              </w:rPr>
            </w:pPr>
            <w:r>
              <w:rPr>
                <w:rFonts w:hint="eastAsia" w:ascii="宋体" w:hAnsi="宋体"/>
                <w:color w:val="000000"/>
                <w:sz w:val="24"/>
              </w:rPr>
              <w:t>购买方式</w:t>
            </w:r>
          </w:p>
        </w:tc>
        <w:tc>
          <w:tcPr>
            <w:tcW w:w="701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kern w:val="0"/>
                <w:sz w:val="24"/>
              </w:rPr>
            </w:pPr>
            <w:r>
              <w:rPr>
                <w:rFonts w:hint="eastAsia" w:ascii="宋体" w:hAnsi="宋体" w:cs="宋体"/>
                <w:color w:val="000000"/>
                <w:kern w:val="0"/>
                <w:sz w:val="24"/>
              </w:rPr>
              <w:t>广东南粤银行各营业网点认购或广东南粤银行网银认购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 w:val="24"/>
              </w:rPr>
            </w:pPr>
            <w:r>
              <w:rPr>
                <w:rFonts w:hint="eastAsia" w:ascii="宋体" w:hAnsi="宋体"/>
                <w:color w:val="000000"/>
                <w:sz w:val="24"/>
              </w:rPr>
              <w:t>投资及收益币种</w:t>
            </w:r>
          </w:p>
        </w:tc>
        <w:tc>
          <w:tcPr>
            <w:tcW w:w="7016" w:type="dxa"/>
            <w:tcBorders>
              <w:top w:val="single" w:color="auto" w:sz="4" w:space="0"/>
              <w:left w:val="single" w:color="auto" w:sz="4" w:space="0"/>
              <w:bottom w:val="single" w:color="auto" w:sz="4" w:space="0"/>
              <w:right w:val="single" w:color="auto" w:sz="4" w:space="0"/>
            </w:tcBorders>
          </w:tcPr>
          <w:p>
            <w:pPr>
              <w:pStyle w:val="2"/>
              <w:spacing w:line="360" w:lineRule="exact"/>
              <w:ind w:firstLine="0" w:firstLineChars="0"/>
              <w:rPr>
                <w:rFonts w:ascii="宋体" w:hAnsi="宋体" w:eastAsia="宋体" w:cs="宋体"/>
                <w:color w:val="000000"/>
                <w:kern w:val="0"/>
                <w:szCs w:val="24"/>
              </w:rPr>
            </w:pPr>
            <w:r>
              <w:rPr>
                <w:rFonts w:hint="eastAsia" w:ascii="宋体" w:hAnsi="宋体" w:eastAsia="宋体" w:cs="宋体"/>
                <w:color w:val="000000"/>
                <w:kern w:val="0"/>
                <w:szCs w:val="24"/>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 w:val="24"/>
              </w:rPr>
            </w:pPr>
            <w:r>
              <w:rPr>
                <w:rFonts w:hint="eastAsia" w:ascii="宋体" w:hAnsi="宋体"/>
                <w:color w:val="000000"/>
                <w:sz w:val="24"/>
              </w:rPr>
              <w:t>产品类型</w:t>
            </w:r>
          </w:p>
        </w:tc>
        <w:tc>
          <w:tcPr>
            <w:tcW w:w="7016" w:type="dxa"/>
            <w:tcBorders>
              <w:top w:val="single" w:color="auto" w:sz="4" w:space="0"/>
              <w:left w:val="single" w:color="auto" w:sz="4" w:space="0"/>
              <w:bottom w:val="single" w:color="auto" w:sz="4" w:space="0"/>
              <w:right w:val="single" w:color="auto" w:sz="4" w:space="0"/>
            </w:tcBorders>
          </w:tcPr>
          <w:p>
            <w:pPr>
              <w:pStyle w:val="4"/>
              <w:spacing w:line="360" w:lineRule="exact"/>
              <w:rPr>
                <w:rFonts w:ascii="宋体" w:hAnsi="宋体" w:eastAsia="宋体"/>
                <w:b/>
                <w:color w:val="FF0000"/>
                <w:sz w:val="24"/>
                <w:szCs w:val="24"/>
              </w:rPr>
            </w:pPr>
            <w:r>
              <w:rPr>
                <w:rFonts w:hint="eastAsia" w:ascii="宋体" w:hAnsi="宋体" w:eastAsia="宋体" w:cs="宋体"/>
                <w:b/>
                <w:color w:val="000000"/>
                <w:kern w:val="0"/>
                <w:sz w:val="24"/>
                <w:szCs w:val="24"/>
              </w:rPr>
              <w:t>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vAlign w:val="center"/>
          </w:tcPr>
          <w:p>
            <w:pPr>
              <w:pStyle w:val="2"/>
              <w:spacing w:line="360" w:lineRule="exact"/>
              <w:ind w:firstLine="0" w:firstLineChars="0"/>
              <w:jc w:val="center"/>
              <w:rPr>
                <w:rFonts w:ascii="宋体" w:hAnsi="宋体" w:eastAsia="宋体" w:cs="宋体"/>
                <w:color w:val="000000"/>
                <w:kern w:val="0"/>
                <w:szCs w:val="24"/>
              </w:rPr>
            </w:pPr>
            <w:r>
              <w:rPr>
                <w:rFonts w:hint="eastAsia" w:ascii="宋体" w:hAnsi="宋体" w:eastAsia="宋体" w:cs="宋体"/>
                <w:color w:val="000000"/>
                <w:kern w:val="0"/>
                <w:szCs w:val="24"/>
              </w:rPr>
              <w:t>发行规模</w:t>
            </w:r>
          </w:p>
        </w:tc>
        <w:tc>
          <w:tcPr>
            <w:tcW w:w="7016"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000000"/>
                <w:kern w:val="0"/>
                <w:sz w:val="24"/>
              </w:rPr>
            </w:pPr>
            <w:r>
              <w:rPr>
                <w:rFonts w:hint="eastAsia" w:ascii="宋体" w:hAnsi="宋体" w:cs="宋体"/>
                <w:color w:val="000000"/>
                <w:kern w:val="0"/>
                <w:sz w:val="24"/>
              </w:rPr>
              <w:t>产品规模上限20亿元。广东南粤银行有权根据产品实际需要对产品规模进行调整，产品最终规模以广东南粤银行实际募集金额为准。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trPr>
        <w:tc>
          <w:tcPr>
            <w:tcW w:w="2448" w:type="dxa"/>
            <w:tcBorders>
              <w:top w:val="single" w:color="auto" w:sz="4" w:space="0"/>
              <w:left w:val="single" w:color="auto" w:sz="4" w:space="0"/>
              <w:bottom w:val="single" w:color="auto" w:sz="4" w:space="0"/>
              <w:right w:val="single" w:color="auto" w:sz="4" w:space="0"/>
            </w:tcBorders>
            <w:vAlign w:val="center"/>
          </w:tcPr>
          <w:p>
            <w:pPr>
              <w:pStyle w:val="2"/>
              <w:spacing w:line="360" w:lineRule="exact"/>
              <w:ind w:firstLine="0" w:firstLineChars="0"/>
              <w:jc w:val="center"/>
              <w:rPr>
                <w:rFonts w:ascii="宋体" w:hAnsi="宋体" w:eastAsia="宋体" w:cs="宋体"/>
                <w:color w:val="000000"/>
                <w:kern w:val="0"/>
                <w:szCs w:val="24"/>
              </w:rPr>
            </w:pPr>
            <w:r>
              <w:rPr>
                <w:rFonts w:hint="eastAsia" w:ascii="宋体" w:hAnsi="宋体" w:eastAsia="宋体" w:cs="宋体"/>
                <w:color w:val="000000"/>
                <w:kern w:val="0"/>
                <w:szCs w:val="24"/>
              </w:rPr>
              <w:t>预期年化收益率</w:t>
            </w:r>
          </w:p>
        </w:tc>
        <w:tc>
          <w:tcPr>
            <w:tcW w:w="7016" w:type="dxa"/>
            <w:tcBorders>
              <w:top w:val="single" w:color="auto" w:sz="4" w:space="0"/>
              <w:left w:val="single" w:color="auto" w:sz="4" w:space="0"/>
              <w:bottom w:val="single" w:color="auto" w:sz="4" w:space="0"/>
              <w:right w:val="single" w:color="auto" w:sz="4" w:space="0"/>
            </w:tcBorders>
          </w:tcPr>
          <w:p>
            <w:pPr>
              <w:spacing w:line="360" w:lineRule="exact"/>
              <w:outlineLvl w:val="0"/>
              <w:rPr>
                <w:rFonts w:ascii="宋体" w:hAnsi="宋体" w:cs="宋体"/>
                <w:color w:val="000000"/>
                <w:kern w:val="0"/>
                <w:sz w:val="24"/>
              </w:rPr>
            </w:pPr>
            <w:r>
              <w:rPr>
                <w:rFonts w:hint="eastAsia" w:ascii="宋体" w:hAnsi="宋体" w:cs="宋体"/>
                <w:color w:val="000000"/>
                <w:kern w:val="0"/>
                <w:sz w:val="24"/>
              </w:rPr>
              <w:t>扣除理财产品托管人收取托管费率（年化）为产品规模的0.02%，投资者预期年化收益率为1.5-6.0%；如有变动，广东南粤银行将提前一个工作日在官方网站或营业网点公告。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vAlign w:val="center"/>
          </w:tcPr>
          <w:p>
            <w:pPr>
              <w:pStyle w:val="2"/>
              <w:spacing w:line="360" w:lineRule="exact"/>
              <w:ind w:firstLine="0" w:firstLineChars="0"/>
              <w:jc w:val="center"/>
              <w:rPr>
                <w:rFonts w:ascii="宋体" w:hAnsi="宋体" w:eastAsia="宋体" w:cs="宋体"/>
                <w:color w:val="000000"/>
                <w:kern w:val="0"/>
                <w:szCs w:val="24"/>
              </w:rPr>
            </w:pPr>
            <w:r>
              <w:rPr>
                <w:rFonts w:hint="eastAsia" w:ascii="宋体" w:hAnsi="宋体" w:eastAsia="宋体" w:cs="宋体"/>
                <w:color w:val="000000"/>
                <w:kern w:val="0"/>
                <w:szCs w:val="24"/>
              </w:rPr>
              <w:t>募集期</w:t>
            </w:r>
          </w:p>
        </w:tc>
        <w:tc>
          <w:tcPr>
            <w:tcW w:w="7016" w:type="dxa"/>
            <w:tcBorders>
              <w:top w:val="single" w:color="auto" w:sz="4" w:space="0"/>
              <w:left w:val="single" w:color="auto" w:sz="4" w:space="0"/>
              <w:bottom w:val="single" w:color="auto" w:sz="4" w:space="0"/>
              <w:right w:val="single" w:color="auto" w:sz="4" w:space="0"/>
            </w:tcBorders>
          </w:tcPr>
          <w:p>
            <w:pPr>
              <w:spacing w:line="360" w:lineRule="exact"/>
              <w:outlineLvl w:val="0"/>
              <w:rPr>
                <w:rFonts w:ascii="宋体" w:hAnsi="宋体" w:cs="宋体"/>
                <w:color w:val="000000"/>
                <w:kern w:val="0"/>
                <w:sz w:val="24"/>
              </w:rPr>
            </w:pPr>
            <w:r>
              <w:rPr>
                <w:rFonts w:hint="eastAsia" w:ascii="宋体" w:hAnsi="宋体" w:cs="宋体"/>
                <w:color w:val="000000"/>
                <w:kern w:val="0"/>
                <w:sz w:val="24"/>
              </w:rPr>
              <w:t>2014年5月15日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vAlign w:val="center"/>
          </w:tcPr>
          <w:p>
            <w:pPr>
              <w:pStyle w:val="2"/>
              <w:spacing w:line="360" w:lineRule="exact"/>
              <w:ind w:firstLine="0" w:firstLineChars="0"/>
              <w:jc w:val="center"/>
              <w:rPr>
                <w:rFonts w:ascii="宋体" w:hAnsi="宋体" w:eastAsia="宋体" w:cs="宋体"/>
                <w:color w:val="000000"/>
                <w:kern w:val="0"/>
                <w:szCs w:val="24"/>
              </w:rPr>
            </w:pPr>
            <w:r>
              <w:rPr>
                <w:rFonts w:hint="eastAsia" w:ascii="宋体" w:hAnsi="宋体" w:eastAsia="宋体" w:cs="宋体"/>
                <w:color w:val="000000"/>
                <w:kern w:val="0"/>
                <w:szCs w:val="24"/>
              </w:rPr>
              <w:t>起始日</w:t>
            </w:r>
          </w:p>
        </w:tc>
        <w:tc>
          <w:tcPr>
            <w:tcW w:w="7016" w:type="dxa"/>
            <w:tcBorders>
              <w:top w:val="single" w:color="auto" w:sz="4" w:space="0"/>
              <w:left w:val="single" w:color="auto" w:sz="4" w:space="0"/>
              <w:bottom w:val="single" w:color="auto" w:sz="4" w:space="0"/>
              <w:right w:val="single" w:color="auto" w:sz="4" w:space="0"/>
            </w:tcBorders>
          </w:tcPr>
          <w:p>
            <w:pPr>
              <w:spacing w:line="360" w:lineRule="exact"/>
              <w:outlineLvl w:val="0"/>
              <w:rPr>
                <w:rFonts w:ascii="宋体" w:hAnsi="宋体" w:cs="宋体"/>
                <w:color w:val="000000"/>
                <w:kern w:val="0"/>
                <w:sz w:val="24"/>
              </w:rPr>
            </w:pPr>
            <w:r>
              <w:rPr>
                <w:rFonts w:hint="eastAsia" w:ascii="宋体" w:hAnsi="宋体" w:cs="宋体"/>
                <w:color w:val="000000"/>
                <w:kern w:val="0"/>
                <w:sz w:val="24"/>
              </w:rPr>
              <w:t>2014年5月16日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vAlign w:val="center"/>
          </w:tcPr>
          <w:p>
            <w:pPr>
              <w:pStyle w:val="2"/>
              <w:spacing w:line="360" w:lineRule="exact"/>
              <w:ind w:firstLine="0" w:firstLineChars="0"/>
              <w:jc w:val="center"/>
              <w:rPr>
                <w:rFonts w:ascii="宋体" w:hAnsi="宋体" w:eastAsia="宋体"/>
                <w:b/>
                <w:color w:val="000000"/>
                <w:szCs w:val="24"/>
              </w:rPr>
            </w:pPr>
            <w:r>
              <w:rPr>
                <w:rFonts w:hint="eastAsia" w:ascii="宋体" w:hAnsi="宋体" w:eastAsia="宋体"/>
                <w:color w:val="000000"/>
                <w:szCs w:val="24"/>
              </w:rPr>
              <w:t>期限</w:t>
            </w:r>
          </w:p>
        </w:tc>
        <w:tc>
          <w:tcPr>
            <w:tcW w:w="7016" w:type="dxa"/>
            <w:tcBorders>
              <w:top w:val="single" w:color="auto" w:sz="4" w:space="0"/>
              <w:left w:val="single" w:color="auto" w:sz="4" w:space="0"/>
              <w:bottom w:val="single" w:color="auto" w:sz="4" w:space="0"/>
              <w:right w:val="single" w:color="auto" w:sz="4" w:space="0"/>
            </w:tcBorders>
          </w:tcPr>
          <w:p>
            <w:pPr>
              <w:pStyle w:val="6"/>
              <w:adjustRightInd w:val="0"/>
              <w:snapToGrid w:val="0"/>
              <w:spacing w:before="0" w:beforeAutospacing="0" w:after="0" w:afterAutospacing="0" w:line="360" w:lineRule="exact"/>
              <w:textAlignment w:val="center"/>
              <w:rPr>
                <w:rFonts w:ascii="宋体" w:hAnsi="宋体" w:eastAsia="宋体" w:cs="宋体"/>
                <w:color w:val="000000"/>
              </w:rPr>
            </w:pPr>
            <w:r>
              <w:rPr>
                <w:rFonts w:hint="eastAsia" w:ascii="宋体" w:hAnsi="宋体" w:eastAsia="宋体" w:cs="宋体"/>
                <w:color w:val="000000"/>
              </w:rPr>
              <w:t>5年，广东南粤银行保留提前终止本理财产品和延长本理财产品期限的权利。</w:t>
            </w:r>
            <w:r>
              <w:rPr>
                <w:rFonts w:hint="eastAsia" w:ascii="宋体" w:hAnsi="宋体" w:eastAsia="宋体" w:cs="宋体"/>
                <w:b/>
                <w:color w:val="000000"/>
              </w:rPr>
              <w:t>详细内容见“提前终止和延续”。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vAlign w:val="center"/>
          </w:tcPr>
          <w:p>
            <w:pPr>
              <w:pStyle w:val="2"/>
              <w:spacing w:line="360" w:lineRule="exact"/>
              <w:ind w:firstLine="0" w:firstLineChars="0"/>
              <w:jc w:val="center"/>
              <w:rPr>
                <w:rFonts w:ascii="宋体" w:hAnsi="宋体" w:eastAsia="宋体" w:cs="宋体"/>
                <w:color w:val="000000"/>
                <w:kern w:val="0"/>
                <w:szCs w:val="24"/>
              </w:rPr>
            </w:pPr>
            <w:r>
              <w:rPr>
                <w:rFonts w:hint="eastAsia" w:ascii="宋体" w:hAnsi="宋体" w:eastAsia="宋体" w:cs="宋体"/>
                <w:color w:val="000000"/>
                <w:kern w:val="0"/>
                <w:szCs w:val="24"/>
              </w:rPr>
              <w:t>产品交易日</w:t>
            </w:r>
          </w:p>
        </w:tc>
        <w:tc>
          <w:tcPr>
            <w:tcW w:w="7016"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000000"/>
                <w:kern w:val="0"/>
                <w:sz w:val="24"/>
              </w:rPr>
            </w:pPr>
            <w:r>
              <w:rPr>
                <w:rFonts w:hint="eastAsia" w:ascii="宋体" w:hAnsi="宋体" w:cs="宋体"/>
                <w:color w:val="000000"/>
                <w:kern w:val="0"/>
                <w:sz w:val="24"/>
              </w:rPr>
              <w:t>国家法定工作日为产品交易日；如遇特殊情况，以广东南粤银行具体公告为准。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vAlign w:val="center"/>
          </w:tcPr>
          <w:p>
            <w:pPr>
              <w:pStyle w:val="2"/>
              <w:spacing w:line="360" w:lineRule="exact"/>
              <w:ind w:firstLine="0" w:firstLineChars="0"/>
              <w:rPr>
                <w:rFonts w:ascii="宋体" w:hAnsi="宋体" w:eastAsia="宋体" w:cs="宋体"/>
                <w:color w:val="000000"/>
                <w:kern w:val="0"/>
                <w:szCs w:val="24"/>
              </w:rPr>
            </w:pPr>
            <w:r>
              <w:rPr>
                <w:rFonts w:hint="eastAsia" w:ascii="宋体" w:hAnsi="宋体" w:eastAsia="宋体" w:cs="宋体"/>
                <w:color w:val="000000"/>
                <w:kern w:val="0"/>
                <w:szCs w:val="24"/>
              </w:rPr>
              <w:t>产品申购/追加投资/赎回</w:t>
            </w:r>
          </w:p>
        </w:tc>
        <w:tc>
          <w:tcPr>
            <w:tcW w:w="70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rPr>
                <w:rFonts w:ascii="宋体" w:hAnsi="宋体" w:cs="宋体"/>
                <w:color w:val="000000"/>
                <w:kern w:val="0"/>
                <w:sz w:val="24"/>
              </w:rPr>
            </w:pPr>
            <w:r>
              <w:rPr>
                <w:rFonts w:hint="eastAsia" w:ascii="宋体" w:hAnsi="宋体" w:cs="宋体"/>
                <w:color w:val="000000"/>
                <w:kern w:val="0"/>
                <w:sz w:val="24"/>
              </w:rPr>
              <w:t>1.产品存续期内，客户可以在任一交易日8：30-16：00申购或追加投资，申购或追加的投资资金将实时加入投资运作；</w:t>
            </w:r>
          </w:p>
          <w:p>
            <w:pPr>
              <w:spacing w:line="360" w:lineRule="exact"/>
              <w:rPr>
                <w:rFonts w:ascii="宋体" w:hAnsi="宋体" w:cs="宋体"/>
                <w:color w:val="000000"/>
                <w:kern w:val="0"/>
                <w:sz w:val="24"/>
              </w:rPr>
            </w:pPr>
            <w:r>
              <w:rPr>
                <w:rFonts w:hint="eastAsia" w:ascii="宋体" w:hAnsi="宋体" w:cs="宋体"/>
                <w:color w:val="000000"/>
                <w:kern w:val="0"/>
                <w:sz w:val="24"/>
              </w:rPr>
              <w:t>2.产品存续期内，客户可以在任一交易日8：30-16：00提出赎回申请，</w:t>
            </w:r>
            <w:bookmarkStart w:id="0" w:name="OLE_LINK7"/>
            <w:r>
              <w:rPr>
                <w:rFonts w:hint="eastAsia" w:ascii="宋体" w:hAnsi="宋体" w:cs="宋体"/>
                <w:color w:val="000000"/>
                <w:kern w:val="0"/>
                <w:sz w:val="24"/>
              </w:rPr>
              <w:t>赎回资金（全额赎回时为本金加收益，部分赎回时为赎回本金）于</w:t>
            </w:r>
            <w:bookmarkEnd w:id="0"/>
            <w:r>
              <w:rPr>
                <w:rFonts w:hint="eastAsia" w:ascii="宋体" w:hAnsi="宋体" w:cs="宋体"/>
                <w:color w:val="000000"/>
                <w:kern w:val="0"/>
                <w:sz w:val="24"/>
              </w:rPr>
              <w:t>赎回申请后实时兑付至客户签约账户。</w:t>
            </w:r>
          </w:p>
          <w:p>
            <w:pPr>
              <w:spacing w:line="360" w:lineRule="exact"/>
              <w:rPr>
                <w:rFonts w:ascii="宋体" w:hAnsi="宋体" w:cs="宋体"/>
                <w:color w:val="000000"/>
                <w:kern w:val="0"/>
                <w:sz w:val="24"/>
              </w:rPr>
            </w:pPr>
            <w:r>
              <w:rPr>
                <w:rFonts w:hint="eastAsia" w:ascii="宋体" w:hAnsi="宋体" w:cs="宋体"/>
                <w:color w:val="000000"/>
                <w:kern w:val="0"/>
                <w:sz w:val="24"/>
              </w:rPr>
              <w:t>3. 广东南粤银行有权根据产品实际需要对产品实时交易时间进行调整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vAlign w:val="center"/>
          </w:tcPr>
          <w:p>
            <w:pPr>
              <w:pStyle w:val="2"/>
              <w:spacing w:line="360" w:lineRule="exact"/>
              <w:ind w:firstLine="0" w:firstLineChars="0"/>
              <w:jc w:val="center"/>
              <w:rPr>
                <w:rFonts w:ascii="宋体" w:hAnsi="宋体" w:eastAsia="宋体" w:cs="宋体"/>
                <w:color w:val="000000"/>
                <w:kern w:val="0"/>
                <w:szCs w:val="24"/>
              </w:rPr>
            </w:pPr>
            <w:r>
              <w:rPr>
                <w:rFonts w:hint="eastAsia" w:ascii="宋体" w:hAnsi="宋体" w:eastAsia="宋体" w:cs="宋体"/>
                <w:color w:val="000000"/>
                <w:kern w:val="0"/>
                <w:szCs w:val="24"/>
              </w:rPr>
              <w:t>认购起点</w:t>
            </w:r>
          </w:p>
        </w:tc>
        <w:tc>
          <w:tcPr>
            <w:tcW w:w="70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rPr>
                <w:rFonts w:ascii="宋体" w:hAnsi="宋体" w:cs="宋体"/>
                <w:color w:val="000000"/>
                <w:kern w:val="0"/>
                <w:sz w:val="24"/>
              </w:rPr>
            </w:pPr>
            <w:bookmarkStart w:id="1" w:name="OLE_LINK6"/>
            <w:r>
              <w:rPr>
                <w:rFonts w:hint="eastAsia" w:ascii="宋体" w:hAnsi="宋体" w:cs="宋体"/>
                <w:color w:val="000000"/>
                <w:kern w:val="0"/>
                <w:sz w:val="24"/>
              </w:rPr>
              <w:t>个人</w:t>
            </w:r>
            <w:bookmarkEnd w:id="1"/>
            <w:r>
              <w:rPr>
                <w:rFonts w:hint="eastAsia" w:ascii="宋体" w:hAnsi="宋体" w:cs="宋体"/>
                <w:color w:val="000000"/>
                <w:kern w:val="0"/>
                <w:sz w:val="24"/>
              </w:rPr>
              <w:t>投资者首次购买起点金额为5万元，以1000元的整数倍递增；</w:t>
            </w:r>
          </w:p>
          <w:p>
            <w:pPr>
              <w:spacing w:line="360" w:lineRule="exact"/>
              <w:rPr>
                <w:rFonts w:ascii="宋体" w:hAnsi="宋体" w:cs="宋体"/>
                <w:color w:val="000000"/>
                <w:kern w:val="0"/>
                <w:sz w:val="24"/>
              </w:rPr>
            </w:pPr>
            <w:r>
              <w:rPr>
                <w:rFonts w:hint="eastAsia" w:ascii="宋体" w:hAnsi="宋体" w:cs="宋体"/>
                <w:color w:val="000000"/>
                <w:kern w:val="0"/>
                <w:sz w:val="24"/>
              </w:rPr>
              <w:t>机构投资者首次购买起点金额为50万元，以10000元的整数倍递增。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vAlign w:val="center"/>
          </w:tcPr>
          <w:p>
            <w:pPr>
              <w:pStyle w:val="2"/>
              <w:spacing w:line="360" w:lineRule="exact"/>
              <w:ind w:firstLine="0" w:firstLineChars="0"/>
              <w:jc w:val="center"/>
              <w:rPr>
                <w:rFonts w:ascii="宋体" w:hAnsi="宋体" w:eastAsia="宋体" w:cs="宋体"/>
                <w:color w:val="000000"/>
                <w:kern w:val="0"/>
                <w:szCs w:val="24"/>
              </w:rPr>
            </w:pPr>
            <w:r>
              <w:rPr>
                <w:rFonts w:hint="eastAsia" w:ascii="宋体" w:hAnsi="宋体" w:eastAsia="宋体" w:cs="宋体"/>
                <w:color w:val="000000"/>
                <w:kern w:val="0"/>
                <w:szCs w:val="24"/>
              </w:rPr>
              <w:t>申购、赎回及保留投资金额</w:t>
            </w:r>
          </w:p>
        </w:tc>
        <w:tc>
          <w:tcPr>
            <w:tcW w:w="70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rPr>
                <w:rFonts w:ascii="宋体" w:hAnsi="宋体" w:cs="宋体"/>
                <w:color w:val="000000"/>
                <w:kern w:val="0"/>
                <w:sz w:val="24"/>
              </w:rPr>
            </w:pPr>
            <w:r>
              <w:rPr>
                <w:rFonts w:hint="eastAsia" w:ascii="宋体" w:hAnsi="宋体" w:cs="宋体"/>
                <w:color w:val="000000"/>
                <w:kern w:val="0"/>
                <w:sz w:val="24"/>
              </w:rPr>
              <w:t>个人投资者：1千元的整数倍申购或赎回，赎回后最低保留金额不得低于10000元；机构投资者：1万元的整数倍申购或赎回，赎回后最低保留金额不得低于100000元；</w:t>
            </w:r>
            <w:r>
              <w:rPr>
                <w:rFonts w:hint="eastAsia" w:ascii="宋体" w:hAnsi="宋体" w:cs="宋体"/>
                <w:b/>
                <w:color w:val="000000"/>
                <w:kern w:val="0"/>
                <w:sz w:val="24"/>
              </w:rPr>
              <w:t>详细内容见“申购与赎回”。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vAlign w:val="center"/>
          </w:tcPr>
          <w:p>
            <w:pPr>
              <w:pStyle w:val="2"/>
              <w:spacing w:line="360" w:lineRule="exact"/>
              <w:ind w:firstLine="0" w:firstLineChars="0"/>
              <w:jc w:val="center"/>
              <w:rPr>
                <w:rFonts w:ascii="宋体" w:hAnsi="宋体" w:eastAsia="宋体" w:cs="宋体"/>
                <w:color w:val="000000"/>
                <w:kern w:val="0"/>
                <w:szCs w:val="24"/>
              </w:rPr>
            </w:pPr>
            <w:r>
              <w:rPr>
                <w:rFonts w:hint="eastAsia" w:ascii="宋体" w:hAnsi="宋体" w:eastAsia="宋体" w:cs="宋体"/>
                <w:color w:val="000000"/>
                <w:kern w:val="0"/>
                <w:szCs w:val="24"/>
              </w:rPr>
              <w:t>附属条款</w:t>
            </w:r>
          </w:p>
        </w:tc>
        <w:tc>
          <w:tcPr>
            <w:tcW w:w="7016" w:type="dxa"/>
            <w:tcBorders>
              <w:top w:val="single" w:color="auto" w:sz="4" w:space="0"/>
              <w:left w:val="single" w:color="auto" w:sz="4" w:space="0"/>
              <w:bottom w:val="single" w:color="auto" w:sz="4" w:space="0"/>
              <w:right w:val="single" w:color="auto" w:sz="4" w:space="0"/>
            </w:tcBorders>
          </w:tcPr>
          <w:p>
            <w:pPr>
              <w:pStyle w:val="13"/>
              <w:numPr>
                <w:ilvl w:val="0"/>
                <w:numId w:val="1"/>
              </w:numPr>
              <w:spacing w:line="360" w:lineRule="exact"/>
              <w:ind w:firstLineChars="0"/>
              <w:outlineLvl w:val="0"/>
              <w:rPr>
                <w:rFonts w:ascii="宋体" w:hAnsi="宋体" w:cs="宋体"/>
                <w:kern w:val="0"/>
                <w:sz w:val="24"/>
              </w:rPr>
            </w:pPr>
            <w:bookmarkStart w:id="2" w:name="OLE_LINK1"/>
            <w:bookmarkStart w:id="3" w:name="OLE_LINK2"/>
            <w:r>
              <w:rPr>
                <w:rFonts w:hint="eastAsia" w:ascii="宋体" w:hAnsi="宋体" w:cs="宋体"/>
                <w:kern w:val="0"/>
                <w:sz w:val="24"/>
              </w:rPr>
              <w:t>投资者（个人）单户累计投资金额最高1000万</w:t>
            </w:r>
            <w:r>
              <w:rPr>
                <w:rFonts w:hint="eastAsia" w:ascii="宋体" w:hAnsi="宋体" w:cs="宋体"/>
                <w:kern w:val="0"/>
                <w:sz w:val="24"/>
                <w:lang w:eastAsia="zh-CN"/>
              </w:rPr>
              <w:t>元</w:t>
            </w:r>
            <w:bookmarkStart w:id="4" w:name="_GoBack"/>
            <w:bookmarkEnd w:id="4"/>
            <w:r>
              <w:rPr>
                <w:rFonts w:hint="eastAsia" w:ascii="宋体" w:hAnsi="宋体" w:cs="宋体"/>
                <w:kern w:val="0"/>
                <w:sz w:val="24"/>
              </w:rPr>
              <w:t>（含），广东南粤银行可根据需要对这一条款进行调整，具体以广东南粤银行公告为准；</w:t>
            </w:r>
          </w:p>
          <w:p>
            <w:pPr>
              <w:pStyle w:val="13"/>
              <w:numPr>
                <w:ilvl w:val="0"/>
                <w:numId w:val="1"/>
              </w:numPr>
              <w:spacing w:line="360" w:lineRule="exact"/>
              <w:ind w:firstLineChars="0"/>
              <w:outlineLvl w:val="0"/>
              <w:rPr>
                <w:rFonts w:ascii="宋体" w:hAnsi="宋体" w:cs="宋体"/>
                <w:kern w:val="0"/>
                <w:sz w:val="24"/>
              </w:rPr>
            </w:pPr>
            <w:r>
              <w:rPr>
                <w:rFonts w:hint="eastAsia" w:ascii="宋体" w:hAnsi="宋体" w:cs="宋体"/>
                <w:kern w:val="0"/>
                <w:sz w:val="24"/>
              </w:rPr>
              <w:t>投资者（机构）单户累计投资金额最高</w:t>
            </w:r>
            <w:r>
              <w:rPr>
                <w:rFonts w:ascii="宋体" w:hAnsi="宋体" w:cs="宋体"/>
                <w:kern w:val="0"/>
                <w:sz w:val="24"/>
              </w:rPr>
              <w:t>1000万元（含），广东南粤银行可根据需要对这一条款进行调整，具体以广东南粤银行公告为准；</w:t>
            </w:r>
          </w:p>
          <w:p>
            <w:pPr>
              <w:spacing w:line="360" w:lineRule="exact"/>
              <w:outlineLvl w:val="0"/>
              <w:rPr>
                <w:rFonts w:ascii="宋体" w:hAnsi="宋体" w:cs="宋体"/>
                <w:color w:val="000000"/>
                <w:kern w:val="0"/>
                <w:sz w:val="24"/>
              </w:rPr>
            </w:pPr>
            <w:r>
              <w:rPr>
                <w:rFonts w:hint="eastAsia" w:ascii="宋体" w:hAnsi="宋体" w:cs="宋体"/>
                <w:kern w:val="0"/>
                <w:sz w:val="24"/>
              </w:rPr>
              <w:t>3、对于大额资金（</w:t>
            </w:r>
            <w:r>
              <w:rPr>
                <w:rFonts w:ascii="宋体" w:hAnsi="宋体" w:cs="宋体"/>
                <w:kern w:val="0"/>
                <w:sz w:val="24"/>
              </w:rPr>
              <w:t>1000万及以上）</w:t>
            </w:r>
            <w:r>
              <w:rPr>
                <w:rFonts w:hint="eastAsia" w:ascii="宋体" w:hAnsi="宋体" w:cs="宋体"/>
                <w:kern w:val="0"/>
                <w:sz w:val="24"/>
              </w:rPr>
              <w:t>赎回，投资者应至少提前</w:t>
            </w:r>
            <w:r>
              <w:rPr>
                <w:rFonts w:ascii="宋体" w:hAnsi="宋体" w:cs="宋体"/>
                <w:kern w:val="0"/>
                <w:sz w:val="24"/>
              </w:rPr>
              <w:t>1</w:t>
            </w:r>
            <w:r>
              <w:rPr>
                <w:rFonts w:hint="eastAsia" w:ascii="宋体" w:hAnsi="宋体" w:cs="宋体"/>
                <w:kern w:val="0"/>
                <w:sz w:val="24"/>
              </w:rPr>
              <w:t>个交易日向广东南粤银行预约；未提前</w:t>
            </w:r>
            <w:r>
              <w:rPr>
                <w:rFonts w:ascii="宋体" w:hAnsi="宋体" w:cs="宋体"/>
                <w:kern w:val="0"/>
                <w:sz w:val="24"/>
              </w:rPr>
              <w:t>1</w:t>
            </w:r>
            <w:r>
              <w:rPr>
                <w:rFonts w:hint="eastAsia" w:ascii="宋体" w:hAnsi="宋体" w:cs="宋体"/>
                <w:kern w:val="0"/>
                <w:sz w:val="24"/>
              </w:rPr>
              <w:t>个交易日预约的大额资金赎回，广东南粤银行有权拒绝赎回申请。</w:t>
            </w:r>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vAlign w:val="center"/>
          </w:tcPr>
          <w:p>
            <w:pPr>
              <w:pStyle w:val="2"/>
              <w:spacing w:line="360" w:lineRule="exact"/>
              <w:ind w:firstLine="0" w:firstLineChars="0"/>
              <w:jc w:val="center"/>
              <w:rPr>
                <w:rFonts w:ascii="宋体" w:hAnsi="宋体" w:eastAsia="宋体" w:cs="宋体"/>
                <w:color w:val="000000"/>
                <w:kern w:val="0"/>
                <w:szCs w:val="24"/>
              </w:rPr>
            </w:pPr>
            <w:r>
              <w:rPr>
                <w:rFonts w:hint="eastAsia" w:ascii="宋体" w:hAnsi="宋体" w:eastAsia="宋体" w:cs="宋体"/>
                <w:color w:val="000000"/>
                <w:kern w:val="0"/>
                <w:szCs w:val="24"/>
              </w:rPr>
              <w:t>收益分配日</w:t>
            </w:r>
          </w:p>
        </w:tc>
        <w:tc>
          <w:tcPr>
            <w:tcW w:w="7016" w:type="dxa"/>
            <w:tcBorders>
              <w:top w:val="single" w:color="auto" w:sz="4" w:space="0"/>
              <w:left w:val="single" w:color="auto" w:sz="4" w:space="0"/>
              <w:bottom w:val="single" w:color="auto" w:sz="4" w:space="0"/>
              <w:right w:val="single" w:color="auto" w:sz="4" w:space="0"/>
            </w:tcBorders>
          </w:tcPr>
          <w:p>
            <w:pPr>
              <w:spacing w:line="360" w:lineRule="exact"/>
              <w:outlineLvl w:val="0"/>
              <w:rPr>
                <w:rFonts w:ascii="宋体" w:hAnsi="宋体" w:cs="宋体"/>
                <w:color w:val="000000"/>
                <w:kern w:val="0"/>
                <w:sz w:val="24"/>
              </w:rPr>
            </w:pPr>
            <w:r>
              <w:rPr>
                <w:rFonts w:hint="eastAsia" w:ascii="宋体" w:hAnsi="宋体" w:cs="宋体"/>
                <w:color w:val="000000"/>
                <w:kern w:val="0"/>
                <w:sz w:val="24"/>
              </w:rPr>
              <w:t>每月15日（遇节假日顺延至下一工作日）为收益的分配日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vAlign w:val="center"/>
          </w:tcPr>
          <w:p>
            <w:pPr>
              <w:pStyle w:val="2"/>
              <w:spacing w:line="360" w:lineRule="exact"/>
              <w:ind w:firstLine="0" w:firstLineChars="0"/>
              <w:jc w:val="center"/>
              <w:rPr>
                <w:rFonts w:ascii="宋体" w:hAnsi="宋体" w:eastAsia="宋体"/>
                <w:color w:val="000000"/>
                <w:szCs w:val="24"/>
              </w:rPr>
            </w:pPr>
            <w:r>
              <w:rPr>
                <w:rFonts w:hint="eastAsia" w:ascii="宋体" w:hAnsi="宋体" w:eastAsia="宋体"/>
                <w:color w:val="000000"/>
                <w:szCs w:val="24"/>
              </w:rPr>
              <w:t>理财资金托管行</w:t>
            </w:r>
          </w:p>
        </w:tc>
        <w:tc>
          <w:tcPr>
            <w:tcW w:w="7016" w:type="dxa"/>
            <w:tcBorders>
              <w:top w:val="single" w:color="auto" w:sz="4" w:space="0"/>
              <w:left w:val="single" w:color="auto" w:sz="4" w:space="0"/>
              <w:bottom w:val="single" w:color="auto" w:sz="4" w:space="0"/>
              <w:right w:val="single" w:color="auto" w:sz="4" w:space="0"/>
            </w:tcBorders>
          </w:tcPr>
          <w:p>
            <w:pPr>
              <w:spacing w:line="360" w:lineRule="exact"/>
              <w:outlineLvl w:val="0"/>
              <w:rPr>
                <w:rFonts w:ascii="宋体" w:hAnsi="宋体" w:cs="宋体"/>
                <w:color w:val="000000"/>
                <w:kern w:val="0"/>
                <w:sz w:val="24"/>
              </w:rPr>
            </w:pPr>
            <w:r>
              <w:rPr>
                <w:rFonts w:hint="eastAsia" w:ascii="宋体" w:hAnsi="宋体" w:cs="宋体"/>
                <w:color w:val="000000"/>
                <w:kern w:val="0"/>
                <w:sz w:val="24"/>
              </w:rPr>
              <w:t>中国邮政储蓄银行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 w:val="24"/>
              </w:rPr>
            </w:pPr>
            <w:r>
              <w:rPr>
                <w:rFonts w:hint="eastAsia" w:ascii="宋体" w:hAnsi="宋体"/>
                <w:color w:val="000000"/>
                <w:sz w:val="24"/>
              </w:rPr>
              <w:t>资金投向</w:t>
            </w:r>
          </w:p>
        </w:tc>
        <w:tc>
          <w:tcPr>
            <w:tcW w:w="7016" w:type="dxa"/>
            <w:tcBorders>
              <w:top w:val="single" w:color="auto" w:sz="4" w:space="0"/>
              <w:left w:val="single" w:color="auto" w:sz="4" w:space="0"/>
              <w:bottom w:val="single" w:color="auto" w:sz="4" w:space="0"/>
              <w:right w:val="single" w:color="auto" w:sz="4" w:space="0"/>
            </w:tcBorders>
            <w:vAlign w:val="center"/>
          </w:tcPr>
          <w:p>
            <w:pPr>
              <w:spacing w:line="360" w:lineRule="exact"/>
              <w:outlineLvl w:val="0"/>
              <w:rPr>
                <w:rFonts w:ascii="宋体" w:hAnsi="宋体" w:cs="宋体"/>
                <w:color w:val="000000"/>
                <w:kern w:val="0"/>
                <w:sz w:val="24"/>
              </w:rPr>
            </w:pPr>
            <w:r>
              <w:rPr>
                <w:rFonts w:hint="eastAsia" w:ascii="宋体" w:hAnsi="宋体" w:cs="宋体"/>
                <w:color w:val="000000"/>
                <w:kern w:val="0"/>
                <w:sz w:val="24"/>
              </w:rPr>
              <w:t>现金、银行存款、银行间市场债券、债券回购、央行票据、货币基金、债券基金以及固定收益类信托计划、券商资产管理计划、定向资产管理计划和专项资产管理计划等。其中现金比例原则上不低于净资产的10%，其他金融产品合计占净资产比例为0%-90%（理财产品存续期内可能因市场的重大变化导致投资比例暂时超出上述区间，广东南粤银行将以投资者利益最大化为原则尽快使投资比例恢复至上述规定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 w:val="24"/>
              </w:rPr>
            </w:pPr>
            <w:r>
              <w:rPr>
                <w:rFonts w:hint="eastAsia" w:ascii="宋体" w:hAnsi="宋体"/>
                <w:color w:val="000000"/>
                <w:sz w:val="24"/>
              </w:rPr>
              <w:t>税务处理</w:t>
            </w:r>
          </w:p>
        </w:tc>
        <w:tc>
          <w:tcPr>
            <w:tcW w:w="701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kern w:val="0"/>
                <w:sz w:val="24"/>
              </w:rPr>
            </w:pPr>
            <w:r>
              <w:rPr>
                <w:rFonts w:hint="eastAsia" w:ascii="宋体" w:hAnsi="宋体" w:cs="宋体"/>
                <w:color w:val="000000"/>
                <w:kern w:val="0"/>
                <w:sz w:val="24"/>
              </w:rPr>
              <w:t>我行不代扣代缴，但法律、法规另有规定除外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 w:val="24"/>
              </w:rPr>
            </w:pPr>
            <w:r>
              <w:rPr>
                <w:rFonts w:hint="eastAsia" w:ascii="宋体" w:hAnsi="宋体"/>
                <w:color w:val="000000"/>
                <w:sz w:val="24"/>
              </w:rPr>
              <w:t>其他规定</w:t>
            </w:r>
          </w:p>
        </w:tc>
        <w:tc>
          <w:tcPr>
            <w:tcW w:w="701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kern w:val="0"/>
                <w:sz w:val="24"/>
              </w:rPr>
            </w:pPr>
            <w:r>
              <w:rPr>
                <w:rFonts w:hint="eastAsia" w:ascii="宋体" w:hAnsi="宋体" w:cs="宋体"/>
                <w:color w:val="000000"/>
                <w:kern w:val="0"/>
                <w:sz w:val="24"/>
              </w:rPr>
              <w:t>1、投资者签署《广东南粤银行理财产品客户协议书》后，即视为投资者同意广东南粤银行有权在认购日从投资者账户中冻结其签约本金，募集期间冻结资金按同期活期利率计算利息；</w:t>
            </w:r>
          </w:p>
          <w:p>
            <w:pPr>
              <w:spacing w:line="360" w:lineRule="exact"/>
              <w:rPr>
                <w:rFonts w:ascii="宋体" w:hAnsi="宋体" w:cs="宋体"/>
                <w:color w:val="000000"/>
                <w:kern w:val="0"/>
                <w:sz w:val="24"/>
              </w:rPr>
            </w:pPr>
            <w:r>
              <w:rPr>
                <w:rFonts w:hint="eastAsia" w:ascii="宋体" w:hAnsi="宋体" w:cs="宋体"/>
                <w:color w:val="000000"/>
                <w:kern w:val="0"/>
                <w:sz w:val="24"/>
              </w:rPr>
              <w:t>2、到期日至到账日之间，投资者资金不计利息；</w:t>
            </w:r>
          </w:p>
          <w:p>
            <w:pPr>
              <w:spacing w:line="360" w:lineRule="exact"/>
              <w:rPr>
                <w:rFonts w:ascii="宋体" w:hAnsi="宋体" w:cs="宋体"/>
                <w:color w:val="000000"/>
                <w:kern w:val="0"/>
                <w:sz w:val="24"/>
              </w:rPr>
            </w:pPr>
            <w:r>
              <w:rPr>
                <w:rFonts w:hint="eastAsia" w:ascii="宋体" w:hAnsi="宋体" w:cs="宋体"/>
                <w:color w:val="000000"/>
                <w:kern w:val="0"/>
                <w:sz w:val="24"/>
              </w:rPr>
              <w:t>3、产品以单利计算利息。</w:t>
            </w:r>
          </w:p>
        </w:tc>
      </w:tr>
    </w:tbl>
    <w:p>
      <w:pPr>
        <w:spacing w:line="360" w:lineRule="exact"/>
        <w:rPr>
          <w:rFonts w:ascii="宋体" w:hAnsi="宋体" w:cs="宋体"/>
          <w:b/>
          <w:color w:val="000000"/>
          <w:kern w:val="0"/>
          <w:sz w:val="24"/>
        </w:rPr>
      </w:pPr>
      <w:r>
        <w:rPr>
          <w:rFonts w:hint="eastAsia" w:ascii="宋体" w:hAnsi="宋体" w:cs="宋体"/>
          <w:b/>
          <w:color w:val="000000"/>
          <w:kern w:val="0"/>
          <w:sz w:val="24"/>
        </w:rPr>
        <w:t xml:space="preserve">                                                          </w:t>
      </w:r>
    </w:p>
    <w:p>
      <w:pPr>
        <w:spacing w:line="480" w:lineRule="exact"/>
        <w:ind w:firstLine="354" w:firstLineChars="147"/>
        <w:rPr>
          <w:rFonts w:ascii="宋体" w:hAnsi="宋体" w:cs="宋体"/>
          <w:b/>
          <w:color w:val="000000"/>
          <w:kern w:val="0"/>
          <w:sz w:val="24"/>
        </w:rPr>
      </w:pPr>
      <w:r>
        <w:rPr>
          <w:rFonts w:hint="eastAsia" w:ascii="宋体" w:hAnsi="宋体"/>
          <w:b/>
          <w:color w:val="000000"/>
          <w:sz w:val="24"/>
        </w:rPr>
        <w:t>申购与赎回</w:t>
      </w:r>
    </w:p>
    <w:p>
      <w:pPr>
        <w:widowControl/>
        <w:spacing w:line="480" w:lineRule="exact"/>
        <w:ind w:firstLine="480" w:firstLineChars="200"/>
        <w:jc w:val="left"/>
        <w:rPr>
          <w:rFonts w:ascii="宋体" w:hAnsi="宋体" w:cs="楷体_GB2312"/>
          <w:color w:val="000000"/>
          <w:kern w:val="0"/>
          <w:sz w:val="24"/>
        </w:rPr>
      </w:pPr>
      <w:r>
        <w:rPr>
          <w:rFonts w:hint="eastAsia" w:ascii="宋体" w:hAnsi="宋体" w:cs="楷体_GB2312"/>
          <w:color w:val="000000"/>
          <w:kern w:val="0"/>
          <w:sz w:val="24"/>
        </w:rPr>
        <w:t>1、本理财产品每交易日开放申购和赎回。</w:t>
      </w:r>
    </w:p>
    <w:p>
      <w:pPr>
        <w:widowControl/>
        <w:spacing w:line="480" w:lineRule="exact"/>
        <w:ind w:firstLine="480" w:firstLineChars="200"/>
        <w:jc w:val="left"/>
        <w:rPr>
          <w:rFonts w:ascii="宋体" w:hAnsi="宋体" w:cs="楷体_GB2312"/>
          <w:color w:val="000000"/>
          <w:kern w:val="0"/>
          <w:sz w:val="24"/>
        </w:rPr>
      </w:pPr>
      <w:r>
        <w:rPr>
          <w:rFonts w:hint="eastAsia" w:ascii="宋体" w:hAnsi="宋体" w:cs="楷体_GB2312"/>
          <w:color w:val="000000"/>
          <w:kern w:val="0"/>
          <w:sz w:val="24"/>
        </w:rPr>
        <w:t>2、申购和赎回时间：</w:t>
      </w:r>
    </w:p>
    <w:p>
      <w:pPr>
        <w:widowControl/>
        <w:spacing w:line="480" w:lineRule="exact"/>
        <w:ind w:firstLine="480" w:firstLineChars="200"/>
        <w:jc w:val="left"/>
        <w:rPr>
          <w:rFonts w:ascii="宋体" w:hAnsi="宋体" w:cs="楷体_GB2312"/>
          <w:color w:val="000000"/>
          <w:kern w:val="0"/>
          <w:sz w:val="24"/>
        </w:rPr>
      </w:pPr>
      <w:r>
        <w:rPr>
          <w:rFonts w:hint="eastAsia" w:ascii="宋体" w:hAnsi="宋体" w:cs="楷体_GB2312"/>
          <w:color w:val="000000"/>
          <w:kern w:val="0"/>
          <w:sz w:val="24"/>
        </w:rPr>
        <w:t>交易日8：30－16：00发生的申购视为当日申购，当日资金扣款，当日计算收益。16：00至次交易日8:30发生的申购视为预约申购，次交易日资金扣款，次交易日计算收益。</w:t>
      </w:r>
    </w:p>
    <w:p>
      <w:pPr>
        <w:widowControl/>
        <w:spacing w:line="480" w:lineRule="exact"/>
        <w:ind w:firstLine="480" w:firstLineChars="200"/>
        <w:jc w:val="left"/>
        <w:rPr>
          <w:rFonts w:ascii="宋体" w:hAnsi="宋体" w:cs="楷体_GB2312"/>
          <w:color w:val="000000"/>
          <w:kern w:val="0"/>
          <w:sz w:val="24"/>
        </w:rPr>
      </w:pPr>
      <w:r>
        <w:rPr>
          <w:rFonts w:hint="eastAsia" w:ascii="宋体" w:hAnsi="宋体" w:cs="楷体_GB2312"/>
          <w:color w:val="000000"/>
          <w:kern w:val="0"/>
          <w:sz w:val="24"/>
        </w:rPr>
        <w:t>交易日8：30－16：00发生的赎回视为当日赎回，当日资金到账，不计算当日理财收益。16：00至次交易日8:30发生的赎回视为预约赎回，次交易日资金到账，不计算次交易日理财收益。</w:t>
      </w:r>
    </w:p>
    <w:p>
      <w:pPr>
        <w:widowControl/>
        <w:spacing w:line="480" w:lineRule="exact"/>
        <w:ind w:firstLine="480" w:firstLineChars="200"/>
        <w:jc w:val="left"/>
        <w:rPr>
          <w:rFonts w:ascii="宋体" w:hAnsi="宋体" w:cs="楷体_GB2312"/>
          <w:color w:val="000000"/>
          <w:kern w:val="0"/>
          <w:sz w:val="24"/>
        </w:rPr>
      </w:pPr>
      <w:r>
        <w:rPr>
          <w:rFonts w:hint="eastAsia" w:ascii="宋体" w:hAnsi="宋体" w:cs="楷体_GB2312"/>
          <w:color w:val="000000"/>
          <w:kern w:val="0"/>
          <w:sz w:val="24"/>
        </w:rPr>
        <w:t>3、金额要求：</w:t>
      </w:r>
    </w:p>
    <w:p>
      <w:pPr>
        <w:spacing w:line="360" w:lineRule="exact"/>
        <w:ind w:firstLine="480" w:firstLineChars="200"/>
        <w:outlineLvl w:val="0"/>
        <w:rPr>
          <w:rFonts w:ascii="宋体" w:hAnsi="宋体" w:cs="楷体_GB2312"/>
          <w:color w:val="000000"/>
          <w:kern w:val="0"/>
          <w:sz w:val="24"/>
        </w:rPr>
      </w:pPr>
      <w:r>
        <w:rPr>
          <w:rFonts w:hint="eastAsia" w:ascii="宋体" w:hAnsi="宋体" w:cs="楷体_GB2312"/>
          <w:color w:val="000000"/>
          <w:kern w:val="0"/>
          <w:sz w:val="24"/>
        </w:rPr>
        <w:t>（1）首次认购个人投资者最低起点金额为5万元，追加资金以1000元为单位递增；产品运作后，个人投资者可进行赎回或申购，金额以1000元为单位增减，变动后剩余本金不得低于1万元；</w:t>
      </w:r>
    </w:p>
    <w:p>
      <w:pPr>
        <w:spacing w:line="480" w:lineRule="exact"/>
        <w:ind w:firstLine="480" w:firstLineChars="200"/>
        <w:rPr>
          <w:rFonts w:ascii="宋体" w:hAnsi="宋体" w:cs="楷体_GB2312"/>
          <w:color w:val="000000"/>
          <w:kern w:val="0"/>
          <w:sz w:val="24"/>
        </w:rPr>
      </w:pPr>
      <w:r>
        <w:rPr>
          <w:rFonts w:hint="eastAsia" w:ascii="宋体" w:hAnsi="宋体" w:cs="楷体_GB2312"/>
          <w:color w:val="000000"/>
          <w:kern w:val="0"/>
          <w:sz w:val="24"/>
        </w:rPr>
        <w:t>（2）机构投资者最低起点为50万元，追加资金以1万元为单位递增；产品运作后，机构投资者可进行赎回或申购，金额以1万元为单位增减，变动后剩余本金不得低于10万元。</w:t>
      </w:r>
    </w:p>
    <w:p>
      <w:pPr>
        <w:spacing w:line="480" w:lineRule="exact"/>
        <w:ind w:firstLine="480" w:firstLineChars="200"/>
        <w:rPr>
          <w:rFonts w:ascii="宋体" w:hAnsi="宋体" w:cs="楷体_GB2312"/>
          <w:color w:val="000000"/>
          <w:kern w:val="0"/>
          <w:sz w:val="24"/>
        </w:rPr>
      </w:pPr>
      <w:r>
        <w:rPr>
          <w:rFonts w:hint="eastAsia" w:ascii="宋体" w:hAnsi="宋体" w:cs="楷体_GB2312"/>
          <w:color w:val="000000"/>
          <w:kern w:val="0"/>
          <w:sz w:val="24"/>
        </w:rPr>
        <w:t>4、赎回时的收益分配</w:t>
      </w:r>
    </w:p>
    <w:p>
      <w:pPr>
        <w:spacing w:line="480" w:lineRule="exact"/>
        <w:ind w:firstLine="480" w:firstLineChars="200"/>
        <w:rPr>
          <w:rFonts w:ascii="宋体" w:hAnsi="宋体" w:cs="楷体_GB2312"/>
          <w:color w:val="000000"/>
          <w:kern w:val="0"/>
          <w:sz w:val="24"/>
        </w:rPr>
      </w:pPr>
      <w:r>
        <w:rPr>
          <w:rFonts w:hint="eastAsia" w:ascii="宋体" w:hAnsi="宋体" w:cs="楷体_GB2312"/>
          <w:color w:val="000000"/>
          <w:kern w:val="0"/>
          <w:sz w:val="24"/>
        </w:rPr>
        <w:t>（1）全额赎回：投资者所有理财本金及未分配收益全部划入投资者签约账户，投资者与广东南粤银行就该理财资金的权利义务终止。</w:t>
      </w:r>
    </w:p>
    <w:p>
      <w:pPr>
        <w:spacing w:line="480" w:lineRule="exact"/>
        <w:ind w:firstLine="480" w:firstLineChars="200"/>
        <w:rPr>
          <w:rFonts w:ascii="宋体" w:hAnsi="宋体" w:cs="楷体_GB2312"/>
          <w:color w:val="000000"/>
          <w:kern w:val="0"/>
          <w:sz w:val="24"/>
        </w:rPr>
      </w:pPr>
      <w:r>
        <w:rPr>
          <w:rFonts w:hint="eastAsia" w:ascii="宋体" w:hAnsi="宋体" w:cs="楷体_GB2312"/>
          <w:color w:val="000000"/>
          <w:kern w:val="0"/>
          <w:sz w:val="24"/>
        </w:rPr>
        <w:t xml:space="preserve">（2）部分赎回：客户只能部分赎回本金，收益不进行分配，待产品收益分配日统一分配； </w:t>
      </w:r>
    </w:p>
    <w:p>
      <w:pPr>
        <w:spacing w:line="480" w:lineRule="exact"/>
        <w:ind w:firstLine="480" w:firstLineChars="200"/>
        <w:rPr>
          <w:rFonts w:ascii="宋体" w:hAnsi="宋体" w:cs="楷体_GB2312"/>
          <w:color w:val="000000"/>
          <w:kern w:val="0"/>
          <w:sz w:val="24"/>
        </w:rPr>
      </w:pPr>
    </w:p>
    <w:p>
      <w:pPr>
        <w:spacing w:line="480" w:lineRule="exact"/>
        <w:ind w:firstLine="472" w:firstLineChars="196"/>
        <w:rPr>
          <w:rFonts w:ascii="宋体" w:hAnsi="宋体"/>
          <w:b/>
          <w:color w:val="000000"/>
          <w:sz w:val="24"/>
        </w:rPr>
      </w:pPr>
      <w:r>
        <w:rPr>
          <w:rFonts w:hint="eastAsia" w:ascii="宋体" w:hAnsi="宋体"/>
          <w:b/>
          <w:color w:val="000000"/>
          <w:sz w:val="24"/>
        </w:rPr>
        <w:t>理财本金与收益测算</w:t>
      </w:r>
    </w:p>
    <w:p>
      <w:pPr>
        <w:widowControl/>
        <w:spacing w:line="480" w:lineRule="exact"/>
        <w:ind w:firstLine="480" w:firstLineChars="200"/>
        <w:jc w:val="left"/>
        <w:rPr>
          <w:rFonts w:ascii="宋体" w:hAnsi="宋体" w:cs="楷体_GB2312"/>
          <w:color w:val="000000"/>
          <w:kern w:val="0"/>
          <w:sz w:val="24"/>
        </w:rPr>
      </w:pPr>
      <w:r>
        <w:rPr>
          <w:rFonts w:hint="eastAsia" w:ascii="宋体" w:hAnsi="宋体" w:cs="楷体_GB2312"/>
          <w:color w:val="000000"/>
          <w:kern w:val="0"/>
          <w:sz w:val="24"/>
        </w:rPr>
        <w:t>1、当日年化收益率：本理财产品当日收益率根据市场行情及广东南粤银行实际资产运作情况计算。</w:t>
      </w:r>
    </w:p>
    <w:p>
      <w:pPr>
        <w:widowControl/>
        <w:spacing w:line="480" w:lineRule="exact"/>
        <w:ind w:firstLine="480" w:firstLineChars="200"/>
        <w:jc w:val="left"/>
        <w:rPr>
          <w:rFonts w:ascii="宋体" w:hAnsi="宋体" w:cs="楷体_GB2312"/>
          <w:color w:val="000000"/>
          <w:kern w:val="0"/>
          <w:sz w:val="24"/>
        </w:rPr>
      </w:pPr>
      <w:r>
        <w:rPr>
          <w:rFonts w:hint="eastAsia" w:ascii="宋体" w:hAnsi="宋体" w:cs="楷体_GB2312"/>
          <w:color w:val="000000"/>
          <w:kern w:val="0"/>
          <w:sz w:val="24"/>
        </w:rPr>
        <w:t>2、理财产品本金与收益率测算</w:t>
      </w:r>
    </w:p>
    <w:p>
      <w:pPr>
        <w:widowControl/>
        <w:spacing w:line="480" w:lineRule="exact"/>
        <w:ind w:left="420" w:leftChars="200" w:firstLine="480" w:firstLineChars="200"/>
        <w:jc w:val="left"/>
        <w:rPr>
          <w:rFonts w:ascii="宋体" w:hAnsi="宋体" w:cs="楷体_GB2312"/>
          <w:color w:val="000000"/>
          <w:kern w:val="0"/>
          <w:sz w:val="24"/>
        </w:rPr>
      </w:pPr>
      <w:r>
        <w:rPr>
          <w:rFonts w:hint="eastAsia" w:ascii="宋体" w:hAnsi="宋体" w:cs="楷体_GB2312"/>
          <w:color w:val="000000"/>
          <w:kern w:val="0"/>
          <w:sz w:val="24"/>
        </w:rPr>
        <w:t>1）投资者的当日预期理财收益=投资者当日持有的本理财产品余额×当日收益率÷365</w:t>
      </w:r>
    </w:p>
    <w:p>
      <w:pPr>
        <w:widowControl/>
        <w:spacing w:line="480" w:lineRule="exact"/>
        <w:ind w:left="420" w:leftChars="200" w:firstLine="480" w:firstLineChars="200"/>
        <w:jc w:val="left"/>
        <w:rPr>
          <w:rFonts w:ascii="宋体" w:hAnsi="宋体" w:cs="楷体_GB2312"/>
          <w:color w:val="000000"/>
          <w:kern w:val="0"/>
          <w:sz w:val="24"/>
        </w:rPr>
      </w:pPr>
      <w:r>
        <w:rPr>
          <w:rFonts w:hint="eastAsia" w:ascii="宋体" w:hAnsi="宋体" w:cs="楷体_GB2312"/>
          <w:color w:val="000000"/>
          <w:kern w:val="0"/>
          <w:sz w:val="24"/>
        </w:rPr>
        <w:t>2）投资者总收益＝自理财产品申购日（如为发行期认购则为理财产品成立日）起至赎回日或理财产品到期日（不含该日）期间相应理财产品资金每日的当日理财收益之和。</w:t>
      </w:r>
    </w:p>
    <w:p>
      <w:pPr>
        <w:widowControl/>
        <w:spacing w:line="480" w:lineRule="exact"/>
        <w:ind w:firstLine="960" w:firstLineChars="400"/>
        <w:jc w:val="left"/>
        <w:rPr>
          <w:rFonts w:ascii="宋体" w:hAnsi="宋体" w:cs="楷体_GB2312"/>
          <w:color w:val="000000"/>
          <w:kern w:val="0"/>
          <w:sz w:val="24"/>
        </w:rPr>
      </w:pPr>
      <w:r>
        <w:rPr>
          <w:rFonts w:hint="eastAsia" w:ascii="宋体" w:hAnsi="宋体" w:cs="楷体_GB2312"/>
          <w:color w:val="000000"/>
          <w:kern w:val="0"/>
          <w:sz w:val="24"/>
        </w:rPr>
        <w:t>3）理财收益按四舍五入法保留两位小数。</w:t>
      </w:r>
    </w:p>
    <w:p>
      <w:pPr>
        <w:widowControl/>
        <w:spacing w:line="480" w:lineRule="exact"/>
        <w:ind w:firstLine="480" w:firstLineChars="200"/>
        <w:jc w:val="left"/>
        <w:rPr>
          <w:rFonts w:ascii="宋体" w:hAnsi="宋体" w:cs="楷体_GB2312"/>
          <w:color w:val="000000"/>
          <w:kern w:val="0"/>
          <w:sz w:val="24"/>
        </w:rPr>
      </w:pPr>
      <w:r>
        <w:rPr>
          <w:rFonts w:hint="eastAsia" w:ascii="宋体" w:hAnsi="宋体" w:cs="楷体_GB2312"/>
          <w:color w:val="000000"/>
          <w:kern w:val="0"/>
          <w:sz w:val="24"/>
        </w:rPr>
        <w:t>3、理财收益测算示例：</w:t>
      </w:r>
    </w:p>
    <w:p>
      <w:pPr>
        <w:widowControl/>
        <w:spacing w:line="480" w:lineRule="exact"/>
        <w:ind w:firstLine="480" w:firstLineChars="200"/>
        <w:jc w:val="left"/>
        <w:rPr>
          <w:rFonts w:ascii="宋体" w:hAnsi="宋体" w:cs="楷体_GB2312"/>
          <w:color w:val="000000"/>
          <w:kern w:val="0"/>
          <w:sz w:val="24"/>
        </w:rPr>
      </w:pPr>
      <w:r>
        <w:rPr>
          <w:rFonts w:hint="eastAsia" w:ascii="宋体" w:hAnsi="宋体" w:cs="楷体_GB2312"/>
          <w:color w:val="000000"/>
          <w:kern w:val="0"/>
          <w:sz w:val="24"/>
        </w:rPr>
        <w:t>假定个人投资者理财本金为人民币50000元，假设当日理财收益率为2.8%，第二日申购50000元，次日理财收益率为3.1%，第三日赎回30000元，第三日理财收益率为3.2%，第四日全额赎回，则投资者累积理财收益为：</w:t>
      </w:r>
    </w:p>
    <w:p>
      <w:pPr>
        <w:widowControl/>
        <w:spacing w:line="480" w:lineRule="exact"/>
        <w:ind w:firstLine="480" w:firstLineChars="200"/>
        <w:jc w:val="left"/>
        <w:rPr>
          <w:rFonts w:ascii="宋体" w:hAnsi="宋体" w:cs="楷体_GB2312"/>
          <w:color w:val="000000"/>
          <w:kern w:val="0"/>
          <w:sz w:val="24"/>
        </w:rPr>
      </w:pPr>
      <w:r>
        <w:rPr>
          <w:rFonts w:hint="eastAsia" w:ascii="宋体" w:hAnsi="宋体" w:cs="楷体_GB2312"/>
          <w:color w:val="000000"/>
          <w:kern w:val="0"/>
          <w:sz w:val="24"/>
        </w:rPr>
        <w:t>第一日：50000*2.8%÷365=3.84（元）</w:t>
      </w:r>
    </w:p>
    <w:p>
      <w:pPr>
        <w:widowControl/>
        <w:spacing w:line="480" w:lineRule="exact"/>
        <w:ind w:firstLine="480" w:firstLineChars="200"/>
        <w:jc w:val="left"/>
        <w:rPr>
          <w:rFonts w:ascii="宋体" w:hAnsi="宋体" w:cs="楷体_GB2312"/>
          <w:color w:val="000000"/>
          <w:kern w:val="0"/>
          <w:sz w:val="24"/>
        </w:rPr>
      </w:pPr>
      <w:r>
        <w:rPr>
          <w:rFonts w:hint="eastAsia" w:ascii="宋体" w:hAnsi="宋体" w:cs="楷体_GB2312"/>
          <w:color w:val="000000"/>
          <w:kern w:val="0"/>
          <w:sz w:val="24"/>
        </w:rPr>
        <w:t>第二日：（50000+50000）*3.1%÷365=8.49(元)</w:t>
      </w:r>
    </w:p>
    <w:p>
      <w:pPr>
        <w:widowControl/>
        <w:spacing w:line="480" w:lineRule="exact"/>
        <w:ind w:firstLine="480" w:firstLineChars="200"/>
        <w:jc w:val="left"/>
        <w:rPr>
          <w:rFonts w:ascii="宋体" w:hAnsi="宋体" w:cs="楷体_GB2312"/>
          <w:color w:val="000000"/>
          <w:kern w:val="0"/>
          <w:sz w:val="24"/>
        </w:rPr>
      </w:pPr>
      <w:r>
        <w:rPr>
          <w:rFonts w:hint="eastAsia" w:ascii="宋体" w:hAnsi="宋体" w:cs="楷体_GB2312"/>
          <w:color w:val="000000"/>
          <w:kern w:val="0"/>
          <w:sz w:val="24"/>
        </w:rPr>
        <w:t>第三日：（50000+50000-30000）*3.2%÷365=6.14（元）</w:t>
      </w:r>
    </w:p>
    <w:p>
      <w:pPr>
        <w:widowControl/>
        <w:spacing w:line="480" w:lineRule="exact"/>
        <w:ind w:firstLine="480" w:firstLineChars="200"/>
        <w:jc w:val="left"/>
        <w:rPr>
          <w:rFonts w:ascii="宋体" w:hAnsi="宋体" w:cs="楷体_GB2312"/>
          <w:color w:val="000000"/>
          <w:kern w:val="0"/>
          <w:sz w:val="24"/>
        </w:rPr>
      </w:pPr>
      <w:r>
        <w:rPr>
          <w:rFonts w:hint="eastAsia" w:ascii="宋体" w:hAnsi="宋体" w:cs="楷体_GB2312"/>
          <w:color w:val="000000"/>
          <w:kern w:val="0"/>
          <w:sz w:val="24"/>
        </w:rPr>
        <w:t>累积赎回收益=3.84+8.49+6.14=18.47元</w:t>
      </w:r>
    </w:p>
    <w:p>
      <w:pPr>
        <w:widowControl/>
        <w:spacing w:line="480" w:lineRule="exact"/>
        <w:jc w:val="left"/>
        <w:rPr>
          <w:rFonts w:ascii="宋体" w:hAnsi="宋体" w:cs="楷体_GB2312"/>
          <w:b/>
          <w:color w:val="000000"/>
          <w:kern w:val="0"/>
          <w:sz w:val="24"/>
        </w:rPr>
      </w:pPr>
      <w:r>
        <w:rPr>
          <w:rFonts w:hint="eastAsia" w:ascii="宋体" w:hAnsi="宋体" w:cs="楷体_GB2312"/>
          <w:b/>
          <w:color w:val="000000"/>
          <w:kern w:val="0"/>
          <w:sz w:val="24"/>
        </w:rPr>
        <w:t>（上述示例数据均采用假设数据计算，测算收益不等于实际收益，投资须谨慎）</w:t>
      </w:r>
    </w:p>
    <w:p>
      <w:pPr>
        <w:widowControl/>
        <w:spacing w:line="480" w:lineRule="exact"/>
        <w:ind w:firstLine="480" w:firstLineChars="200"/>
        <w:jc w:val="left"/>
        <w:rPr>
          <w:rFonts w:ascii="宋体" w:hAnsi="宋体" w:cs="楷体_GB2312"/>
          <w:color w:val="000000"/>
          <w:kern w:val="0"/>
          <w:sz w:val="24"/>
        </w:rPr>
      </w:pPr>
      <w:r>
        <w:rPr>
          <w:rFonts w:hint="eastAsia" w:ascii="宋体" w:hAnsi="宋体" w:cs="楷体_GB2312"/>
          <w:color w:val="000000"/>
          <w:kern w:val="0"/>
          <w:sz w:val="24"/>
        </w:rPr>
        <w:t>4、存续收益分配</w:t>
      </w:r>
    </w:p>
    <w:p>
      <w:pPr>
        <w:widowControl/>
        <w:spacing w:line="480" w:lineRule="exact"/>
        <w:ind w:firstLine="480" w:firstLineChars="200"/>
        <w:jc w:val="left"/>
        <w:rPr>
          <w:rFonts w:ascii="宋体" w:hAnsi="宋体" w:cs="楷体_GB2312"/>
          <w:color w:val="000000"/>
          <w:kern w:val="0"/>
          <w:sz w:val="24"/>
        </w:rPr>
      </w:pPr>
      <w:r>
        <w:rPr>
          <w:rFonts w:hint="eastAsia" w:ascii="宋体" w:hAnsi="宋体" w:cs="楷体_GB2312"/>
          <w:color w:val="000000"/>
          <w:kern w:val="0"/>
          <w:sz w:val="24"/>
        </w:rPr>
        <w:t>每月15日（遇节假日顺延至节后第一个工作日）广东南粤银行根据投资者实际本金及投资期限分配投资者收益；</w:t>
      </w:r>
    </w:p>
    <w:p>
      <w:pPr>
        <w:pStyle w:val="6"/>
        <w:adjustRightInd w:val="0"/>
        <w:snapToGrid w:val="0"/>
        <w:spacing w:before="0" w:beforeAutospacing="0" w:after="0" w:afterAutospacing="0" w:line="480" w:lineRule="exact"/>
        <w:ind w:firstLine="562" w:firstLineChars="200"/>
        <w:textAlignment w:val="center"/>
        <w:rPr>
          <w:rFonts w:ascii="Times New Roman" w:hAnsi="Times New Roman" w:eastAsia="仿宋_GB2312" w:cs="Times New Roman"/>
          <w:b/>
          <w:bCs/>
          <w:snapToGrid w:val="0"/>
          <w:kern w:val="2"/>
          <w:sz w:val="28"/>
          <w:szCs w:val="28"/>
        </w:rPr>
      </w:pPr>
    </w:p>
    <w:p>
      <w:pPr>
        <w:pStyle w:val="6"/>
        <w:adjustRightInd w:val="0"/>
        <w:snapToGrid w:val="0"/>
        <w:spacing w:before="0" w:beforeAutospacing="0" w:after="0" w:afterAutospacing="0" w:line="480" w:lineRule="exact"/>
        <w:ind w:firstLine="482" w:firstLineChars="200"/>
        <w:textAlignment w:val="center"/>
        <w:rPr>
          <w:rFonts w:ascii="宋体" w:hAnsi="宋体" w:eastAsia="宋体" w:cs="楷体_GB2312"/>
          <w:b/>
          <w:color w:val="000000"/>
        </w:rPr>
      </w:pPr>
      <w:r>
        <w:rPr>
          <w:rFonts w:hint="eastAsia" w:ascii="宋体" w:hAnsi="宋体" w:eastAsia="宋体" w:cs="楷体_GB2312"/>
          <w:b/>
          <w:color w:val="000000"/>
        </w:rPr>
        <w:t>提前终止和延续</w:t>
      </w:r>
    </w:p>
    <w:p>
      <w:pPr>
        <w:spacing w:line="480" w:lineRule="exact"/>
        <w:ind w:firstLine="480" w:firstLineChars="200"/>
        <w:rPr>
          <w:rFonts w:ascii="宋体" w:hAnsi="宋体" w:cs="楷体_GB2312"/>
          <w:color w:val="000000"/>
          <w:kern w:val="0"/>
          <w:sz w:val="24"/>
        </w:rPr>
      </w:pPr>
      <w:r>
        <w:rPr>
          <w:rFonts w:hint="eastAsia" w:ascii="宋体" w:hAnsi="宋体" w:cs="楷体_GB2312"/>
          <w:color w:val="000000"/>
          <w:kern w:val="0"/>
          <w:sz w:val="24"/>
        </w:rPr>
        <w:t>1、广东南粤银行有权提前终止本理财产品，广东南粤银行将提前5个交易日以公告形式通知投资者，并于提前终止日2个交易日内，将投资者理财本金和未分配收益一次性划入投资者签约账户。</w:t>
      </w:r>
    </w:p>
    <w:p>
      <w:pPr>
        <w:spacing w:line="480" w:lineRule="exact"/>
        <w:ind w:firstLine="480" w:firstLineChars="200"/>
        <w:rPr>
          <w:rFonts w:ascii="宋体" w:hAnsi="宋体" w:cs="楷体_GB2312"/>
          <w:color w:val="000000"/>
          <w:kern w:val="0"/>
          <w:sz w:val="24"/>
        </w:rPr>
      </w:pPr>
      <w:r>
        <w:rPr>
          <w:rFonts w:hint="eastAsia" w:ascii="宋体" w:hAnsi="宋体" w:cs="楷体_GB2312"/>
          <w:color w:val="000000"/>
          <w:kern w:val="0"/>
          <w:sz w:val="24"/>
        </w:rPr>
        <w:t>2、广东南粤银行有权延长本产品期限，广东南粤银行将提前5个交易日以公告形式通知投资者。</w:t>
      </w:r>
    </w:p>
    <w:p>
      <w:pPr>
        <w:spacing w:line="480" w:lineRule="exact"/>
        <w:ind w:firstLine="480" w:firstLineChars="200"/>
        <w:rPr>
          <w:sz w:val="24"/>
        </w:rPr>
      </w:pPr>
    </w:p>
    <w:p>
      <w:pPr>
        <w:widowControl/>
        <w:spacing w:line="480" w:lineRule="exact"/>
        <w:ind w:firstLine="472" w:firstLineChars="196"/>
        <w:jc w:val="left"/>
        <w:rPr>
          <w:rFonts w:ascii="宋体" w:hAnsi="宋体" w:cs="宋体"/>
          <w:b/>
          <w:bCs/>
          <w:color w:val="000000"/>
          <w:kern w:val="0"/>
          <w:sz w:val="24"/>
        </w:rPr>
      </w:pPr>
      <w:r>
        <w:rPr>
          <w:rFonts w:hint="eastAsia" w:ascii="宋体" w:hAnsi="宋体" w:cs="宋体"/>
          <w:b/>
          <w:bCs/>
          <w:color w:val="000000"/>
          <w:kern w:val="0"/>
          <w:sz w:val="24"/>
        </w:rPr>
        <w:t>信息披露及投诉方式</w:t>
      </w:r>
    </w:p>
    <w:p>
      <w:pPr>
        <w:widowControl/>
        <w:spacing w:line="480" w:lineRule="exact"/>
        <w:ind w:firstLine="480" w:firstLineChars="200"/>
        <w:jc w:val="left"/>
        <w:rPr>
          <w:rFonts w:ascii="宋体" w:hAnsi="宋体" w:cs="楷体_GB2312"/>
          <w:color w:val="000000"/>
          <w:kern w:val="0"/>
          <w:sz w:val="24"/>
        </w:rPr>
      </w:pPr>
      <w:r>
        <w:rPr>
          <w:rFonts w:hint="eastAsia" w:ascii="宋体" w:hAnsi="宋体" w:cs="宋体"/>
          <w:color w:val="000000"/>
          <w:kern w:val="0"/>
          <w:sz w:val="24"/>
        </w:rPr>
        <w:t>1</w:t>
      </w:r>
      <w:r>
        <w:rPr>
          <w:rFonts w:hint="eastAsia" w:ascii="宋体" w:hAnsi="宋体" w:cs="楷体_GB2312"/>
          <w:color w:val="000000"/>
          <w:kern w:val="0"/>
          <w:sz w:val="24"/>
        </w:rPr>
        <w:t>、广东南粤银行通过官方网站（www.gdnybank.com）发布产品相关信息，投资者可在广东南粤银行官方网站或到各营业网点或进行查询。</w:t>
      </w:r>
    </w:p>
    <w:p>
      <w:pPr>
        <w:widowControl/>
        <w:spacing w:line="480" w:lineRule="exact"/>
        <w:ind w:firstLine="480" w:firstLineChars="200"/>
        <w:jc w:val="left"/>
        <w:rPr>
          <w:rFonts w:ascii="宋体" w:hAnsi="宋体" w:cs="楷体_GB2312"/>
          <w:color w:val="000000"/>
          <w:kern w:val="0"/>
          <w:sz w:val="24"/>
        </w:rPr>
      </w:pPr>
      <w:r>
        <w:rPr>
          <w:rFonts w:hint="eastAsia" w:ascii="宋体" w:hAnsi="宋体" w:cs="楷体_GB2312"/>
          <w:color w:val="000000"/>
          <w:kern w:val="0"/>
          <w:sz w:val="24"/>
        </w:rPr>
        <w:t>2、广东南粤银行不单独为投资者提供本理财产品的有关资产变动、收入和费用、期末资产估值等情况的账单。</w:t>
      </w:r>
    </w:p>
    <w:p>
      <w:pPr>
        <w:widowControl/>
        <w:spacing w:line="480" w:lineRule="exact"/>
        <w:ind w:firstLine="480" w:firstLineChars="200"/>
        <w:jc w:val="left"/>
        <w:rPr>
          <w:rFonts w:ascii="宋体" w:hAnsi="宋体" w:cs="楷体_GB2312"/>
          <w:color w:val="000000"/>
          <w:kern w:val="0"/>
          <w:sz w:val="24"/>
        </w:rPr>
      </w:pPr>
      <w:r>
        <w:rPr>
          <w:rFonts w:hint="eastAsia" w:ascii="宋体" w:hAnsi="宋体" w:cs="楷体_GB2312"/>
          <w:color w:val="000000"/>
          <w:kern w:val="0"/>
          <w:sz w:val="24"/>
        </w:rPr>
        <w:t>3、投资者对本理财产品有任何异议或意见，可联系广东南粤银行各营业网点或致电广东南粤银行统一客户服务热线（4000961818）。</w:t>
      </w:r>
    </w:p>
    <w:p>
      <w:pPr>
        <w:widowControl/>
        <w:spacing w:line="480" w:lineRule="exact"/>
        <w:ind w:firstLine="482" w:firstLineChars="200"/>
        <w:jc w:val="right"/>
        <w:rPr>
          <w:rFonts w:ascii="宋体" w:hAnsi="宋体" w:cs="楷体_GB2312"/>
          <w:b/>
          <w:color w:val="000000"/>
          <w:kern w:val="0"/>
          <w:sz w:val="24"/>
        </w:rPr>
      </w:pPr>
    </w:p>
    <w:p>
      <w:pPr>
        <w:widowControl/>
        <w:spacing w:line="480" w:lineRule="exact"/>
        <w:ind w:firstLine="482" w:firstLineChars="200"/>
        <w:jc w:val="right"/>
        <w:rPr>
          <w:rFonts w:ascii="宋体" w:hAnsi="宋体"/>
          <w:b/>
          <w:color w:val="000000"/>
          <w:sz w:val="24"/>
        </w:rPr>
      </w:pPr>
      <w:r>
        <w:rPr>
          <w:rFonts w:hint="eastAsia" w:ascii="宋体" w:hAnsi="宋体" w:cs="楷体_GB2312"/>
          <w:b/>
          <w:color w:val="000000"/>
          <w:kern w:val="0"/>
          <w:sz w:val="24"/>
        </w:rPr>
        <w:t>广东南粤</w:t>
      </w:r>
      <w:r>
        <w:rPr>
          <w:rFonts w:hint="eastAsia" w:ascii="宋体" w:hAnsi="宋体"/>
          <w:b/>
          <w:color w:val="000000"/>
          <w:sz w:val="24"/>
        </w:rPr>
        <w:t>银行股份有限公司</w:t>
      </w:r>
    </w:p>
    <w:p>
      <w:pPr>
        <w:widowControl/>
        <w:spacing w:line="480" w:lineRule="exact"/>
        <w:ind w:firstLine="482" w:firstLineChars="200"/>
        <w:jc w:val="right"/>
        <w:rPr>
          <w:rFonts w:ascii="宋体" w:hAnsi="宋体"/>
          <w:b/>
          <w:color w:val="000000"/>
          <w:sz w:val="24"/>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Unicode MS">
    <w:panose1 w:val="020B0604020202020204"/>
    <w:charset w:val="86"/>
    <w:family w:val="decorative"/>
    <w:pitch w:val="default"/>
    <w:sig w:usb0="FFFFFFFF" w:usb1="E9FFFFFF" w:usb2="0000003F" w:usb3="00000000" w:csb0="603F01FF" w:csb1="FFFF0000"/>
  </w:font>
  <w:font w:name="仿宋_GB2312">
    <w:altName w:val="仿宋"/>
    <w:panose1 w:val="00000000000000000000"/>
    <w:charset w:val="86"/>
    <w:family w:val="swiss"/>
    <w:pitch w:val="default"/>
    <w:sig w:usb0="00000000" w:usb1="00000000" w:usb2="00000010" w:usb3="00000000" w:csb0="00040000" w:csb1="00000000"/>
  </w:font>
  <w:font w:name="楷体_GB2312">
    <w:altName w:val="楷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0735294">
    <w:nsid w:val="567876BE"/>
    <w:multiLevelType w:val="multilevel"/>
    <w:tmpl w:val="567876BE"/>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4507352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75154"/>
    <w:rsid w:val="000276BE"/>
    <w:rsid w:val="000C091A"/>
    <w:rsid w:val="000D6F86"/>
    <w:rsid w:val="000F685F"/>
    <w:rsid w:val="00135194"/>
    <w:rsid w:val="001851F9"/>
    <w:rsid w:val="002162FF"/>
    <w:rsid w:val="00264A6E"/>
    <w:rsid w:val="003F69F4"/>
    <w:rsid w:val="00410EEB"/>
    <w:rsid w:val="00471DA0"/>
    <w:rsid w:val="005974D6"/>
    <w:rsid w:val="005D690B"/>
    <w:rsid w:val="00853FD0"/>
    <w:rsid w:val="0089061E"/>
    <w:rsid w:val="00907F02"/>
    <w:rsid w:val="00975154"/>
    <w:rsid w:val="009A496C"/>
    <w:rsid w:val="009E7FAC"/>
    <w:rsid w:val="00AD38A8"/>
    <w:rsid w:val="00BA562B"/>
    <w:rsid w:val="00BF439F"/>
    <w:rsid w:val="00C0763F"/>
    <w:rsid w:val="00D13A0B"/>
    <w:rsid w:val="00D239D7"/>
    <w:rsid w:val="00D42EA1"/>
    <w:rsid w:val="00D57007"/>
    <w:rsid w:val="00DE4285"/>
    <w:rsid w:val="00E3203E"/>
    <w:rsid w:val="00F03D19"/>
    <w:rsid w:val="00F413ED"/>
    <w:rsid w:val="73887C5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ody Text Indent"/>
    <w:basedOn w:val="1"/>
    <w:link w:val="10"/>
    <w:unhideWhenUsed/>
    <w:qFormat/>
    <w:uiPriority w:val="0"/>
    <w:pPr>
      <w:spacing w:line="400" w:lineRule="exact"/>
      <w:ind w:firstLine="480" w:firstLineChars="200"/>
    </w:pPr>
    <w:rPr>
      <w:rFonts w:eastAsia="仿宋_GB2312"/>
      <w:color w:val="333333"/>
      <w:sz w:val="24"/>
      <w:szCs w:val="18"/>
    </w:rPr>
  </w:style>
  <w:style w:type="paragraph" w:styleId="3">
    <w:name w:val="Balloon Text"/>
    <w:basedOn w:val="1"/>
    <w:link w:val="11"/>
    <w:unhideWhenUsed/>
    <w:qFormat/>
    <w:uiPriority w:val="99"/>
    <w:rPr>
      <w:sz w:val="18"/>
      <w:szCs w:val="18"/>
    </w:rPr>
  </w:style>
  <w:style w:type="paragraph" w:styleId="4">
    <w:name w:val="footer"/>
    <w:basedOn w:val="1"/>
    <w:link w:val="9"/>
    <w:unhideWhenUsed/>
    <w:uiPriority w:val="0"/>
    <w:pPr>
      <w:tabs>
        <w:tab w:val="center" w:pos="4153"/>
        <w:tab w:val="right" w:pos="8306"/>
      </w:tabs>
      <w:snapToGrid w:val="0"/>
      <w:jc w:val="left"/>
    </w:pPr>
    <w:rPr>
      <w:rFonts w:eastAsia="仿宋_GB2312"/>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9">
    <w:name w:val="页脚 Char"/>
    <w:basedOn w:val="7"/>
    <w:link w:val="4"/>
    <w:qFormat/>
    <w:uiPriority w:val="0"/>
    <w:rPr>
      <w:rFonts w:ascii="Times New Roman" w:hAnsi="Times New Roman" w:eastAsia="仿宋_GB2312" w:cs="Times New Roman"/>
      <w:sz w:val="18"/>
      <w:szCs w:val="18"/>
    </w:rPr>
  </w:style>
  <w:style w:type="character" w:customStyle="1" w:styleId="10">
    <w:name w:val="正文文本缩进 Char"/>
    <w:basedOn w:val="7"/>
    <w:link w:val="2"/>
    <w:qFormat/>
    <w:uiPriority w:val="0"/>
    <w:rPr>
      <w:rFonts w:eastAsia="仿宋_GB2312" w:cs="Times New Roman"/>
      <w:color w:val="333333"/>
      <w:sz w:val="24"/>
      <w:szCs w:val="18"/>
    </w:rPr>
  </w:style>
  <w:style w:type="character" w:customStyle="1" w:styleId="11">
    <w:name w:val="批注框文本 Char"/>
    <w:basedOn w:val="7"/>
    <w:link w:val="3"/>
    <w:semiHidden/>
    <w:uiPriority w:val="99"/>
    <w:rPr>
      <w:rFonts w:ascii="Times New Roman" w:hAnsi="Times New Roman" w:eastAsia="宋体" w:cs="Times New Roman"/>
      <w:sz w:val="18"/>
      <w:szCs w:val="18"/>
    </w:rPr>
  </w:style>
  <w:style w:type="character" w:customStyle="1" w:styleId="12">
    <w:name w:val="页眉 Char"/>
    <w:basedOn w:val="7"/>
    <w:link w:val="5"/>
    <w:uiPriority w:val="99"/>
    <w:rPr>
      <w:rFonts w:ascii="Times New Roman" w:hAnsi="Times New Roman" w:eastAsia="宋体" w:cs="Times New Roman"/>
      <w:sz w:val="18"/>
      <w:szCs w:val="18"/>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F761CC-8EE4-4687-AC71-8320694A6736}">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638</Words>
  <Characters>3639</Characters>
  <Lines>30</Lines>
  <Paragraphs>8</Paragraphs>
  <TotalTime>0</TotalTime>
  <ScaleCrop>false</ScaleCrop>
  <LinksUpToDate>false</LinksUpToDate>
  <CharactersWithSpaces>4269</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2015-12-15T02:38:00Z</dcterms:created>
  <dc:creator>窦靖</dc:creator>
  <cp:lastModifiedBy>user</cp:lastModifiedBy>
  <dcterms:modified xsi:type="dcterms:W3CDTF">2015-12-31T07:36:33Z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