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E7" w:rsidRPr="00C17FE7" w:rsidRDefault="00C17FE7" w:rsidP="00C17FE7">
      <w:pPr>
        <w:widowControl/>
        <w:jc w:val="center"/>
        <w:rPr>
          <w:rFonts w:ascii="Courier New" w:eastAsia="宋体" w:hAnsi="Courier New" w:cs="宋体"/>
          <w:b/>
          <w:bCs/>
          <w:kern w:val="0"/>
          <w:sz w:val="36"/>
          <w:szCs w:val="36"/>
        </w:rPr>
      </w:pPr>
      <w:r w:rsidRPr="00C17FE7">
        <w:rPr>
          <w:rFonts w:ascii="Courier New" w:eastAsia="宋体" w:hAnsi="Courier New" w:cs="宋体"/>
          <w:b/>
          <w:bCs/>
          <w:kern w:val="0"/>
          <w:sz w:val="36"/>
          <w:szCs w:val="36"/>
        </w:rPr>
        <w:t>“</w:t>
      </w:r>
      <w:r w:rsidRPr="00C17FE7">
        <w:rPr>
          <w:rFonts w:ascii="Courier New" w:eastAsia="宋体" w:hAnsi="Courier New" w:cs="宋体"/>
          <w:b/>
          <w:bCs/>
          <w:kern w:val="0"/>
          <w:sz w:val="36"/>
          <w:szCs w:val="36"/>
        </w:rPr>
        <w:t>宝盈理财</w:t>
      </w:r>
      <w:r w:rsidRPr="00C17FE7">
        <w:rPr>
          <w:rFonts w:ascii="Courier New" w:eastAsia="宋体" w:hAnsi="Courier New" w:cs="宋体"/>
          <w:b/>
          <w:bCs/>
          <w:kern w:val="0"/>
          <w:sz w:val="36"/>
          <w:szCs w:val="36"/>
        </w:rPr>
        <w:t>”</w:t>
      </w:r>
      <w:r w:rsidRPr="00C17FE7">
        <w:rPr>
          <w:rFonts w:ascii="Courier New" w:eastAsia="宋体" w:hAnsi="Courier New" w:cs="宋体"/>
          <w:b/>
          <w:bCs/>
          <w:kern w:val="0"/>
          <w:sz w:val="36"/>
          <w:szCs w:val="36"/>
        </w:rPr>
        <w:t>卓越</w:t>
      </w:r>
      <w:r w:rsidRPr="00C17FE7">
        <w:rPr>
          <w:rFonts w:ascii="Courier New" w:eastAsia="宋体" w:hAnsi="Courier New" w:cs="宋体"/>
          <w:b/>
          <w:bCs/>
          <w:kern w:val="0"/>
          <w:sz w:val="36"/>
          <w:szCs w:val="36"/>
        </w:rPr>
        <w:t>752</w:t>
      </w:r>
      <w:r w:rsidRPr="00C17FE7">
        <w:rPr>
          <w:rFonts w:ascii="Courier New" w:eastAsia="宋体" w:hAnsi="Courier New" w:cs="宋体"/>
          <w:b/>
          <w:bCs/>
          <w:kern w:val="0"/>
          <w:sz w:val="36"/>
          <w:szCs w:val="36"/>
        </w:rPr>
        <w:t>号人民币理财产品说明书</w:t>
      </w:r>
    </w:p>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客户须知</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本说明书所有条款解释权归广东南粤银行股份有限公司所有。</w:t>
      </w:r>
    </w:p>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产品定义</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C17FE7" w:rsidRPr="00C17FE7" w:rsidTr="00C17FE7">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产品名称</w:t>
            </w:r>
            <w:bookmarkStart w:id="0" w:name="_GoBack"/>
            <w:bookmarkEnd w:id="0"/>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“宝盈理财”卓越752号人民币理财产品</w:t>
            </w:r>
          </w:p>
        </w:tc>
      </w:tr>
      <w:tr w:rsidR="00C17FE7" w:rsidRPr="00C17FE7" w:rsidTr="00C17FE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代码：GDNY_ZY_752</w:t>
            </w:r>
          </w:p>
        </w:tc>
      </w:tr>
      <w:tr w:rsidR="00C17FE7" w:rsidRPr="00C17FE7" w:rsidTr="00C17FE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发行登记号：C1083015000360</w:t>
            </w:r>
          </w:p>
        </w:tc>
      </w:tr>
      <w:tr w:rsidR="00C17FE7" w:rsidRPr="00C17FE7" w:rsidTr="00C17FE7">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经我行风险评估，评定为稳健型、平衡型、成长型、进取型个人及机构客户。</w:t>
            </w:r>
          </w:p>
        </w:tc>
      </w:tr>
      <w:tr w:rsidR="00C17FE7" w:rsidRPr="00C17FE7" w:rsidTr="00C17FE7">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通过广东南粤银行各营业网点或广东南粤银行网银认购</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91天</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人民币</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非保本浮动收益型</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以实际募集金额为准</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2015年12月30日至2016年1月5日</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2016年1月6日。理财产品自起始日起息。</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2016年4月6日</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到期日后2个工作日内</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中国邮政储蓄银行</w:t>
            </w:r>
          </w:p>
        </w:tc>
      </w:tr>
      <w:tr w:rsidR="00C17FE7" w:rsidRPr="00C17FE7" w:rsidTr="00C17FE7">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C17FE7" w:rsidRPr="00C17FE7" w:rsidTr="00C17FE7">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个人客户：5万-30万：5.05%；30万-3000万：5.1%；</w:t>
            </w:r>
            <w:r w:rsidRPr="00C17FE7">
              <w:rPr>
                <w:rFonts w:ascii="楷体" w:eastAsia="楷体" w:hAnsi="楷体" w:cs="宋体" w:hint="eastAsia"/>
                <w:color w:val="000000"/>
                <w:kern w:val="0"/>
                <w:sz w:val="24"/>
                <w:szCs w:val="24"/>
              </w:rPr>
              <w:br/>
              <w:t>机构客户：50万-600万：5.05%；</w:t>
            </w:r>
          </w:p>
        </w:tc>
      </w:tr>
      <w:tr w:rsidR="00C17FE7" w:rsidRPr="00C17FE7" w:rsidTr="00C17FE7">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C17FE7" w:rsidRPr="00C17FE7" w:rsidTr="00C17FE7">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期末收益＝投资本金×实际收益率×实际理财天数/365</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客户无权提前终止该产品</w:t>
            </w:r>
          </w:p>
        </w:tc>
      </w:tr>
      <w:tr w:rsidR="00C17FE7" w:rsidRPr="00C17FE7" w:rsidTr="00C17FE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我行不代扣代缴，但法律、法规另有规定除外</w:t>
            </w:r>
          </w:p>
        </w:tc>
      </w:tr>
      <w:tr w:rsidR="00C17FE7" w:rsidRPr="00C17FE7" w:rsidTr="00C17FE7">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1、到期日至到账日之间，客户资金不计利息</w:t>
            </w:r>
          </w:p>
        </w:tc>
      </w:tr>
      <w:tr w:rsidR="00C17FE7" w:rsidRPr="00C17FE7" w:rsidTr="00C17FE7">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风险提示</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17FE7">
        <w:rPr>
          <w:rFonts w:ascii="楷体" w:eastAsia="楷体" w:hAnsi="楷体" w:cs="宋体" w:hint="eastAsia"/>
          <w:kern w:val="0"/>
          <w:sz w:val="24"/>
          <w:szCs w:val="24"/>
        </w:rPr>
        <w:t>会上下波动，影响理财产品收益。</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C17FE7" w:rsidRPr="00C17FE7" w:rsidRDefault="00C17FE7" w:rsidP="00C17FE7">
      <w:pPr>
        <w:widowControl/>
        <w:jc w:val="center"/>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（请投资者仔细阅读本产品说明书首页的风险提示）</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C17FE7" w:rsidRPr="00C17FE7" w:rsidTr="00C17FE7">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本理财产品内部风险评级为：R2</w:t>
            </w:r>
          </w:p>
        </w:tc>
      </w:tr>
      <w:tr w:rsidR="00C17FE7" w:rsidRPr="00C17FE7" w:rsidTr="00C17FE7">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适合投资策略</w:t>
            </w:r>
          </w:p>
        </w:tc>
      </w:tr>
      <w:tr w:rsidR="00C17FE7" w:rsidRPr="00C17FE7" w:rsidTr="00C17FE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风险控制</w:t>
            </w:r>
          </w:p>
        </w:tc>
      </w:tr>
      <w:tr w:rsidR="00C17FE7" w:rsidRPr="00C17FE7" w:rsidTr="00C17FE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稳健发展</w:t>
            </w:r>
          </w:p>
        </w:tc>
      </w:tr>
      <w:tr w:rsidR="00C17FE7" w:rsidRPr="00C17FE7" w:rsidTr="00C17FE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均衡成长</w:t>
            </w:r>
          </w:p>
        </w:tc>
      </w:tr>
      <w:tr w:rsidR="00C17FE7" w:rsidRPr="00C17FE7" w:rsidTr="00C17FE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积极进取</w:t>
            </w:r>
          </w:p>
        </w:tc>
      </w:tr>
      <w:tr w:rsidR="00C17FE7" w:rsidRPr="00C17FE7" w:rsidTr="00C17FE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17FE7" w:rsidRPr="00C17FE7" w:rsidRDefault="00C17FE7" w:rsidP="00C17FE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C17FE7" w:rsidRPr="00C17FE7" w:rsidRDefault="00C17FE7" w:rsidP="00C17FE7">
            <w:pPr>
              <w:widowControl/>
              <w:jc w:val="center"/>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风险承受</w:t>
            </w:r>
          </w:p>
        </w:tc>
      </w:tr>
    </w:tbl>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（本评级为广东南粤银行股份有限公司内部评级，仅供参考）</w:t>
      </w:r>
    </w:p>
    <w:p w:rsidR="00C17FE7" w:rsidRPr="00C17FE7" w:rsidRDefault="00C17FE7" w:rsidP="00C17FE7">
      <w:pPr>
        <w:widowControl/>
        <w:jc w:val="left"/>
        <w:rPr>
          <w:rFonts w:ascii="楷体" w:eastAsia="楷体" w:hAnsi="楷体" w:cs="宋体"/>
          <w:color w:val="000000"/>
          <w:kern w:val="0"/>
          <w:sz w:val="24"/>
          <w:szCs w:val="24"/>
        </w:rPr>
      </w:pPr>
    </w:p>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理财本金与收益测算</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1、理财计划本金与收益率测算</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（1）收益测算公式：</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本产品收益＝投资收益—投资相关成本</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理财产品到期支付款项=理财产品本金+本产品收益</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（2）收益测算说明：</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投资者到期收到款项按四舍五入法保留两位小数。</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2、投资者所得收益说明:</w:t>
      </w:r>
      <w:r w:rsidRPr="00C17FE7">
        <w:rPr>
          <w:rFonts w:ascii="楷体" w:eastAsia="楷体" w:hAnsi="楷体" w:cs="宋体" w:hint="eastAsia"/>
          <w:color w:val="FF0000"/>
          <w:kern w:val="0"/>
          <w:sz w:val="24"/>
          <w:szCs w:val="24"/>
        </w:rPr>
        <w:t xml:space="preserve"> </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（1）</w:t>
      </w:r>
      <w:r w:rsidRPr="00C17FE7">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计算公式：</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投资者理财收益=理财本金×投资者到期年化收益率×实际理财天数/365</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（2）计算示例： </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假设客户理财本金为50,000元，对应档次的预期最高年化参考收益率为5.05%，实际理财天数91天，</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A:若客户理财产品到期实现的年化收益率为5.15%，则投资者的理财收益为：</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投资者的理财收益=50,000×5.05%×91/365= 629.52元</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B:若客户理财产品到期实现的年化收益率为4.95%，则投资者的理财收益为：</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投资者的理财收益=50,000×4.95%×91/365= 617.05元</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（上述示例数据均采用假设数据计算，测算收益不等于实际收益，投资须谨慎）</w:t>
      </w:r>
    </w:p>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lastRenderedPageBreak/>
        <w:t>提前终止及到期清算</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2、到期清算日：2016年4月6日至2016年4月7日期间，逢假期顺延。适用假期：中国公众假期。清算期内本理财计划不计息。</w:t>
      </w:r>
    </w:p>
    <w:p w:rsidR="00C17FE7" w:rsidRPr="00C17FE7" w:rsidRDefault="00C17FE7" w:rsidP="00C17FE7">
      <w:pPr>
        <w:widowControl/>
        <w:jc w:val="left"/>
        <w:rPr>
          <w:rFonts w:ascii="楷体" w:eastAsia="楷体" w:hAnsi="楷体" w:cs="宋体"/>
          <w:color w:val="000000"/>
          <w:kern w:val="0"/>
          <w:sz w:val="24"/>
          <w:szCs w:val="24"/>
        </w:rPr>
      </w:pPr>
    </w:p>
    <w:p w:rsidR="00C17FE7" w:rsidRPr="00C17FE7" w:rsidRDefault="00C17FE7" w:rsidP="00C17FE7">
      <w:pPr>
        <w:widowControl/>
        <w:jc w:val="left"/>
        <w:rPr>
          <w:rFonts w:ascii="楷体" w:eastAsia="楷体" w:hAnsi="楷体" w:cs="宋体"/>
          <w:b/>
          <w:bCs/>
          <w:color w:val="000000"/>
          <w:kern w:val="0"/>
          <w:sz w:val="24"/>
          <w:szCs w:val="24"/>
        </w:rPr>
      </w:pPr>
      <w:r w:rsidRPr="00C17FE7">
        <w:rPr>
          <w:rFonts w:ascii="楷体" w:eastAsia="楷体" w:hAnsi="楷体" w:cs="宋体" w:hint="eastAsia"/>
          <w:b/>
          <w:bCs/>
          <w:color w:val="000000"/>
          <w:kern w:val="0"/>
          <w:sz w:val="24"/>
          <w:szCs w:val="24"/>
        </w:rPr>
        <w:t>信息披露及投诉方式</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17FE7" w:rsidRPr="00C17FE7" w:rsidRDefault="00C17FE7" w:rsidP="00C17FE7">
      <w:pPr>
        <w:widowControl/>
        <w:jc w:val="lef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17FE7" w:rsidRPr="00C17FE7" w:rsidRDefault="00C17FE7" w:rsidP="00C17FE7">
      <w:pPr>
        <w:widowControl/>
        <w:jc w:val="left"/>
        <w:rPr>
          <w:rFonts w:ascii="楷体" w:eastAsia="楷体" w:hAnsi="楷体" w:cs="宋体"/>
          <w:color w:val="000000"/>
          <w:kern w:val="0"/>
          <w:sz w:val="24"/>
          <w:szCs w:val="24"/>
        </w:rPr>
      </w:pPr>
    </w:p>
    <w:p w:rsidR="00C17FE7" w:rsidRPr="00C17FE7" w:rsidRDefault="00C17FE7" w:rsidP="00C17FE7">
      <w:pPr>
        <w:widowControl/>
        <w:jc w:val="right"/>
        <w:rPr>
          <w:rFonts w:ascii="楷体" w:eastAsia="楷体" w:hAnsi="楷体" w:cs="宋体"/>
          <w:color w:val="000000"/>
          <w:kern w:val="0"/>
          <w:sz w:val="24"/>
          <w:szCs w:val="24"/>
        </w:rPr>
      </w:pPr>
      <w:r w:rsidRPr="00C17FE7">
        <w:rPr>
          <w:rFonts w:ascii="楷体" w:eastAsia="楷体" w:hAnsi="楷体" w:cs="宋体" w:hint="eastAsia"/>
          <w:color w:val="000000"/>
          <w:kern w:val="0"/>
          <w:sz w:val="24"/>
          <w:szCs w:val="24"/>
        </w:rPr>
        <w:t>广东南粤银行股份有限公司</w:t>
      </w:r>
    </w:p>
    <w:p w:rsidR="000A05C8" w:rsidRPr="00C17FE7" w:rsidRDefault="000A05C8"/>
    <w:sectPr w:rsidR="000A05C8" w:rsidRPr="00C17F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66" w:rsidRDefault="00483B66" w:rsidP="00C17FE7">
      <w:r>
        <w:separator/>
      </w:r>
    </w:p>
  </w:endnote>
  <w:endnote w:type="continuationSeparator" w:id="0">
    <w:p w:rsidR="00483B66" w:rsidRDefault="00483B66" w:rsidP="00C1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33785"/>
      <w:docPartObj>
        <w:docPartGallery w:val="Page Numbers (Bottom of Page)"/>
        <w:docPartUnique/>
      </w:docPartObj>
    </w:sdtPr>
    <w:sdtContent>
      <w:p w:rsidR="00C17FE7" w:rsidRDefault="00C17FE7">
        <w:pPr>
          <w:pStyle w:val="a4"/>
          <w:jc w:val="center"/>
        </w:pPr>
        <w:r>
          <w:fldChar w:fldCharType="begin"/>
        </w:r>
        <w:r>
          <w:instrText>PAGE   \* MERGEFORMAT</w:instrText>
        </w:r>
        <w:r>
          <w:fldChar w:fldCharType="separate"/>
        </w:r>
        <w:r w:rsidRPr="00C17FE7">
          <w:rPr>
            <w:noProof/>
            <w:lang w:val="zh-CN"/>
          </w:rPr>
          <w:t>2</w:t>
        </w:r>
        <w:r>
          <w:fldChar w:fldCharType="end"/>
        </w:r>
      </w:p>
    </w:sdtContent>
  </w:sdt>
  <w:p w:rsidR="00C17FE7" w:rsidRDefault="00C17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66" w:rsidRDefault="00483B66" w:rsidP="00C17FE7">
      <w:r>
        <w:separator/>
      </w:r>
    </w:p>
  </w:footnote>
  <w:footnote w:type="continuationSeparator" w:id="0">
    <w:p w:rsidR="00483B66" w:rsidRDefault="00483B66" w:rsidP="00C1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7"/>
    <w:rsid w:val="000A05C8"/>
    <w:rsid w:val="00483B66"/>
    <w:rsid w:val="00C17FE7"/>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3210</Characters>
  <Application>Microsoft Office Word</Application>
  <DocSecurity>0</DocSecurity>
  <Lines>26</Lines>
  <Paragraphs>7</Paragraphs>
  <ScaleCrop>false</ScaleCrop>
  <Company>china</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2015-12-25T10:00:00Z</dcterms:created>
  <dcterms:modified xsi:type="dcterms:W3CDTF">2015-12-25T10:01:00Z</dcterms:modified>
</cp:coreProperties>
</file>