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95" w:rsidRPr="00D91B95" w:rsidRDefault="00D91B95" w:rsidP="00D91B95">
      <w:pPr>
        <w:widowControl/>
        <w:jc w:val="center"/>
        <w:rPr>
          <w:rFonts w:ascii="Courier New" w:eastAsia="宋体" w:hAnsi="Courier New" w:cs="Courier New"/>
          <w:b/>
          <w:bCs/>
          <w:kern w:val="0"/>
          <w:sz w:val="36"/>
          <w:szCs w:val="36"/>
        </w:rPr>
      </w:pPr>
      <w:bookmarkStart w:id="0" w:name="_GoBack"/>
      <w:r w:rsidRPr="00D91B95">
        <w:rPr>
          <w:rFonts w:ascii="Courier New" w:eastAsia="宋体" w:hAnsi="Courier New" w:cs="Courier New"/>
          <w:b/>
          <w:bCs/>
          <w:kern w:val="0"/>
          <w:sz w:val="36"/>
          <w:szCs w:val="36"/>
        </w:rPr>
        <w:t>“</w:t>
      </w:r>
      <w:r w:rsidRPr="00D91B95">
        <w:rPr>
          <w:rFonts w:ascii="Courier New" w:eastAsia="宋体" w:hAnsi="Courier New" w:cs="Courier New"/>
          <w:b/>
          <w:bCs/>
          <w:kern w:val="0"/>
          <w:sz w:val="36"/>
          <w:szCs w:val="36"/>
        </w:rPr>
        <w:t>宝盈理财</w:t>
      </w:r>
      <w:r w:rsidRPr="00D91B95">
        <w:rPr>
          <w:rFonts w:ascii="Courier New" w:eastAsia="宋体" w:hAnsi="Courier New" w:cs="Courier New"/>
          <w:b/>
          <w:bCs/>
          <w:kern w:val="0"/>
          <w:sz w:val="36"/>
          <w:szCs w:val="36"/>
        </w:rPr>
        <w:t>”</w:t>
      </w:r>
      <w:r w:rsidRPr="00D91B95">
        <w:rPr>
          <w:rFonts w:ascii="Courier New" w:eastAsia="宋体" w:hAnsi="Courier New" w:cs="Courier New"/>
          <w:b/>
          <w:bCs/>
          <w:kern w:val="0"/>
          <w:sz w:val="36"/>
          <w:szCs w:val="36"/>
        </w:rPr>
        <w:t>安逸</w:t>
      </w:r>
      <w:r w:rsidRPr="00D91B95">
        <w:rPr>
          <w:rFonts w:ascii="Courier New" w:eastAsia="宋体" w:hAnsi="Courier New" w:cs="Courier New"/>
          <w:b/>
          <w:bCs/>
          <w:kern w:val="0"/>
          <w:sz w:val="36"/>
          <w:szCs w:val="36"/>
        </w:rPr>
        <w:t>274</w:t>
      </w:r>
      <w:r w:rsidRPr="00D91B95">
        <w:rPr>
          <w:rFonts w:ascii="Courier New" w:eastAsia="宋体" w:hAnsi="Courier New" w:cs="Courier New"/>
          <w:b/>
          <w:bCs/>
          <w:kern w:val="0"/>
          <w:sz w:val="36"/>
          <w:szCs w:val="36"/>
        </w:rPr>
        <w:t>号人民币理财产品说明书</w:t>
      </w:r>
    </w:p>
    <w:p w:rsidR="00D91B95" w:rsidRPr="00D91B95" w:rsidRDefault="00D91B95" w:rsidP="00D91B95">
      <w:pPr>
        <w:widowControl/>
        <w:jc w:val="left"/>
        <w:rPr>
          <w:rFonts w:ascii="楷体" w:eastAsia="楷体" w:hAnsi="楷体" w:cs="宋体"/>
          <w:b/>
          <w:bCs/>
          <w:color w:val="000000"/>
          <w:kern w:val="0"/>
          <w:sz w:val="24"/>
          <w:szCs w:val="24"/>
        </w:rPr>
      </w:pPr>
      <w:r w:rsidRPr="00D91B95">
        <w:rPr>
          <w:rFonts w:ascii="楷体" w:eastAsia="楷体" w:hAnsi="楷体" w:cs="宋体" w:hint="eastAsia"/>
          <w:b/>
          <w:bCs/>
          <w:color w:val="000000"/>
          <w:kern w:val="0"/>
          <w:sz w:val="24"/>
          <w:szCs w:val="24"/>
        </w:rPr>
        <w:t>客户须知</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本说明书所有条款解释权归广东南粤银行股份有限公司所有。</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一、风险提示</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91B95">
        <w:rPr>
          <w:rFonts w:ascii="楷体" w:eastAsia="楷体" w:hAnsi="楷体" w:cs="宋体" w:hint="eastAsia"/>
          <w:kern w:val="0"/>
          <w:sz w:val="24"/>
          <w:szCs w:val="24"/>
        </w:rPr>
        <w:t>会上下波动，影响理财产品收益。</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D91B95">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D91B95" w:rsidRPr="00D91B95" w:rsidTr="00D91B95">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本理财产品内部风险评级为：R2</w:t>
            </w:r>
          </w:p>
        </w:tc>
      </w:tr>
      <w:tr w:rsidR="00D91B95" w:rsidRPr="00D91B95" w:rsidTr="00D91B95">
        <w:trPr>
          <w:trHeight w:val="285"/>
        </w:trPr>
        <w:tc>
          <w:tcPr>
            <w:tcW w:w="720" w:type="dxa"/>
            <w:vMerge/>
            <w:tcBorders>
              <w:top w:val="nil"/>
              <w:left w:val="single" w:sz="4" w:space="0" w:color="auto"/>
              <w:bottom w:val="single" w:sz="4" w:space="0" w:color="000000"/>
              <w:right w:val="single" w:sz="4" w:space="0" w:color="auto"/>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适合投资策略</w:t>
            </w:r>
          </w:p>
        </w:tc>
      </w:tr>
      <w:tr w:rsidR="00D91B95" w:rsidRPr="00D91B95" w:rsidTr="00D91B95">
        <w:trPr>
          <w:trHeight w:val="315"/>
        </w:trPr>
        <w:tc>
          <w:tcPr>
            <w:tcW w:w="720" w:type="dxa"/>
            <w:vMerge/>
            <w:tcBorders>
              <w:top w:val="nil"/>
              <w:left w:val="single" w:sz="4" w:space="0" w:color="auto"/>
              <w:bottom w:val="single" w:sz="4" w:space="0" w:color="000000"/>
              <w:right w:val="single" w:sz="4" w:space="0" w:color="auto"/>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风险控制</w:t>
            </w:r>
          </w:p>
        </w:tc>
      </w:tr>
      <w:tr w:rsidR="00D91B95" w:rsidRPr="00D91B95" w:rsidTr="00D91B95">
        <w:trPr>
          <w:trHeight w:val="315"/>
        </w:trPr>
        <w:tc>
          <w:tcPr>
            <w:tcW w:w="720" w:type="dxa"/>
            <w:vMerge/>
            <w:tcBorders>
              <w:top w:val="nil"/>
              <w:left w:val="single" w:sz="4" w:space="0" w:color="auto"/>
              <w:bottom w:val="single" w:sz="4" w:space="0" w:color="000000"/>
              <w:right w:val="single" w:sz="4" w:space="0" w:color="auto"/>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稳健发展</w:t>
            </w:r>
          </w:p>
        </w:tc>
      </w:tr>
      <w:tr w:rsidR="00D91B95" w:rsidRPr="00D91B95" w:rsidTr="00D91B95">
        <w:trPr>
          <w:trHeight w:val="315"/>
        </w:trPr>
        <w:tc>
          <w:tcPr>
            <w:tcW w:w="720" w:type="dxa"/>
            <w:vMerge/>
            <w:tcBorders>
              <w:top w:val="nil"/>
              <w:left w:val="single" w:sz="4" w:space="0" w:color="auto"/>
              <w:bottom w:val="single" w:sz="4" w:space="0" w:color="000000"/>
              <w:right w:val="single" w:sz="4" w:space="0" w:color="auto"/>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均衡成长</w:t>
            </w:r>
          </w:p>
        </w:tc>
      </w:tr>
      <w:tr w:rsidR="00D91B95" w:rsidRPr="00D91B95" w:rsidTr="00D91B95">
        <w:trPr>
          <w:trHeight w:val="315"/>
        </w:trPr>
        <w:tc>
          <w:tcPr>
            <w:tcW w:w="720" w:type="dxa"/>
            <w:vMerge/>
            <w:tcBorders>
              <w:top w:val="nil"/>
              <w:left w:val="single" w:sz="4" w:space="0" w:color="auto"/>
              <w:bottom w:val="single" w:sz="4" w:space="0" w:color="000000"/>
              <w:right w:val="single" w:sz="4" w:space="0" w:color="auto"/>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积极进取</w:t>
            </w:r>
          </w:p>
        </w:tc>
      </w:tr>
      <w:tr w:rsidR="00D91B95" w:rsidRPr="00D91B95" w:rsidTr="00D91B95">
        <w:trPr>
          <w:trHeight w:val="315"/>
        </w:trPr>
        <w:tc>
          <w:tcPr>
            <w:tcW w:w="720" w:type="dxa"/>
            <w:vMerge/>
            <w:tcBorders>
              <w:top w:val="nil"/>
              <w:left w:val="single" w:sz="4" w:space="0" w:color="auto"/>
              <w:bottom w:val="single" w:sz="4" w:space="0" w:color="000000"/>
              <w:right w:val="single" w:sz="4" w:space="0" w:color="auto"/>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D91B95" w:rsidRPr="00D91B95" w:rsidRDefault="00D91B95" w:rsidP="00D91B95">
            <w:pPr>
              <w:widowControl/>
              <w:jc w:val="center"/>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风险承受</w:t>
            </w:r>
          </w:p>
        </w:tc>
      </w:tr>
    </w:tbl>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（本评级为广东南粤银行股份有限公司内部评级，仅供参考）</w:t>
      </w:r>
    </w:p>
    <w:p w:rsidR="00D91B95" w:rsidRPr="00D91B95" w:rsidRDefault="00D91B95" w:rsidP="00D91B95">
      <w:pPr>
        <w:widowControl/>
        <w:jc w:val="left"/>
        <w:rPr>
          <w:rFonts w:ascii="楷体" w:eastAsia="楷体" w:hAnsi="楷体" w:cs="宋体"/>
          <w:color w:val="000000"/>
          <w:kern w:val="0"/>
          <w:sz w:val="24"/>
          <w:szCs w:val="24"/>
        </w:rPr>
      </w:pP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二、产品概述</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（一）产品定义</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D91B95" w:rsidRPr="00D91B95" w:rsidTr="00D91B9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“宝盈理财”安逸274号人民币理财产品</w:t>
            </w:r>
          </w:p>
        </w:tc>
      </w:tr>
      <w:tr w:rsidR="00D91B95" w:rsidRPr="00D91B95" w:rsidTr="00D91B9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代码：GDNY_AY_274</w:t>
            </w:r>
          </w:p>
        </w:tc>
      </w:tr>
      <w:tr w:rsidR="00D91B95" w:rsidRPr="00D91B95" w:rsidTr="00D91B95">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发行登记号：C1083015000294</w:t>
            </w:r>
          </w:p>
        </w:tc>
      </w:tr>
      <w:tr w:rsidR="00D91B95" w:rsidRPr="00D91B95" w:rsidTr="00D91B95">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经我行风险评估，评定为稳健型、平衡型、成长型、进取型个人及机构客户。</w:t>
            </w:r>
          </w:p>
        </w:tc>
      </w:tr>
      <w:tr w:rsidR="00D91B95" w:rsidRPr="00D91B95" w:rsidTr="00D91B95">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通过广东南粤银行各营业网点或广东南粤银行网银认购</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35天</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人民币</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保本浮动收益型</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以实际募集金额为准</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2015年12月2日至2015年12月8日</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2015年12月9日。理财产品自起始日起息。</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2016年1月13日</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到期日后2个工作日内</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中国邮政储蓄银行</w:t>
            </w:r>
          </w:p>
        </w:tc>
      </w:tr>
      <w:tr w:rsidR="00D91B95" w:rsidRPr="00D91B95" w:rsidTr="00D91B95">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w:t>
            </w:r>
            <w:r w:rsidRPr="00D91B95">
              <w:rPr>
                <w:rFonts w:ascii="楷体" w:eastAsia="楷体" w:hAnsi="楷体" w:cs="宋体" w:hint="eastAsia"/>
                <w:color w:val="000000"/>
                <w:kern w:val="0"/>
                <w:sz w:val="24"/>
                <w:szCs w:val="24"/>
              </w:rPr>
              <w:lastRenderedPageBreak/>
              <w:t>投资比例恢复至上述规定区间）。</w:t>
            </w:r>
          </w:p>
        </w:tc>
      </w:tr>
      <w:tr w:rsidR="00D91B95" w:rsidRPr="00D91B95" w:rsidTr="00D91B95">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lastRenderedPageBreak/>
              <w:t>参考年化收益率</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3.8%；</w:t>
            </w:r>
          </w:p>
        </w:tc>
      </w:tr>
      <w:tr w:rsidR="00D91B95" w:rsidRPr="00D91B95" w:rsidTr="00D91B95">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D91B95" w:rsidRPr="00D91B95" w:rsidTr="00D91B95">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期末收益＝投资本金×实际收益率×实际理财天数/365</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客户无权提前终止该产品</w:t>
            </w:r>
          </w:p>
        </w:tc>
      </w:tr>
      <w:tr w:rsidR="00D91B95" w:rsidRPr="00D91B95" w:rsidTr="00D91B95">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我行不代扣代缴，但法律、法规另有规定除外</w:t>
            </w:r>
          </w:p>
        </w:tc>
      </w:tr>
      <w:tr w:rsidR="00D91B95" w:rsidRPr="00D91B95" w:rsidTr="00D91B95">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1、到期日至到账日之间，客户资金不计利息</w:t>
            </w:r>
          </w:p>
        </w:tc>
      </w:tr>
      <w:tr w:rsidR="00D91B95" w:rsidRPr="00D91B95" w:rsidTr="00D91B95">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D91B95" w:rsidRPr="00D91B95" w:rsidRDefault="00D91B95" w:rsidP="00D91B95">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三、产品属性</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（一）理财本金与收益测算</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本理财计划为保本浮动收益型，到期参考年化收益率为3.8%。广东南粤银行保证客户本金不受损失，但不对本理财产品做任何收益承诺。</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1、理财计划本金与收益率测算</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（1）收益测算公式：</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本产品收益＝投资收益—投资相关成本</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理财产品到期支付款项=理财产品本金+本产品收益</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（2）收益测算说明：</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投资者到期收到款项按四舍五入法保留两位小数。</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2、投资者所得收益说明:</w:t>
      </w:r>
      <w:r w:rsidRPr="00D91B95">
        <w:rPr>
          <w:rFonts w:ascii="楷体" w:eastAsia="楷体" w:hAnsi="楷体" w:cs="宋体" w:hint="eastAsia"/>
          <w:color w:val="FF0000"/>
          <w:kern w:val="0"/>
          <w:sz w:val="24"/>
          <w:szCs w:val="24"/>
        </w:rPr>
        <w:t xml:space="preserve"> </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（1）</w:t>
      </w:r>
      <w:r w:rsidRPr="00D91B95">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计算公式：</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投资者理财收益=理财本金×投资者到期年化收益率×实际理财天数/365</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（2）计算示例： </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假设客户理财本金为50,000元，对应档次的预期最高年化参考收益率为3.8%，实际理财天数35天，</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A:若客户理财产品到期实现的年化收益率为3.9%，则投资者的理财收益为：</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lastRenderedPageBreak/>
        <w:t xml:space="preserve">    投资者的理财收益=50,000×3.8%×35/365= 182.19元</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B:若客户理财产品到期实现的年化收益率为3.7%，则投资者的理财收益为：</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投资者的理财收益=50,000×3.7%×35/365= 177.40元</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（上述示例数据均采用假设数据计算，测算收益不等于实际收益，投资须谨慎）</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（二）</w:t>
      </w:r>
      <w:r w:rsidRPr="00D91B95">
        <w:rPr>
          <w:rFonts w:ascii="楷体" w:eastAsia="楷体" w:hAnsi="楷体" w:cs="宋体" w:hint="eastAsia"/>
          <w:b/>
          <w:bCs/>
          <w:color w:val="000000"/>
          <w:kern w:val="0"/>
          <w:sz w:val="24"/>
          <w:szCs w:val="24"/>
        </w:rPr>
        <w:t>提前终止及到期清算</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2、到期清算日：2016年1月13日至2016年1月14日期间，逢假期顺延。适用假期：中国公众假期。清算期内本理财计划不计息。</w:t>
      </w:r>
    </w:p>
    <w:p w:rsidR="00D91B95" w:rsidRPr="00D91B95" w:rsidRDefault="00D91B95" w:rsidP="00D91B95">
      <w:pPr>
        <w:widowControl/>
        <w:jc w:val="left"/>
        <w:rPr>
          <w:rFonts w:ascii="楷体" w:eastAsia="楷体" w:hAnsi="楷体" w:cs="宋体"/>
          <w:color w:val="000000"/>
          <w:kern w:val="0"/>
          <w:sz w:val="24"/>
          <w:szCs w:val="24"/>
        </w:rPr>
      </w:pP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四、信息披露及投诉方式</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91B95" w:rsidRPr="00D91B95" w:rsidRDefault="00D91B95" w:rsidP="00D91B95">
      <w:pPr>
        <w:widowControl/>
        <w:jc w:val="lef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91B95" w:rsidRPr="00D91B95" w:rsidRDefault="00D91B95" w:rsidP="00D91B95">
      <w:pPr>
        <w:widowControl/>
        <w:jc w:val="left"/>
        <w:rPr>
          <w:rFonts w:ascii="楷体" w:eastAsia="楷体" w:hAnsi="楷体" w:cs="宋体"/>
          <w:color w:val="000000"/>
          <w:kern w:val="0"/>
          <w:sz w:val="24"/>
          <w:szCs w:val="24"/>
        </w:rPr>
      </w:pPr>
    </w:p>
    <w:p w:rsidR="00D91B95" w:rsidRPr="00D91B95" w:rsidRDefault="00D91B95" w:rsidP="00D91B95">
      <w:pPr>
        <w:widowControl/>
        <w:jc w:val="right"/>
        <w:rPr>
          <w:rFonts w:ascii="楷体" w:eastAsia="楷体" w:hAnsi="楷体" w:cs="宋体"/>
          <w:color w:val="000000"/>
          <w:kern w:val="0"/>
          <w:sz w:val="24"/>
          <w:szCs w:val="24"/>
        </w:rPr>
      </w:pPr>
      <w:r w:rsidRPr="00D91B95">
        <w:rPr>
          <w:rFonts w:ascii="楷体" w:eastAsia="楷体" w:hAnsi="楷体" w:cs="宋体" w:hint="eastAsia"/>
          <w:color w:val="000000"/>
          <w:kern w:val="0"/>
          <w:sz w:val="24"/>
          <w:szCs w:val="24"/>
        </w:rPr>
        <w:t>广东南粤银行股份有限公司</w:t>
      </w:r>
    </w:p>
    <w:p w:rsidR="00472756" w:rsidRPr="00D91B95" w:rsidRDefault="00472756" w:rsidP="00D91B95"/>
    <w:sectPr w:rsidR="00472756" w:rsidRPr="00D91B95"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DDA" w:rsidRDefault="004F6DDA" w:rsidP="00EF03D1">
      <w:r>
        <w:separator/>
      </w:r>
    </w:p>
  </w:endnote>
  <w:endnote w:type="continuationSeparator" w:id="0">
    <w:p w:rsidR="004F6DDA" w:rsidRDefault="004F6DDA"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D91B95" w:rsidRPr="00D91B95">
          <w:rPr>
            <w:noProof/>
            <w:lang w:val="zh-CN"/>
          </w:rPr>
          <w:t>3</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DDA" w:rsidRDefault="004F6DDA" w:rsidP="00EF03D1">
      <w:r>
        <w:separator/>
      </w:r>
    </w:p>
  </w:footnote>
  <w:footnote w:type="continuationSeparator" w:id="0">
    <w:p w:rsidR="004F6DDA" w:rsidRDefault="004F6DDA"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0E91"/>
    <w:rsid w:val="00115FBA"/>
    <w:rsid w:val="00187DCA"/>
    <w:rsid w:val="00196C71"/>
    <w:rsid w:val="001C7EEB"/>
    <w:rsid w:val="0027436C"/>
    <w:rsid w:val="002813C0"/>
    <w:rsid w:val="002E4003"/>
    <w:rsid w:val="003D675D"/>
    <w:rsid w:val="00451C79"/>
    <w:rsid w:val="00464564"/>
    <w:rsid w:val="00472756"/>
    <w:rsid w:val="004A6392"/>
    <w:rsid w:val="004E73CA"/>
    <w:rsid w:val="004F6DDA"/>
    <w:rsid w:val="005B5F09"/>
    <w:rsid w:val="005E4CC8"/>
    <w:rsid w:val="005E65BD"/>
    <w:rsid w:val="0062403C"/>
    <w:rsid w:val="00644B79"/>
    <w:rsid w:val="0067103F"/>
    <w:rsid w:val="00682190"/>
    <w:rsid w:val="00707456"/>
    <w:rsid w:val="00726BEC"/>
    <w:rsid w:val="007429BC"/>
    <w:rsid w:val="007528C1"/>
    <w:rsid w:val="008319CB"/>
    <w:rsid w:val="0087211B"/>
    <w:rsid w:val="00902538"/>
    <w:rsid w:val="00A054AF"/>
    <w:rsid w:val="00A94B96"/>
    <w:rsid w:val="00B53C63"/>
    <w:rsid w:val="00BC6A41"/>
    <w:rsid w:val="00C65D2F"/>
    <w:rsid w:val="00CC0E7D"/>
    <w:rsid w:val="00D03C0C"/>
    <w:rsid w:val="00D576CF"/>
    <w:rsid w:val="00D91B95"/>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762845307">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343126623">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 w:id="2060204219">
      <w:bodyDiv w:val="1"/>
      <w:marLeft w:val="0"/>
      <w:marRight w:val="0"/>
      <w:marTop w:val="0"/>
      <w:marBottom w:val="0"/>
      <w:divBdr>
        <w:top w:val="none" w:sz="0" w:space="0" w:color="auto"/>
        <w:left w:val="none" w:sz="0" w:space="0" w:color="auto"/>
        <w:bottom w:val="none" w:sz="0" w:space="0" w:color="auto"/>
        <w:right w:val="none" w:sz="0" w:space="0" w:color="auto"/>
      </w:divBdr>
    </w:div>
    <w:div w:id="21307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Company>china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2015-11-30T02:02:00Z</dcterms:created>
  <dcterms:modified xsi:type="dcterms:W3CDTF">2015-11-30T02:02:00Z</dcterms:modified>
</cp:coreProperties>
</file>