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30" w:rsidRPr="00917D30" w:rsidRDefault="00917D30" w:rsidP="00917D30">
      <w:pPr>
        <w:widowControl/>
        <w:jc w:val="center"/>
        <w:rPr>
          <w:rFonts w:ascii="Courier New" w:eastAsia="宋体" w:hAnsi="Courier New" w:cs="宋体"/>
          <w:b/>
          <w:bCs/>
          <w:kern w:val="0"/>
          <w:sz w:val="36"/>
          <w:szCs w:val="36"/>
        </w:rPr>
      </w:pPr>
      <w:proofErr w:type="gramStart"/>
      <w:r w:rsidRPr="00917D30">
        <w:rPr>
          <w:rFonts w:ascii="Courier New" w:eastAsia="宋体" w:hAnsi="Courier New" w:cs="宋体"/>
          <w:b/>
          <w:bCs/>
          <w:kern w:val="0"/>
          <w:sz w:val="36"/>
          <w:szCs w:val="36"/>
        </w:rPr>
        <w:t>“</w:t>
      </w:r>
      <w:r w:rsidRPr="00917D30">
        <w:rPr>
          <w:rFonts w:ascii="Courier New" w:eastAsia="宋体" w:hAnsi="Courier New" w:cs="宋体"/>
          <w:b/>
          <w:bCs/>
          <w:kern w:val="0"/>
          <w:sz w:val="36"/>
          <w:szCs w:val="36"/>
        </w:rPr>
        <w:t>宝盈理财</w:t>
      </w:r>
      <w:r w:rsidRPr="00917D30">
        <w:rPr>
          <w:rFonts w:ascii="Courier New" w:eastAsia="宋体" w:hAnsi="Courier New" w:cs="宋体"/>
          <w:b/>
          <w:bCs/>
          <w:kern w:val="0"/>
          <w:sz w:val="36"/>
          <w:szCs w:val="36"/>
        </w:rPr>
        <w:t>”</w:t>
      </w:r>
      <w:r w:rsidRPr="00917D30">
        <w:rPr>
          <w:rFonts w:ascii="Courier New" w:eastAsia="宋体" w:hAnsi="Courier New" w:cs="宋体"/>
          <w:b/>
          <w:bCs/>
          <w:kern w:val="0"/>
          <w:sz w:val="36"/>
          <w:szCs w:val="36"/>
        </w:rPr>
        <w:t>尊享</w:t>
      </w:r>
      <w:r w:rsidRPr="00917D30">
        <w:rPr>
          <w:rFonts w:ascii="Courier New" w:eastAsia="宋体" w:hAnsi="Courier New" w:cs="宋体"/>
          <w:b/>
          <w:bCs/>
          <w:kern w:val="0"/>
          <w:sz w:val="36"/>
          <w:szCs w:val="36"/>
        </w:rPr>
        <w:t>275</w:t>
      </w:r>
      <w:r w:rsidRPr="00917D30">
        <w:rPr>
          <w:rFonts w:ascii="Courier New" w:eastAsia="宋体" w:hAnsi="Courier New" w:cs="宋体"/>
          <w:b/>
          <w:bCs/>
          <w:kern w:val="0"/>
          <w:sz w:val="36"/>
          <w:szCs w:val="36"/>
        </w:rPr>
        <w:t>号</w:t>
      </w:r>
      <w:proofErr w:type="gramEnd"/>
      <w:r w:rsidRPr="00917D30">
        <w:rPr>
          <w:rFonts w:ascii="Courier New" w:eastAsia="宋体" w:hAnsi="Courier New" w:cs="宋体"/>
          <w:b/>
          <w:bCs/>
          <w:kern w:val="0"/>
          <w:sz w:val="36"/>
          <w:szCs w:val="36"/>
        </w:rPr>
        <w:t>人民币理财产品说明书</w:t>
      </w: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客户须知</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本说明书所引用的资料及数据仅供投资者参考，</w:t>
      </w:r>
      <w:bookmarkStart w:id="0" w:name="_GoBack"/>
      <w:bookmarkEnd w:id="0"/>
      <w:r w:rsidRPr="00917D30">
        <w:rPr>
          <w:rFonts w:ascii="楷体" w:eastAsia="楷体" w:hAnsi="楷体" w:cs="宋体" w:hint="eastAsia"/>
          <w:color w:val="000000"/>
          <w:kern w:val="0"/>
          <w:sz w:val="24"/>
          <w:szCs w:val="24"/>
        </w:rPr>
        <w:t>均不构成对投资者的推荐和承诺。</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本说明书所有条款解释权归广东南粤银行股份有限公司所有。</w:t>
      </w: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产品定义</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360"/>
        <w:gridCol w:w="6120"/>
      </w:tblGrid>
      <w:tr w:rsidR="00917D30" w:rsidRPr="00917D30" w:rsidTr="00917D30">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产品名称</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proofErr w:type="gramStart"/>
            <w:r w:rsidRPr="00917D30">
              <w:rPr>
                <w:rFonts w:ascii="楷体" w:eastAsia="楷体" w:hAnsi="楷体" w:cs="宋体" w:hint="eastAsia"/>
                <w:color w:val="000000"/>
                <w:kern w:val="0"/>
                <w:sz w:val="24"/>
                <w:szCs w:val="24"/>
              </w:rPr>
              <w:t>“宝盈理财”尊享275号</w:t>
            </w:r>
            <w:proofErr w:type="gramEnd"/>
            <w:r w:rsidRPr="00917D30">
              <w:rPr>
                <w:rFonts w:ascii="楷体" w:eastAsia="楷体" w:hAnsi="楷体" w:cs="宋体" w:hint="eastAsia"/>
                <w:color w:val="000000"/>
                <w:kern w:val="0"/>
                <w:sz w:val="24"/>
                <w:szCs w:val="24"/>
              </w:rPr>
              <w:t>人民币理财产品</w:t>
            </w:r>
          </w:p>
        </w:tc>
      </w:tr>
      <w:tr w:rsidR="00917D30" w:rsidRPr="00917D30" w:rsidTr="00917D30">
        <w:trPr>
          <w:trHeight w:val="28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代码：GDNY_ZX_275</w:t>
            </w:r>
          </w:p>
        </w:tc>
      </w:tr>
      <w:tr w:rsidR="00917D30" w:rsidRPr="00917D30" w:rsidTr="00917D30">
        <w:trPr>
          <w:trHeight w:val="73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目标客户</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经我行风险评估，评定为稳健型、平衡型、成长型、进取型广州分行机构客户。</w:t>
            </w:r>
          </w:p>
        </w:tc>
      </w:tr>
      <w:tr w:rsidR="00917D30" w:rsidRPr="00917D30" w:rsidTr="00917D30">
        <w:trPr>
          <w:trHeight w:val="37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认购起点金额</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机构客户600万元起，以1万元整数</w:t>
            </w:r>
            <w:proofErr w:type="gramStart"/>
            <w:r w:rsidRPr="00917D30">
              <w:rPr>
                <w:rFonts w:ascii="楷体" w:eastAsia="楷体" w:hAnsi="楷体" w:cs="宋体" w:hint="eastAsia"/>
                <w:color w:val="000000"/>
                <w:kern w:val="0"/>
                <w:sz w:val="24"/>
                <w:szCs w:val="24"/>
              </w:rPr>
              <w:t>倍</w:t>
            </w:r>
            <w:proofErr w:type="gramEnd"/>
            <w:r w:rsidRPr="00917D30">
              <w:rPr>
                <w:rFonts w:ascii="楷体" w:eastAsia="楷体" w:hAnsi="楷体" w:cs="宋体" w:hint="eastAsia"/>
                <w:color w:val="000000"/>
                <w:kern w:val="0"/>
                <w:sz w:val="24"/>
                <w:szCs w:val="24"/>
              </w:rPr>
              <w:t>递增</w:t>
            </w:r>
          </w:p>
        </w:tc>
      </w:tr>
      <w:tr w:rsidR="00917D30" w:rsidRPr="00917D30" w:rsidTr="00917D30">
        <w:trPr>
          <w:trHeight w:val="45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购买方式</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通过广东南粤银行各营业网点或</w:t>
            </w:r>
            <w:proofErr w:type="gramStart"/>
            <w:r w:rsidRPr="00917D30">
              <w:rPr>
                <w:rFonts w:ascii="楷体" w:eastAsia="楷体" w:hAnsi="楷体" w:cs="宋体" w:hint="eastAsia"/>
                <w:color w:val="000000"/>
                <w:kern w:val="0"/>
                <w:sz w:val="24"/>
                <w:szCs w:val="24"/>
              </w:rPr>
              <w:t>广东南粤银行网银认购</w:t>
            </w:r>
            <w:proofErr w:type="gramEnd"/>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期限</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363天</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投资及收益币种</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人民币</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产品类型</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非保本浮动收益型</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发行规模</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上限3500万</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募集期</w:t>
            </w:r>
          </w:p>
        </w:tc>
        <w:tc>
          <w:tcPr>
            <w:tcW w:w="6120" w:type="dxa"/>
            <w:tcBorders>
              <w:top w:val="single" w:sz="4" w:space="0" w:color="auto"/>
              <w:left w:val="nil"/>
              <w:bottom w:val="single" w:sz="4" w:space="0" w:color="auto"/>
              <w:right w:val="single" w:sz="4" w:space="0" w:color="000000"/>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2015年10月14日至2015年10月14日</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起始日</w:t>
            </w:r>
          </w:p>
        </w:tc>
        <w:tc>
          <w:tcPr>
            <w:tcW w:w="6120" w:type="dxa"/>
            <w:tcBorders>
              <w:top w:val="single" w:sz="4" w:space="0" w:color="auto"/>
              <w:left w:val="nil"/>
              <w:bottom w:val="single" w:sz="4" w:space="0" w:color="auto"/>
              <w:right w:val="single" w:sz="4" w:space="0" w:color="000000"/>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2015年10月15日。理财产品自起始日起息。</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到期日</w:t>
            </w:r>
          </w:p>
        </w:tc>
        <w:tc>
          <w:tcPr>
            <w:tcW w:w="6120" w:type="dxa"/>
            <w:tcBorders>
              <w:top w:val="single" w:sz="4" w:space="0" w:color="auto"/>
              <w:left w:val="nil"/>
              <w:bottom w:val="single" w:sz="4" w:space="0" w:color="auto"/>
              <w:right w:val="single" w:sz="4" w:space="0" w:color="000000"/>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2016年10月12日</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产品到期资金到账日</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到期日后2个工作日内</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理财资金托管行</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宁波银行</w:t>
            </w:r>
          </w:p>
        </w:tc>
      </w:tr>
      <w:tr w:rsidR="00917D30" w:rsidRPr="00917D30" w:rsidTr="00917D30">
        <w:trPr>
          <w:trHeight w:val="310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资金投向</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17D30">
              <w:rPr>
                <w:rFonts w:ascii="楷体" w:eastAsia="楷体" w:hAnsi="楷体" w:cs="宋体" w:hint="eastAsia"/>
                <w:color w:val="000000"/>
                <w:kern w:val="0"/>
                <w:sz w:val="24"/>
                <w:szCs w:val="24"/>
              </w:rPr>
              <w:t>尽合理</w:t>
            </w:r>
            <w:proofErr w:type="gramEnd"/>
            <w:r w:rsidRPr="00917D30">
              <w:rPr>
                <w:rFonts w:ascii="楷体" w:eastAsia="楷体" w:hAnsi="楷体" w:cs="宋体" w:hint="eastAsia"/>
                <w:color w:val="000000"/>
                <w:kern w:val="0"/>
                <w:sz w:val="24"/>
                <w:szCs w:val="24"/>
              </w:rPr>
              <w:t>努力，以客户利益最大化为原则尽快使投资比例恢复至上述规定区间）。</w:t>
            </w:r>
          </w:p>
        </w:tc>
      </w:tr>
      <w:tr w:rsidR="00917D30" w:rsidRPr="00917D30" w:rsidTr="00917D30">
        <w:trPr>
          <w:trHeight w:val="67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proofErr w:type="gramStart"/>
            <w:r w:rsidRPr="00917D30">
              <w:rPr>
                <w:rFonts w:ascii="楷体" w:eastAsia="楷体" w:hAnsi="楷体" w:cs="宋体" w:hint="eastAsia"/>
                <w:color w:val="000000"/>
                <w:kern w:val="0"/>
                <w:sz w:val="24"/>
                <w:szCs w:val="24"/>
              </w:rPr>
              <w:lastRenderedPageBreak/>
              <w:t>参考年化收益率</w:t>
            </w:r>
            <w:proofErr w:type="gramEnd"/>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4.6%；</w:t>
            </w:r>
          </w:p>
        </w:tc>
      </w:tr>
      <w:tr w:rsidR="00917D30" w:rsidRPr="00917D30" w:rsidTr="00917D30">
        <w:trPr>
          <w:trHeight w:val="231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收益率测算</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本产品理财产品托管人收取托管费率（年化）0.01%，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17D30">
              <w:rPr>
                <w:rFonts w:ascii="楷体" w:eastAsia="楷体" w:hAnsi="楷体" w:cs="宋体" w:hint="eastAsia"/>
                <w:color w:val="000000"/>
                <w:kern w:val="0"/>
                <w:sz w:val="24"/>
                <w:szCs w:val="24"/>
              </w:rPr>
              <w:t>最高年化收益率</w:t>
            </w:r>
            <w:proofErr w:type="gramEnd"/>
            <w:r w:rsidRPr="00917D30">
              <w:rPr>
                <w:rFonts w:ascii="楷体" w:eastAsia="楷体" w:hAnsi="楷体" w:cs="宋体" w:hint="eastAsia"/>
                <w:color w:val="000000"/>
                <w:kern w:val="0"/>
                <w:sz w:val="24"/>
                <w:szCs w:val="24"/>
              </w:rPr>
              <w:t>，超过部分作为银行投资管理费用。</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收益计算方法</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期末收益＝投资本金×实际收益率×实际理财天数/365</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提前终止权</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客户无权提前终止该产品</w:t>
            </w:r>
          </w:p>
        </w:tc>
      </w:tr>
      <w:tr w:rsidR="00917D30" w:rsidRPr="00917D30" w:rsidTr="00917D30">
        <w:trPr>
          <w:trHeight w:val="28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税务处理</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我行不代扣代缴，但法律、法规另有规定除外</w:t>
            </w:r>
          </w:p>
        </w:tc>
      </w:tr>
      <w:tr w:rsidR="00917D30" w:rsidRPr="00917D30" w:rsidTr="00917D30">
        <w:trPr>
          <w:trHeight w:val="285"/>
        </w:trPr>
        <w:tc>
          <w:tcPr>
            <w:tcW w:w="23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其他规定</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1、到期日至到账日之间，客户资金不计利息</w:t>
            </w:r>
          </w:p>
        </w:tc>
      </w:tr>
      <w:tr w:rsidR="00917D30" w:rsidRPr="00917D30" w:rsidTr="00917D30">
        <w:trPr>
          <w:trHeight w:val="1305"/>
        </w:trPr>
        <w:tc>
          <w:tcPr>
            <w:tcW w:w="2360" w:type="dxa"/>
            <w:vMerge/>
            <w:tcBorders>
              <w:top w:val="single" w:sz="4" w:space="0" w:color="auto"/>
              <w:left w:val="single" w:sz="4" w:space="0" w:color="auto"/>
              <w:bottom w:val="single" w:sz="4" w:space="0" w:color="000000"/>
              <w:right w:val="single" w:sz="4" w:space="0" w:color="000000"/>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风险提示</w:t>
      </w: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 xml:space="preserve">    本理财计划为非保本浮动收益型，不保证本金和收益，投资者应该充分认识投资风险，谨慎投资。以下风险揭示内容请投资者详细阅读，在充分了解并清楚知晓本产品蕴含风险的基础上，通过自身判断自主参与交易，并自愿承担相关风险：</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17D30">
        <w:rPr>
          <w:rFonts w:ascii="楷体" w:eastAsia="楷体" w:hAnsi="楷体" w:cs="宋体" w:hint="eastAsia"/>
          <w:kern w:val="0"/>
          <w:sz w:val="24"/>
          <w:szCs w:val="24"/>
        </w:rPr>
        <w:t>会上下波动，影响理财产品收益。</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4、理财产品不成立风险：如理财产品募集结束时，</w:t>
      </w:r>
      <w:proofErr w:type="gramStart"/>
      <w:r w:rsidRPr="00917D30">
        <w:rPr>
          <w:rFonts w:ascii="楷体" w:eastAsia="楷体" w:hAnsi="楷体" w:cs="宋体" w:hint="eastAsia"/>
          <w:color w:val="000000"/>
          <w:kern w:val="0"/>
          <w:sz w:val="24"/>
          <w:szCs w:val="24"/>
        </w:rPr>
        <w:t>认购总</w:t>
      </w:r>
      <w:proofErr w:type="gramEnd"/>
      <w:r w:rsidRPr="00917D3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w:t>
      </w:r>
      <w:r w:rsidRPr="00917D30">
        <w:rPr>
          <w:rFonts w:ascii="楷体" w:eastAsia="楷体" w:hAnsi="楷体" w:cs="宋体" w:hint="eastAsia"/>
          <w:color w:val="000000"/>
          <w:kern w:val="0"/>
          <w:sz w:val="24"/>
          <w:szCs w:val="24"/>
        </w:rPr>
        <w:lastRenderedPageBreak/>
        <w:t>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17D30" w:rsidRPr="00917D30" w:rsidRDefault="00917D30" w:rsidP="00917D30">
      <w:pPr>
        <w:widowControl/>
        <w:jc w:val="center"/>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（请投资者仔细阅读本产品说明书首页的风险提示）</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615"/>
        <w:gridCol w:w="1517"/>
        <w:gridCol w:w="1634"/>
        <w:gridCol w:w="2868"/>
      </w:tblGrid>
      <w:tr w:rsidR="00917D30" w:rsidRPr="00917D30" w:rsidTr="00917D30">
        <w:trPr>
          <w:trHeight w:val="31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内部风险评级</w:t>
            </w:r>
          </w:p>
        </w:tc>
        <w:tc>
          <w:tcPr>
            <w:tcW w:w="7760" w:type="dxa"/>
            <w:gridSpan w:val="4"/>
            <w:tcBorders>
              <w:top w:val="single" w:sz="4" w:space="0" w:color="auto"/>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本理财产品内部风险评级为：R2</w:t>
            </w:r>
          </w:p>
        </w:tc>
      </w:tr>
      <w:tr w:rsidR="00917D30" w:rsidRPr="00917D30" w:rsidTr="00917D3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风险评级</w:t>
            </w:r>
          </w:p>
        </w:tc>
        <w:tc>
          <w:tcPr>
            <w:tcW w:w="1540" w:type="dxa"/>
            <w:tcBorders>
              <w:top w:val="nil"/>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风险程度</w:t>
            </w:r>
          </w:p>
        </w:tc>
        <w:tc>
          <w:tcPr>
            <w:tcW w:w="1660" w:type="dxa"/>
            <w:tcBorders>
              <w:top w:val="nil"/>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适合的投资者</w:t>
            </w:r>
          </w:p>
        </w:tc>
        <w:tc>
          <w:tcPr>
            <w:tcW w:w="2920" w:type="dxa"/>
            <w:tcBorders>
              <w:top w:val="nil"/>
              <w:left w:val="nil"/>
              <w:bottom w:val="single" w:sz="4" w:space="0" w:color="auto"/>
              <w:right w:val="single" w:sz="4" w:space="0" w:color="auto"/>
            </w:tcBorders>
            <w:shd w:val="clear" w:color="auto" w:fill="auto"/>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适合投资策略</w:t>
            </w:r>
          </w:p>
        </w:tc>
      </w:tr>
      <w:tr w:rsidR="00917D30" w:rsidRPr="00917D30" w:rsidTr="00917D3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R1</w:t>
            </w:r>
          </w:p>
        </w:tc>
        <w:tc>
          <w:tcPr>
            <w:tcW w:w="15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低</w:t>
            </w:r>
          </w:p>
        </w:tc>
        <w:tc>
          <w:tcPr>
            <w:tcW w:w="166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保守型</w:t>
            </w:r>
          </w:p>
        </w:tc>
        <w:tc>
          <w:tcPr>
            <w:tcW w:w="292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风险控制</w:t>
            </w:r>
          </w:p>
        </w:tc>
      </w:tr>
      <w:tr w:rsidR="00917D30" w:rsidRPr="00917D30" w:rsidTr="00917D3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R2</w:t>
            </w:r>
          </w:p>
        </w:tc>
        <w:tc>
          <w:tcPr>
            <w:tcW w:w="15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较低</w:t>
            </w:r>
          </w:p>
        </w:tc>
        <w:tc>
          <w:tcPr>
            <w:tcW w:w="166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稳健型</w:t>
            </w:r>
          </w:p>
        </w:tc>
        <w:tc>
          <w:tcPr>
            <w:tcW w:w="292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稳健发展</w:t>
            </w:r>
          </w:p>
        </w:tc>
      </w:tr>
      <w:tr w:rsidR="00917D30" w:rsidRPr="00917D30" w:rsidTr="00917D3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R3</w:t>
            </w:r>
          </w:p>
        </w:tc>
        <w:tc>
          <w:tcPr>
            <w:tcW w:w="15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中</w:t>
            </w:r>
          </w:p>
        </w:tc>
        <w:tc>
          <w:tcPr>
            <w:tcW w:w="166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平衡型</w:t>
            </w:r>
          </w:p>
        </w:tc>
        <w:tc>
          <w:tcPr>
            <w:tcW w:w="292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均衡成长</w:t>
            </w:r>
          </w:p>
        </w:tc>
      </w:tr>
      <w:tr w:rsidR="00917D30" w:rsidRPr="00917D30" w:rsidTr="00917D3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R4</w:t>
            </w:r>
          </w:p>
        </w:tc>
        <w:tc>
          <w:tcPr>
            <w:tcW w:w="15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较高</w:t>
            </w:r>
          </w:p>
        </w:tc>
        <w:tc>
          <w:tcPr>
            <w:tcW w:w="166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成长型</w:t>
            </w:r>
          </w:p>
        </w:tc>
        <w:tc>
          <w:tcPr>
            <w:tcW w:w="292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积极进取</w:t>
            </w:r>
          </w:p>
        </w:tc>
      </w:tr>
      <w:tr w:rsidR="00917D30" w:rsidRPr="00917D30" w:rsidTr="00917D30">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17D30" w:rsidRPr="00917D30" w:rsidRDefault="00917D30" w:rsidP="00917D30">
            <w:pPr>
              <w:widowControl/>
              <w:jc w:val="left"/>
              <w:rPr>
                <w:rFonts w:ascii="楷体" w:eastAsia="楷体" w:hAnsi="楷体" w:cs="宋体"/>
                <w:color w:val="000000"/>
                <w:kern w:val="0"/>
                <w:sz w:val="24"/>
                <w:szCs w:val="24"/>
              </w:rPr>
            </w:pPr>
          </w:p>
        </w:tc>
        <w:tc>
          <w:tcPr>
            <w:tcW w:w="16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R5</w:t>
            </w:r>
          </w:p>
        </w:tc>
        <w:tc>
          <w:tcPr>
            <w:tcW w:w="154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高</w:t>
            </w:r>
          </w:p>
        </w:tc>
        <w:tc>
          <w:tcPr>
            <w:tcW w:w="166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进取型</w:t>
            </w:r>
          </w:p>
        </w:tc>
        <w:tc>
          <w:tcPr>
            <w:tcW w:w="2920" w:type="dxa"/>
            <w:tcBorders>
              <w:top w:val="nil"/>
              <w:left w:val="nil"/>
              <w:bottom w:val="single" w:sz="4" w:space="0" w:color="auto"/>
              <w:right w:val="single" w:sz="4" w:space="0" w:color="auto"/>
            </w:tcBorders>
            <w:shd w:val="clear" w:color="000000" w:fill="CCE8CF"/>
            <w:vAlign w:val="center"/>
            <w:hideMark/>
          </w:tcPr>
          <w:p w:rsidR="00917D30" w:rsidRPr="00917D30" w:rsidRDefault="00917D30" w:rsidP="00917D30">
            <w:pPr>
              <w:widowControl/>
              <w:jc w:val="center"/>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风险承受</w:t>
            </w:r>
          </w:p>
        </w:tc>
      </w:tr>
    </w:tbl>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（本评级为广东南粤银行股份有限公司内部评级，仅供参考）</w:t>
      </w:r>
    </w:p>
    <w:p w:rsidR="00917D30" w:rsidRPr="00917D30" w:rsidRDefault="00917D30" w:rsidP="00917D30">
      <w:pPr>
        <w:widowControl/>
        <w:jc w:val="left"/>
        <w:rPr>
          <w:rFonts w:ascii="楷体" w:eastAsia="楷体" w:hAnsi="楷体" w:cs="宋体"/>
          <w:color w:val="000000"/>
          <w:kern w:val="0"/>
          <w:sz w:val="24"/>
          <w:szCs w:val="24"/>
        </w:rPr>
      </w:pP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理财本金与收益测算</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1、理财计划本金与收益率测算</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（1）收益测算公式：</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本产品收益＝投资收益—投资相关成本</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理财产品到期支付款项=理财产品本金+本产品收益</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（2）收益测算说明：</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投资者到期收到款项按四舍五入法保留两位小数。</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2、投资者所得收益说明:</w:t>
      </w:r>
      <w:r w:rsidRPr="00917D30">
        <w:rPr>
          <w:rFonts w:ascii="楷体" w:eastAsia="楷体" w:hAnsi="楷体" w:cs="宋体" w:hint="eastAsia"/>
          <w:color w:val="FF0000"/>
          <w:kern w:val="0"/>
          <w:sz w:val="24"/>
          <w:szCs w:val="24"/>
        </w:rPr>
        <w:t xml:space="preserve"> </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（1）</w:t>
      </w:r>
      <w:r w:rsidRPr="00917D30">
        <w:rPr>
          <w:rFonts w:ascii="楷体" w:eastAsia="楷体" w:hAnsi="楷体" w:cs="宋体" w:hint="eastAsia"/>
          <w:kern w:val="0"/>
          <w:sz w:val="24"/>
          <w:szCs w:val="24"/>
        </w:rPr>
        <w:t>当理财计划实现</w:t>
      </w:r>
      <w:proofErr w:type="gramStart"/>
      <w:r w:rsidRPr="00917D30">
        <w:rPr>
          <w:rFonts w:ascii="楷体" w:eastAsia="楷体" w:hAnsi="楷体" w:cs="宋体" w:hint="eastAsia"/>
          <w:kern w:val="0"/>
          <w:sz w:val="24"/>
          <w:szCs w:val="24"/>
        </w:rPr>
        <w:t>的年化收益率</w:t>
      </w:r>
      <w:proofErr w:type="gramEnd"/>
      <w:r w:rsidRPr="00917D30">
        <w:rPr>
          <w:rFonts w:ascii="楷体" w:eastAsia="楷体" w:hAnsi="楷体" w:cs="宋体" w:hint="eastAsia"/>
          <w:kern w:val="0"/>
          <w:sz w:val="24"/>
          <w:szCs w:val="24"/>
        </w:rPr>
        <w:t>超出</w:t>
      </w:r>
      <w:proofErr w:type="gramStart"/>
      <w:r w:rsidRPr="00917D30">
        <w:rPr>
          <w:rFonts w:ascii="楷体" w:eastAsia="楷体" w:hAnsi="楷体" w:cs="宋体" w:hint="eastAsia"/>
          <w:kern w:val="0"/>
          <w:sz w:val="24"/>
          <w:szCs w:val="24"/>
        </w:rPr>
        <w:t>参考年化收益率</w:t>
      </w:r>
      <w:proofErr w:type="gramEnd"/>
      <w:r w:rsidRPr="00917D30">
        <w:rPr>
          <w:rFonts w:ascii="楷体" w:eastAsia="楷体" w:hAnsi="楷体" w:cs="宋体" w:hint="eastAsia"/>
          <w:kern w:val="0"/>
          <w:sz w:val="24"/>
          <w:szCs w:val="24"/>
        </w:rPr>
        <w:t>时，投资者只能获得本说明书中注明的对应档次</w:t>
      </w:r>
      <w:proofErr w:type="gramStart"/>
      <w:r w:rsidRPr="00917D30">
        <w:rPr>
          <w:rFonts w:ascii="楷体" w:eastAsia="楷体" w:hAnsi="楷体" w:cs="宋体" w:hint="eastAsia"/>
          <w:kern w:val="0"/>
          <w:sz w:val="24"/>
          <w:szCs w:val="24"/>
        </w:rPr>
        <w:t>参考年化收益率</w:t>
      </w:r>
      <w:proofErr w:type="gramEnd"/>
      <w:r w:rsidRPr="00917D30">
        <w:rPr>
          <w:rFonts w:ascii="楷体" w:eastAsia="楷体" w:hAnsi="楷体" w:cs="宋体" w:hint="eastAsia"/>
          <w:kern w:val="0"/>
          <w:sz w:val="24"/>
          <w:szCs w:val="24"/>
        </w:rPr>
        <w:t>，超出部分作为广东南粤银行管理费；若小于本说明书中的对应档次的</w:t>
      </w:r>
      <w:proofErr w:type="gramStart"/>
      <w:r w:rsidRPr="00917D30">
        <w:rPr>
          <w:rFonts w:ascii="楷体" w:eastAsia="楷体" w:hAnsi="楷体" w:cs="宋体" w:hint="eastAsia"/>
          <w:kern w:val="0"/>
          <w:sz w:val="24"/>
          <w:szCs w:val="24"/>
        </w:rPr>
        <w:t>参考年化收益率</w:t>
      </w:r>
      <w:proofErr w:type="gramEnd"/>
      <w:r w:rsidRPr="00917D30">
        <w:rPr>
          <w:rFonts w:ascii="楷体" w:eastAsia="楷体" w:hAnsi="楷体" w:cs="宋体" w:hint="eastAsia"/>
          <w:kern w:val="0"/>
          <w:sz w:val="24"/>
          <w:szCs w:val="24"/>
        </w:rPr>
        <w:t>，投资者到</w:t>
      </w:r>
      <w:proofErr w:type="gramStart"/>
      <w:r w:rsidRPr="00917D30">
        <w:rPr>
          <w:rFonts w:ascii="楷体" w:eastAsia="楷体" w:hAnsi="楷体" w:cs="宋体" w:hint="eastAsia"/>
          <w:kern w:val="0"/>
          <w:sz w:val="24"/>
          <w:szCs w:val="24"/>
        </w:rPr>
        <w:t>期年化</w:t>
      </w:r>
      <w:proofErr w:type="gramEnd"/>
      <w:r w:rsidRPr="00917D30">
        <w:rPr>
          <w:rFonts w:ascii="楷体" w:eastAsia="楷体" w:hAnsi="楷体" w:cs="宋体" w:hint="eastAsia"/>
          <w:kern w:val="0"/>
          <w:sz w:val="24"/>
          <w:szCs w:val="24"/>
        </w:rPr>
        <w:t>收益率则根据资产实际回收情况计算。</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计算公式：</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投资者理财收益=理财本金×投资者到</w:t>
      </w:r>
      <w:proofErr w:type="gramStart"/>
      <w:r w:rsidRPr="00917D30">
        <w:rPr>
          <w:rFonts w:ascii="楷体" w:eastAsia="楷体" w:hAnsi="楷体" w:cs="宋体" w:hint="eastAsia"/>
          <w:color w:val="000000"/>
          <w:kern w:val="0"/>
          <w:sz w:val="24"/>
          <w:szCs w:val="24"/>
        </w:rPr>
        <w:t>期年化</w:t>
      </w:r>
      <w:proofErr w:type="gramEnd"/>
      <w:r w:rsidRPr="00917D30">
        <w:rPr>
          <w:rFonts w:ascii="楷体" w:eastAsia="楷体" w:hAnsi="楷体" w:cs="宋体" w:hint="eastAsia"/>
          <w:color w:val="000000"/>
          <w:kern w:val="0"/>
          <w:sz w:val="24"/>
          <w:szCs w:val="24"/>
        </w:rPr>
        <w:t>收益率×实际理财天数/365</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（2）计算示例： </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假设客户理财本金为6,000,000元，对应档次的预期最高</w:t>
      </w:r>
      <w:proofErr w:type="gramStart"/>
      <w:r w:rsidRPr="00917D30">
        <w:rPr>
          <w:rFonts w:ascii="楷体" w:eastAsia="楷体" w:hAnsi="楷体" w:cs="宋体" w:hint="eastAsia"/>
          <w:color w:val="000000"/>
          <w:kern w:val="0"/>
          <w:sz w:val="24"/>
          <w:szCs w:val="24"/>
        </w:rPr>
        <w:t>年化参考</w:t>
      </w:r>
      <w:proofErr w:type="gramEnd"/>
      <w:r w:rsidRPr="00917D30">
        <w:rPr>
          <w:rFonts w:ascii="楷体" w:eastAsia="楷体" w:hAnsi="楷体" w:cs="宋体" w:hint="eastAsia"/>
          <w:color w:val="000000"/>
          <w:kern w:val="0"/>
          <w:sz w:val="24"/>
          <w:szCs w:val="24"/>
        </w:rPr>
        <w:t>收益率为4.6%，实际理财天数363天，</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A:若客户理财产品到期实现</w:t>
      </w:r>
      <w:proofErr w:type="gramStart"/>
      <w:r w:rsidRPr="00917D30">
        <w:rPr>
          <w:rFonts w:ascii="楷体" w:eastAsia="楷体" w:hAnsi="楷体" w:cs="宋体" w:hint="eastAsia"/>
          <w:color w:val="000000"/>
          <w:kern w:val="0"/>
          <w:sz w:val="24"/>
          <w:szCs w:val="24"/>
        </w:rPr>
        <w:t>的年化收益率</w:t>
      </w:r>
      <w:proofErr w:type="gramEnd"/>
      <w:r w:rsidRPr="00917D30">
        <w:rPr>
          <w:rFonts w:ascii="楷体" w:eastAsia="楷体" w:hAnsi="楷体" w:cs="宋体" w:hint="eastAsia"/>
          <w:color w:val="000000"/>
          <w:kern w:val="0"/>
          <w:sz w:val="24"/>
          <w:szCs w:val="24"/>
        </w:rPr>
        <w:t>为4.7%，则投资者的理财收益为：</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投资者的理财收益=6,000,000×4.6%×363/365= 274,487.67元</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B:若客户理财产品到期实现</w:t>
      </w:r>
      <w:proofErr w:type="gramStart"/>
      <w:r w:rsidRPr="00917D30">
        <w:rPr>
          <w:rFonts w:ascii="楷体" w:eastAsia="楷体" w:hAnsi="楷体" w:cs="宋体" w:hint="eastAsia"/>
          <w:color w:val="000000"/>
          <w:kern w:val="0"/>
          <w:sz w:val="24"/>
          <w:szCs w:val="24"/>
        </w:rPr>
        <w:t>的年化收益率</w:t>
      </w:r>
      <w:proofErr w:type="gramEnd"/>
      <w:r w:rsidRPr="00917D30">
        <w:rPr>
          <w:rFonts w:ascii="楷体" w:eastAsia="楷体" w:hAnsi="楷体" w:cs="宋体" w:hint="eastAsia"/>
          <w:color w:val="000000"/>
          <w:kern w:val="0"/>
          <w:sz w:val="24"/>
          <w:szCs w:val="24"/>
        </w:rPr>
        <w:t>为4.5%，则投资者的理财收益为：</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投资者的理财收益=6,000,000×4.5%×363/365= 268,520.55元</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（上述示例数据均采用假设数据计算，测算收益不等于实际收益，投资须谨慎）</w:t>
      </w: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提前终止及到期清算</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lastRenderedPageBreak/>
        <w:t xml:space="preserve">    1、提前终止：本理财计划存续期内，投资者无提前终止权，不得提前赎回，广东南粤银行可提前终止本理财计划。在本理财计划销售期间，若</w:t>
      </w:r>
      <w:proofErr w:type="gramStart"/>
      <w:r w:rsidRPr="00917D30">
        <w:rPr>
          <w:rFonts w:ascii="楷体" w:eastAsia="楷体" w:hAnsi="楷体" w:cs="宋体" w:hint="eastAsia"/>
          <w:color w:val="000000"/>
          <w:kern w:val="0"/>
          <w:sz w:val="24"/>
          <w:szCs w:val="24"/>
        </w:rPr>
        <w:t>遇政策</w:t>
      </w:r>
      <w:proofErr w:type="gramEnd"/>
      <w:r w:rsidRPr="00917D3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2、到期清算日：2016年10月12日至2016年10月13日期间，逢假期顺延。适用假期：中国公众假期。清算期</w:t>
      </w:r>
      <w:proofErr w:type="gramStart"/>
      <w:r w:rsidRPr="00917D30">
        <w:rPr>
          <w:rFonts w:ascii="楷体" w:eastAsia="楷体" w:hAnsi="楷体" w:cs="宋体" w:hint="eastAsia"/>
          <w:color w:val="000000"/>
          <w:kern w:val="0"/>
          <w:sz w:val="24"/>
          <w:szCs w:val="24"/>
        </w:rPr>
        <w:t>内本理财</w:t>
      </w:r>
      <w:proofErr w:type="gramEnd"/>
      <w:r w:rsidRPr="00917D30">
        <w:rPr>
          <w:rFonts w:ascii="楷体" w:eastAsia="楷体" w:hAnsi="楷体" w:cs="宋体" w:hint="eastAsia"/>
          <w:color w:val="000000"/>
          <w:kern w:val="0"/>
          <w:sz w:val="24"/>
          <w:szCs w:val="24"/>
        </w:rPr>
        <w:t>计划不计息。</w:t>
      </w:r>
    </w:p>
    <w:p w:rsidR="00917D30" w:rsidRPr="00917D30" w:rsidRDefault="00917D30" w:rsidP="00917D30">
      <w:pPr>
        <w:widowControl/>
        <w:jc w:val="left"/>
        <w:rPr>
          <w:rFonts w:ascii="楷体" w:eastAsia="楷体" w:hAnsi="楷体" w:cs="宋体"/>
          <w:b/>
          <w:bCs/>
          <w:color w:val="000000"/>
          <w:kern w:val="0"/>
          <w:sz w:val="24"/>
          <w:szCs w:val="24"/>
        </w:rPr>
      </w:pPr>
      <w:r w:rsidRPr="00917D30">
        <w:rPr>
          <w:rFonts w:ascii="楷体" w:eastAsia="楷体" w:hAnsi="楷体" w:cs="宋体" w:hint="eastAsia"/>
          <w:b/>
          <w:bCs/>
          <w:color w:val="000000"/>
          <w:kern w:val="0"/>
          <w:sz w:val="24"/>
          <w:szCs w:val="24"/>
        </w:rPr>
        <w:t>信息披露及投诉方式</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17D30" w:rsidRPr="00917D30" w:rsidRDefault="00917D30" w:rsidP="00917D30">
      <w:pPr>
        <w:widowControl/>
        <w:jc w:val="lef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17D30" w:rsidRPr="00917D30" w:rsidRDefault="00917D30" w:rsidP="00917D30">
      <w:pPr>
        <w:widowControl/>
        <w:jc w:val="left"/>
        <w:rPr>
          <w:rFonts w:ascii="楷体" w:eastAsia="楷体" w:hAnsi="楷体" w:cs="宋体"/>
          <w:color w:val="000000"/>
          <w:kern w:val="0"/>
          <w:sz w:val="24"/>
          <w:szCs w:val="24"/>
        </w:rPr>
      </w:pPr>
    </w:p>
    <w:p w:rsidR="00917D30" w:rsidRPr="00917D30" w:rsidRDefault="00917D30" w:rsidP="00917D30">
      <w:pPr>
        <w:widowControl/>
        <w:jc w:val="right"/>
        <w:rPr>
          <w:rFonts w:ascii="楷体" w:eastAsia="楷体" w:hAnsi="楷体" w:cs="宋体"/>
          <w:color w:val="000000"/>
          <w:kern w:val="0"/>
          <w:sz w:val="24"/>
          <w:szCs w:val="24"/>
        </w:rPr>
      </w:pPr>
      <w:r w:rsidRPr="00917D30">
        <w:rPr>
          <w:rFonts w:ascii="楷体" w:eastAsia="楷体" w:hAnsi="楷体" w:cs="宋体" w:hint="eastAsia"/>
          <w:color w:val="000000"/>
          <w:kern w:val="0"/>
          <w:sz w:val="24"/>
          <w:szCs w:val="24"/>
        </w:rPr>
        <w:t>广东南粤银行股份有限公司</w:t>
      </w:r>
    </w:p>
    <w:p w:rsidR="00472756" w:rsidRPr="00917D30" w:rsidRDefault="00472756"/>
    <w:sectPr w:rsidR="00472756" w:rsidRPr="00917D3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EC" w:rsidRDefault="001516EC" w:rsidP="00C149BE">
      <w:r>
        <w:separator/>
      </w:r>
    </w:p>
  </w:endnote>
  <w:endnote w:type="continuationSeparator" w:id="0">
    <w:p w:rsidR="001516EC" w:rsidRDefault="001516EC" w:rsidP="00C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378021"/>
      <w:docPartObj>
        <w:docPartGallery w:val="Page Numbers (Bottom of Page)"/>
        <w:docPartUnique/>
      </w:docPartObj>
    </w:sdtPr>
    <w:sdtContent>
      <w:p w:rsidR="00C149BE" w:rsidRDefault="00C149BE">
        <w:pPr>
          <w:pStyle w:val="a4"/>
          <w:jc w:val="center"/>
        </w:pPr>
        <w:r>
          <w:fldChar w:fldCharType="begin"/>
        </w:r>
        <w:r>
          <w:instrText>PAGE   \* MERGEFORMAT</w:instrText>
        </w:r>
        <w:r>
          <w:fldChar w:fldCharType="separate"/>
        </w:r>
        <w:r w:rsidRPr="00C149BE">
          <w:rPr>
            <w:noProof/>
            <w:lang w:val="zh-CN"/>
          </w:rPr>
          <w:t>1</w:t>
        </w:r>
        <w:r>
          <w:fldChar w:fldCharType="end"/>
        </w:r>
      </w:p>
    </w:sdtContent>
  </w:sdt>
  <w:p w:rsidR="00C149BE" w:rsidRDefault="00C149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EC" w:rsidRDefault="001516EC" w:rsidP="00C149BE">
      <w:r>
        <w:separator/>
      </w:r>
    </w:p>
  </w:footnote>
  <w:footnote w:type="continuationSeparator" w:id="0">
    <w:p w:rsidR="001516EC" w:rsidRDefault="001516EC" w:rsidP="00C1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30"/>
    <w:rsid w:val="00115FBA"/>
    <w:rsid w:val="001516EC"/>
    <w:rsid w:val="00196C71"/>
    <w:rsid w:val="001C7EEB"/>
    <w:rsid w:val="002813C0"/>
    <w:rsid w:val="00451C79"/>
    <w:rsid w:val="00472756"/>
    <w:rsid w:val="005E4CC8"/>
    <w:rsid w:val="0062403C"/>
    <w:rsid w:val="00682190"/>
    <w:rsid w:val="00707456"/>
    <w:rsid w:val="00726BEC"/>
    <w:rsid w:val="007528C1"/>
    <w:rsid w:val="00902538"/>
    <w:rsid w:val="00917D30"/>
    <w:rsid w:val="00A054AF"/>
    <w:rsid w:val="00B53C63"/>
    <w:rsid w:val="00C149BE"/>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BE"/>
    <w:rPr>
      <w:sz w:val="18"/>
      <w:szCs w:val="18"/>
    </w:rPr>
  </w:style>
  <w:style w:type="paragraph" w:styleId="a4">
    <w:name w:val="footer"/>
    <w:basedOn w:val="a"/>
    <w:link w:val="Char0"/>
    <w:uiPriority w:val="99"/>
    <w:unhideWhenUsed/>
    <w:rsid w:val="00C149BE"/>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BE"/>
    <w:rPr>
      <w:sz w:val="18"/>
      <w:szCs w:val="18"/>
    </w:rPr>
  </w:style>
  <w:style w:type="paragraph" w:styleId="a4">
    <w:name w:val="footer"/>
    <w:basedOn w:val="a"/>
    <w:link w:val="Char0"/>
    <w:uiPriority w:val="99"/>
    <w:unhideWhenUsed/>
    <w:rsid w:val="00C149BE"/>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3127</Characters>
  <Application>Microsoft Office Word</Application>
  <DocSecurity>0</DocSecurity>
  <Lines>26</Lines>
  <Paragraphs>7</Paragraphs>
  <ScaleCrop>false</ScaleCrop>
  <Company>china</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2015-10-14T03:45:00Z</dcterms:created>
  <dcterms:modified xsi:type="dcterms:W3CDTF">2015-10-14T03:46:00Z</dcterms:modified>
</cp:coreProperties>
</file>