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0EB6" w:rsidRPr="001A5621" w:rsidRDefault="002F0EB6" w:rsidP="001A5621">
      <w:pPr>
        <w:widowControl/>
        <w:jc w:val="center"/>
        <w:rPr>
          <w:rFonts w:ascii="Courier New" w:eastAsia="宋体" w:hAnsi="Courier New" w:cs="Courier New"/>
          <w:b/>
          <w:bCs/>
          <w:kern w:val="0"/>
          <w:sz w:val="36"/>
          <w:szCs w:val="36"/>
        </w:rPr>
      </w:pPr>
      <w:bookmarkStart w:id="0" w:name="_GoBack"/>
      <w:r w:rsidRPr="001A5621">
        <w:rPr>
          <w:rFonts w:ascii="Courier New" w:eastAsia="宋体" w:hAnsi="Courier New" w:cs="Courier New"/>
          <w:b/>
          <w:bCs/>
          <w:kern w:val="0"/>
          <w:sz w:val="36"/>
          <w:szCs w:val="36"/>
        </w:rPr>
        <w:t>“</w:t>
      </w:r>
      <w:r w:rsidRPr="001A5621">
        <w:rPr>
          <w:rFonts w:ascii="Courier New" w:eastAsia="宋体" w:hAnsi="Courier New" w:cs="Courier New"/>
          <w:b/>
          <w:bCs/>
          <w:kern w:val="0"/>
          <w:sz w:val="36"/>
          <w:szCs w:val="36"/>
        </w:rPr>
        <w:t>宝盈理财</w:t>
      </w:r>
      <w:r w:rsidRPr="001A5621">
        <w:rPr>
          <w:rFonts w:ascii="Courier New" w:eastAsia="宋体" w:hAnsi="Courier New" w:cs="Courier New"/>
          <w:b/>
          <w:bCs/>
          <w:kern w:val="0"/>
          <w:sz w:val="36"/>
          <w:szCs w:val="36"/>
        </w:rPr>
        <w:t>”</w:t>
      </w:r>
      <w:r w:rsidRPr="001A5621">
        <w:rPr>
          <w:rFonts w:ascii="Courier New" w:eastAsia="宋体" w:hAnsi="Courier New" w:cs="Courier New"/>
          <w:b/>
          <w:bCs/>
          <w:kern w:val="0"/>
          <w:sz w:val="36"/>
          <w:szCs w:val="36"/>
        </w:rPr>
        <w:t>卓越</w:t>
      </w:r>
      <w:r w:rsidRPr="001A5621">
        <w:rPr>
          <w:rFonts w:ascii="Courier New" w:eastAsia="宋体" w:hAnsi="Courier New" w:cs="Courier New"/>
          <w:b/>
          <w:bCs/>
          <w:kern w:val="0"/>
          <w:sz w:val="36"/>
          <w:szCs w:val="36"/>
        </w:rPr>
        <w:t>768</w:t>
      </w:r>
      <w:r w:rsidRPr="001A5621">
        <w:rPr>
          <w:rFonts w:ascii="Courier New" w:eastAsia="宋体" w:hAnsi="Courier New" w:cs="Courier New"/>
          <w:b/>
          <w:bCs/>
          <w:kern w:val="0"/>
          <w:sz w:val="36"/>
          <w:szCs w:val="36"/>
        </w:rPr>
        <w:t>号人民币理财产品说明书</w:t>
      </w:r>
    </w:p>
    <w:p w:rsidR="002F0EB6" w:rsidRPr="001A5621" w:rsidRDefault="002F0EB6" w:rsidP="001A5621">
      <w:pPr>
        <w:widowControl/>
        <w:jc w:val="left"/>
        <w:rPr>
          <w:rFonts w:ascii="楷体" w:eastAsia="楷体" w:hAnsi="楷体" w:cs="宋体"/>
          <w:b/>
          <w:bCs/>
          <w:color w:val="000000"/>
          <w:kern w:val="0"/>
          <w:sz w:val="24"/>
          <w:szCs w:val="24"/>
        </w:rPr>
      </w:pPr>
      <w:r w:rsidRPr="001A5621">
        <w:rPr>
          <w:rFonts w:ascii="楷体" w:eastAsia="楷体" w:hAnsi="楷体" w:cs="宋体" w:hint="eastAsia"/>
          <w:b/>
          <w:bCs/>
          <w:color w:val="000000"/>
          <w:kern w:val="0"/>
          <w:sz w:val="24"/>
          <w:szCs w:val="24"/>
        </w:rPr>
        <w:t>客户须知</w:t>
      </w:r>
    </w:p>
    <w:p w:rsidR="002F0EB6" w:rsidRPr="001A5621" w:rsidRDefault="002F0EB6" w:rsidP="001A5621">
      <w:pPr>
        <w:widowControl/>
        <w:jc w:val="left"/>
        <w:rPr>
          <w:rFonts w:ascii="楷体" w:eastAsia="楷体" w:hAnsi="楷体" w:cs="宋体"/>
          <w:color w:val="000000"/>
          <w:kern w:val="0"/>
          <w:sz w:val="24"/>
          <w:szCs w:val="24"/>
        </w:rPr>
      </w:pPr>
      <w:r w:rsidRPr="001A5621">
        <w:rPr>
          <w:rFonts w:ascii="楷体" w:eastAsia="楷体" w:hAnsi="楷体" w:cs="宋体" w:hint="eastAsia"/>
          <w:color w:val="000000"/>
          <w:kern w:val="0"/>
          <w:sz w:val="24"/>
          <w:szCs w:val="24"/>
        </w:rPr>
        <w:t xml:space="preserve">    本说明书与《广东南粤银行理财产品客户协议书》、《广东南粤银行理财产品适合度评估书》、《广东南粤银行理财产品客户权益须知》、《广东南粤银行理财产品风险提示书》共同构成完整的不可分割的理财合同。</w:t>
      </w:r>
    </w:p>
    <w:p w:rsidR="002F0EB6" w:rsidRPr="001A5621" w:rsidRDefault="002F0EB6" w:rsidP="001A5621">
      <w:pPr>
        <w:widowControl/>
        <w:jc w:val="left"/>
        <w:rPr>
          <w:rFonts w:ascii="楷体" w:eastAsia="楷体" w:hAnsi="楷体" w:cs="宋体"/>
          <w:color w:val="000000"/>
          <w:kern w:val="0"/>
          <w:sz w:val="24"/>
          <w:szCs w:val="24"/>
        </w:rPr>
      </w:pPr>
      <w:r w:rsidRPr="001A5621">
        <w:rPr>
          <w:rFonts w:ascii="楷体" w:eastAsia="楷体" w:hAnsi="楷体" w:cs="宋体" w:hint="eastAsia"/>
          <w:color w:val="000000"/>
          <w:kern w:val="0"/>
          <w:sz w:val="24"/>
          <w:szCs w:val="24"/>
        </w:rPr>
        <w:t xml:space="preserve">    理财非存款，产品有风险，投资需谨慎。在购买本理财产品前，请投资者确保完全明白此类投资的性质、投资所涉及的风险以及自身承受风险的能力。投资者若对本说明书的内容有任何疑问，请向广东南粤银行各营业网点咨询。</w:t>
      </w:r>
    </w:p>
    <w:p w:rsidR="002F0EB6" w:rsidRPr="001A5621" w:rsidRDefault="002F0EB6" w:rsidP="001A5621">
      <w:pPr>
        <w:widowControl/>
        <w:jc w:val="left"/>
        <w:rPr>
          <w:rFonts w:ascii="楷体" w:eastAsia="楷体" w:hAnsi="楷体" w:cs="宋体"/>
          <w:color w:val="000000"/>
          <w:kern w:val="0"/>
          <w:sz w:val="24"/>
          <w:szCs w:val="24"/>
        </w:rPr>
      </w:pPr>
      <w:r w:rsidRPr="001A5621">
        <w:rPr>
          <w:rFonts w:ascii="楷体" w:eastAsia="楷体" w:hAnsi="楷体" w:cs="宋体" w:hint="eastAsia"/>
          <w:color w:val="000000"/>
          <w:kern w:val="0"/>
          <w:sz w:val="24"/>
          <w:szCs w:val="24"/>
        </w:rPr>
        <w:t xml:space="preserve">    本说明书所引用的资料及数据仅供投资者参考，均不构成对投资者的推荐和承诺。</w:t>
      </w:r>
    </w:p>
    <w:p w:rsidR="002F0EB6" w:rsidRPr="001A5621" w:rsidRDefault="002F0EB6" w:rsidP="001A5621">
      <w:pPr>
        <w:widowControl/>
        <w:jc w:val="left"/>
        <w:rPr>
          <w:rFonts w:ascii="楷体" w:eastAsia="楷体" w:hAnsi="楷体" w:cs="宋体"/>
          <w:color w:val="000000"/>
          <w:kern w:val="0"/>
          <w:sz w:val="24"/>
          <w:szCs w:val="24"/>
        </w:rPr>
      </w:pPr>
      <w:r w:rsidRPr="001A5621">
        <w:rPr>
          <w:rFonts w:ascii="楷体" w:eastAsia="楷体" w:hAnsi="楷体" w:cs="宋体" w:hint="eastAsia"/>
          <w:color w:val="000000"/>
          <w:kern w:val="0"/>
          <w:sz w:val="24"/>
          <w:szCs w:val="24"/>
        </w:rPr>
        <w:t xml:space="preserve">    本说明书所有条款解释权归广东南粤银行股份有限公司所有。</w:t>
      </w:r>
    </w:p>
    <w:p w:rsidR="002F0EB6" w:rsidRPr="001A5621" w:rsidRDefault="002F0EB6" w:rsidP="001A5621">
      <w:pPr>
        <w:widowControl/>
        <w:jc w:val="left"/>
        <w:rPr>
          <w:rFonts w:ascii="楷体" w:eastAsia="楷体" w:hAnsi="楷体" w:cs="宋体"/>
          <w:b/>
          <w:bCs/>
          <w:color w:val="000000"/>
          <w:kern w:val="0"/>
          <w:sz w:val="24"/>
          <w:szCs w:val="24"/>
        </w:rPr>
      </w:pPr>
      <w:r w:rsidRPr="001A5621">
        <w:rPr>
          <w:rFonts w:ascii="楷体" w:eastAsia="楷体" w:hAnsi="楷体" w:cs="宋体" w:hint="eastAsia"/>
          <w:b/>
          <w:bCs/>
          <w:color w:val="000000"/>
          <w:kern w:val="0"/>
          <w:sz w:val="24"/>
          <w:szCs w:val="24"/>
        </w:rPr>
        <w:t>产品定义</w:t>
      </w:r>
    </w:p>
    <w:p w:rsidR="002F0EB6" w:rsidRPr="001A5621" w:rsidRDefault="002F0EB6" w:rsidP="001A5621">
      <w:pPr>
        <w:widowControl/>
        <w:jc w:val="left"/>
        <w:rPr>
          <w:rFonts w:ascii="楷体" w:eastAsia="楷体" w:hAnsi="楷体" w:cs="宋体"/>
          <w:color w:val="000000"/>
          <w:kern w:val="0"/>
          <w:sz w:val="24"/>
          <w:szCs w:val="24"/>
        </w:rPr>
      </w:pPr>
      <w:r w:rsidRPr="001A5621">
        <w:rPr>
          <w:rFonts w:ascii="楷体" w:eastAsia="楷体" w:hAnsi="楷体" w:cs="宋体" w:hint="eastAsia"/>
          <w:color w:val="000000"/>
          <w:kern w:val="0"/>
          <w:sz w:val="24"/>
          <w:szCs w:val="24"/>
        </w:rPr>
        <w:t xml:space="preserve">    本产品是指投资人将人民币资金存放在我行，并委托我行进行资金运作的理财产品。</w:t>
      </w:r>
    </w:p>
    <w:p w:rsidR="002F0EB6" w:rsidRPr="001A5621" w:rsidRDefault="002F0EB6" w:rsidP="001A5621">
      <w:pPr>
        <w:widowControl/>
        <w:jc w:val="left"/>
        <w:rPr>
          <w:rFonts w:ascii="楷体" w:eastAsia="楷体" w:hAnsi="楷体" w:cs="宋体"/>
          <w:b/>
          <w:bCs/>
          <w:color w:val="000000"/>
          <w:kern w:val="0"/>
          <w:sz w:val="24"/>
          <w:szCs w:val="24"/>
        </w:rPr>
      </w:pPr>
      <w:r w:rsidRPr="001A5621">
        <w:rPr>
          <w:rFonts w:ascii="楷体" w:eastAsia="楷体" w:hAnsi="楷体" w:cs="宋体" w:hint="eastAsia"/>
          <w:b/>
          <w:bCs/>
          <w:color w:val="000000"/>
          <w:kern w:val="0"/>
          <w:sz w:val="24"/>
          <w:szCs w:val="24"/>
        </w:rPr>
        <w:t>产品概述</w:t>
      </w:r>
    </w:p>
    <w:tbl>
      <w:tblPr>
        <w:tblW w:w="8480" w:type="dxa"/>
        <w:tblInd w:w="108" w:type="dxa"/>
        <w:tblLook w:val="04A0" w:firstRow="1" w:lastRow="0" w:firstColumn="1" w:lastColumn="0" w:noHBand="0" w:noVBand="1"/>
      </w:tblPr>
      <w:tblGrid>
        <w:gridCol w:w="2240"/>
        <w:gridCol w:w="6240"/>
      </w:tblGrid>
      <w:tr w:rsidR="001A5621" w:rsidRPr="001A5621" w:rsidTr="001A5621">
        <w:trPr>
          <w:trHeight w:val="285"/>
        </w:trPr>
        <w:tc>
          <w:tcPr>
            <w:tcW w:w="2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bookmarkEnd w:id="0"/>
          <w:p w:rsidR="001A5621" w:rsidRPr="001A5621" w:rsidRDefault="001A5621" w:rsidP="001A5621">
            <w:pPr>
              <w:widowControl/>
              <w:jc w:val="left"/>
              <w:rPr>
                <w:rFonts w:ascii="楷体" w:eastAsia="楷体" w:hAnsi="楷体" w:cs="宋体"/>
                <w:color w:val="000000"/>
                <w:kern w:val="0"/>
                <w:sz w:val="24"/>
                <w:szCs w:val="24"/>
              </w:rPr>
            </w:pPr>
            <w:r w:rsidRPr="001A5621">
              <w:rPr>
                <w:rFonts w:ascii="楷体" w:eastAsia="楷体" w:hAnsi="楷体" w:cs="宋体" w:hint="eastAsia"/>
                <w:color w:val="000000"/>
                <w:kern w:val="0"/>
                <w:sz w:val="24"/>
                <w:szCs w:val="24"/>
              </w:rPr>
              <w:t>产品名称</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1A5621" w:rsidRPr="001A5621" w:rsidRDefault="001A5621" w:rsidP="001A5621">
            <w:pPr>
              <w:widowControl/>
              <w:jc w:val="left"/>
              <w:rPr>
                <w:rFonts w:ascii="楷体" w:eastAsia="楷体" w:hAnsi="楷体" w:cs="宋体"/>
                <w:color w:val="000000"/>
                <w:kern w:val="0"/>
                <w:sz w:val="24"/>
                <w:szCs w:val="24"/>
              </w:rPr>
            </w:pPr>
            <w:r w:rsidRPr="001A5621">
              <w:rPr>
                <w:rFonts w:ascii="楷体" w:eastAsia="楷体" w:hAnsi="楷体" w:cs="宋体" w:hint="eastAsia"/>
                <w:color w:val="000000"/>
                <w:kern w:val="0"/>
                <w:sz w:val="24"/>
                <w:szCs w:val="24"/>
              </w:rPr>
              <w:t>“宝盈理财”卓越768号人民币理财产品</w:t>
            </w:r>
          </w:p>
        </w:tc>
      </w:tr>
      <w:tr w:rsidR="001A5621" w:rsidRPr="001A5621" w:rsidTr="001A5621">
        <w:trPr>
          <w:trHeight w:val="285"/>
        </w:trPr>
        <w:tc>
          <w:tcPr>
            <w:tcW w:w="2240" w:type="dxa"/>
            <w:vMerge/>
            <w:tcBorders>
              <w:top w:val="single" w:sz="4" w:space="0" w:color="auto"/>
              <w:left w:val="single" w:sz="4" w:space="0" w:color="auto"/>
              <w:bottom w:val="single" w:sz="4" w:space="0" w:color="auto"/>
              <w:right w:val="single" w:sz="4" w:space="0" w:color="auto"/>
            </w:tcBorders>
            <w:vAlign w:val="center"/>
            <w:hideMark/>
          </w:tcPr>
          <w:p w:rsidR="001A5621" w:rsidRPr="001A5621" w:rsidRDefault="001A5621" w:rsidP="001A5621">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1A5621" w:rsidRPr="001A5621" w:rsidRDefault="001A5621" w:rsidP="001A5621">
            <w:pPr>
              <w:widowControl/>
              <w:jc w:val="left"/>
              <w:rPr>
                <w:rFonts w:ascii="楷体" w:eastAsia="楷体" w:hAnsi="楷体" w:cs="宋体"/>
                <w:color w:val="000000"/>
                <w:kern w:val="0"/>
                <w:sz w:val="24"/>
                <w:szCs w:val="24"/>
              </w:rPr>
            </w:pPr>
            <w:r w:rsidRPr="001A5621">
              <w:rPr>
                <w:rFonts w:ascii="楷体" w:eastAsia="楷体" w:hAnsi="楷体" w:cs="宋体" w:hint="eastAsia"/>
                <w:color w:val="000000"/>
                <w:kern w:val="0"/>
                <w:sz w:val="24"/>
                <w:szCs w:val="24"/>
              </w:rPr>
              <w:t>代码：GDNY_ZY_768</w:t>
            </w:r>
          </w:p>
        </w:tc>
      </w:tr>
      <w:tr w:rsidR="001A5621" w:rsidRPr="001A5621" w:rsidTr="001A5621">
        <w:trPr>
          <w:trHeight w:val="285"/>
        </w:trPr>
        <w:tc>
          <w:tcPr>
            <w:tcW w:w="2240" w:type="dxa"/>
            <w:vMerge/>
            <w:tcBorders>
              <w:top w:val="single" w:sz="4" w:space="0" w:color="auto"/>
              <w:left w:val="single" w:sz="4" w:space="0" w:color="auto"/>
              <w:bottom w:val="single" w:sz="4" w:space="0" w:color="auto"/>
              <w:right w:val="single" w:sz="4" w:space="0" w:color="auto"/>
            </w:tcBorders>
            <w:vAlign w:val="center"/>
            <w:hideMark/>
          </w:tcPr>
          <w:p w:rsidR="001A5621" w:rsidRPr="001A5621" w:rsidRDefault="001A5621" w:rsidP="001A5621">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1A5621" w:rsidRPr="001A5621" w:rsidRDefault="001A5621" w:rsidP="001A5621">
            <w:pPr>
              <w:widowControl/>
              <w:jc w:val="left"/>
              <w:rPr>
                <w:rFonts w:ascii="楷体" w:eastAsia="楷体" w:hAnsi="楷体" w:cs="宋体"/>
                <w:color w:val="000000"/>
                <w:kern w:val="0"/>
                <w:sz w:val="24"/>
                <w:szCs w:val="24"/>
              </w:rPr>
            </w:pPr>
            <w:r w:rsidRPr="001A5621">
              <w:rPr>
                <w:rFonts w:ascii="楷体" w:eastAsia="楷体" w:hAnsi="楷体" w:cs="宋体" w:hint="eastAsia"/>
                <w:color w:val="000000"/>
                <w:kern w:val="0"/>
                <w:sz w:val="24"/>
                <w:szCs w:val="24"/>
              </w:rPr>
              <w:t>发行登记号：C1083015000335</w:t>
            </w:r>
          </w:p>
        </w:tc>
      </w:tr>
      <w:tr w:rsidR="001A5621" w:rsidRPr="001A5621" w:rsidTr="001A5621">
        <w:trPr>
          <w:trHeight w:val="630"/>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5621" w:rsidRPr="001A5621" w:rsidRDefault="001A5621" w:rsidP="001A5621">
            <w:pPr>
              <w:widowControl/>
              <w:jc w:val="left"/>
              <w:rPr>
                <w:rFonts w:ascii="楷体" w:eastAsia="楷体" w:hAnsi="楷体" w:cs="宋体"/>
                <w:color w:val="000000"/>
                <w:kern w:val="0"/>
                <w:sz w:val="24"/>
                <w:szCs w:val="24"/>
              </w:rPr>
            </w:pPr>
            <w:r w:rsidRPr="001A5621">
              <w:rPr>
                <w:rFonts w:ascii="楷体" w:eastAsia="楷体" w:hAnsi="楷体" w:cs="宋体" w:hint="eastAsia"/>
                <w:color w:val="000000"/>
                <w:kern w:val="0"/>
                <w:sz w:val="24"/>
                <w:szCs w:val="24"/>
              </w:rPr>
              <w:t>目标客户</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1A5621" w:rsidRPr="001A5621" w:rsidRDefault="001A5621" w:rsidP="001A5621">
            <w:pPr>
              <w:widowControl/>
              <w:jc w:val="left"/>
              <w:rPr>
                <w:rFonts w:ascii="楷体" w:eastAsia="楷体" w:hAnsi="楷体" w:cs="宋体"/>
                <w:color w:val="000000"/>
                <w:kern w:val="0"/>
                <w:sz w:val="24"/>
                <w:szCs w:val="24"/>
              </w:rPr>
            </w:pPr>
            <w:r w:rsidRPr="001A5621">
              <w:rPr>
                <w:rFonts w:ascii="楷体" w:eastAsia="楷体" w:hAnsi="楷体" w:cs="宋体" w:hint="eastAsia"/>
                <w:color w:val="000000"/>
                <w:kern w:val="0"/>
                <w:sz w:val="24"/>
                <w:szCs w:val="24"/>
              </w:rPr>
              <w:t>经我行风险评估，评定为稳健型、平衡型、成长型、进取型云浮分行个人客户。</w:t>
            </w:r>
          </w:p>
        </w:tc>
      </w:tr>
      <w:tr w:rsidR="001A5621" w:rsidRPr="001A5621" w:rsidTr="001A5621">
        <w:trPr>
          <w:trHeight w:val="450"/>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5621" w:rsidRPr="001A5621" w:rsidRDefault="001A5621" w:rsidP="001A5621">
            <w:pPr>
              <w:widowControl/>
              <w:jc w:val="left"/>
              <w:rPr>
                <w:rFonts w:ascii="楷体" w:eastAsia="楷体" w:hAnsi="楷体" w:cs="宋体"/>
                <w:color w:val="000000"/>
                <w:kern w:val="0"/>
                <w:sz w:val="24"/>
                <w:szCs w:val="24"/>
              </w:rPr>
            </w:pPr>
            <w:r w:rsidRPr="001A5621">
              <w:rPr>
                <w:rFonts w:ascii="楷体" w:eastAsia="楷体" w:hAnsi="楷体" w:cs="宋体" w:hint="eastAsia"/>
                <w:color w:val="000000"/>
                <w:kern w:val="0"/>
                <w:sz w:val="24"/>
                <w:szCs w:val="24"/>
              </w:rPr>
              <w:t>购买方式</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1A5621" w:rsidRPr="001A5621" w:rsidRDefault="001A5621" w:rsidP="001A5621">
            <w:pPr>
              <w:widowControl/>
              <w:jc w:val="left"/>
              <w:rPr>
                <w:rFonts w:ascii="楷体" w:eastAsia="楷体" w:hAnsi="楷体" w:cs="宋体"/>
                <w:color w:val="000000"/>
                <w:kern w:val="0"/>
                <w:sz w:val="24"/>
                <w:szCs w:val="24"/>
              </w:rPr>
            </w:pPr>
            <w:r w:rsidRPr="001A5621">
              <w:rPr>
                <w:rFonts w:ascii="楷体" w:eastAsia="楷体" w:hAnsi="楷体" w:cs="宋体" w:hint="eastAsia"/>
                <w:color w:val="000000"/>
                <w:kern w:val="0"/>
                <w:sz w:val="24"/>
                <w:szCs w:val="24"/>
              </w:rPr>
              <w:t>通过广东南粤银行各营业网点或</w:t>
            </w:r>
            <w:proofErr w:type="gramStart"/>
            <w:r w:rsidRPr="001A5621">
              <w:rPr>
                <w:rFonts w:ascii="楷体" w:eastAsia="楷体" w:hAnsi="楷体" w:cs="宋体" w:hint="eastAsia"/>
                <w:color w:val="000000"/>
                <w:kern w:val="0"/>
                <w:sz w:val="24"/>
                <w:szCs w:val="24"/>
              </w:rPr>
              <w:t>广东南粤银行网银认购</w:t>
            </w:r>
            <w:proofErr w:type="gramEnd"/>
          </w:p>
        </w:tc>
      </w:tr>
      <w:tr w:rsidR="001A5621" w:rsidRPr="001A5621" w:rsidTr="001A5621">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5621" w:rsidRPr="001A5621" w:rsidRDefault="001A5621" w:rsidP="001A5621">
            <w:pPr>
              <w:widowControl/>
              <w:jc w:val="left"/>
              <w:rPr>
                <w:rFonts w:ascii="楷体" w:eastAsia="楷体" w:hAnsi="楷体" w:cs="宋体"/>
                <w:color w:val="000000"/>
                <w:kern w:val="0"/>
                <w:sz w:val="24"/>
                <w:szCs w:val="24"/>
              </w:rPr>
            </w:pPr>
            <w:r w:rsidRPr="001A5621">
              <w:rPr>
                <w:rFonts w:ascii="楷体" w:eastAsia="楷体" w:hAnsi="楷体" w:cs="宋体" w:hint="eastAsia"/>
                <w:color w:val="000000"/>
                <w:kern w:val="0"/>
                <w:sz w:val="24"/>
                <w:szCs w:val="24"/>
              </w:rPr>
              <w:t>期限</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1A5621" w:rsidRPr="001A5621" w:rsidRDefault="001A5621" w:rsidP="001A5621">
            <w:pPr>
              <w:widowControl/>
              <w:jc w:val="left"/>
              <w:rPr>
                <w:rFonts w:ascii="楷体" w:eastAsia="楷体" w:hAnsi="楷体" w:cs="宋体"/>
                <w:color w:val="000000"/>
                <w:kern w:val="0"/>
                <w:sz w:val="24"/>
                <w:szCs w:val="24"/>
              </w:rPr>
            </w:pPr>
            <w:r w:rsidRPr="001A5621">
              <w:rPr>
                <w:rFonts w:ascii="楷体" w:eastAsia="楷体" w:hAnsi="楷体" w:cs="宋体" w:hint="eastAsia"/>
                <w:color w:val="000000"/>
                <w:kern w:val="0"/>
                <w:sz w:val="24"/>
                <w:szCs w:val="24"/>
              </w:rPr>
              <w:t>122天</w:t>
            </w:r>
          </w:p>
        </w:tc>
      </w:tr>
      <w:tr w:rsidR="001A5621" w:rsidRPr="001A5621" w:rsidTr="001A5621">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5621" w:rsidRPr="001A5621" w:rsidRDefault="001A5621" w:rsidP="001A5621">
            <w:pPr>
              <w:widowControl/>
              <w:jc w:val="left"/>
              <w:rPr>
                <w:rFonts w:ascii="楷体" w:eastAsia="楷体" w:hAnsi="楷体" w:cs="宋体"/>
                <w:color w:val="000000"/>
                <w:kern w:val="0"/>
                <w:sz w:val="24"/>
                <w:szCs w:val="24"/>
              </w:rPr>
            </w:pPr>
            <w:r w:rsidRPr="001A5621">
              <w:rPr>
                <w:rFonts w:ascii="楷体" w:eastAsia="楷体" w:hAnsi="楷体" w:cs="宋体" w:hint="eastAsia"/>
                <w:color w:val="000000"/>
                <w:kern w:val="0"/>
                <w:sz w:val="24"/>
                <w:szCs w:val="24"/>
              </w:rPr>
              <w:t>投资及收益币种</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1A5621" w:rsidRPr="001A5621" w:rsidRDefault="001A5621" w:rsidP="001A5621">
            <w:pPr>
              <w:widowControl/>
              <w:jc w:val="left"/>
              <w:rPr>
                <w:rFonts w:ascii="楷体" w:eastAsia="楷体" w:hAnsi="楷体" w:cs="宋体"/>
                <w:color w:val="000000"/>
                <w:kern w:val="0"/>
                <w:sz w:val="24"/>
                <w:szCs w:val="24"/>
              </w:rPr>
            </w:pPr>
            <w:r w:rsidRPr="001A5621">
              <w:rPr>
                <w:rFonts w:ascii="楷体" w:eastAsia="楷体" w:hAnsi="楷体" w:cs="宋体" w:hint="eastAsia"/>
                <w:color w:val="000000"/>
                <w:kern w:val="0"/>
                <w:sz w:val="24"/>
                <w:szCs w:val="24"/>
              </w:rPr>
              <w:t>人民币</w:t>
            </w:r>
          </w:p>
        </w:tc>
      </w:tr>
      <w:tr w:rsidR="001A5621" w:rsidRPr="001A5621" w:rsidTr="001A5621">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5621" w:rsidRPr="001A5621" w:rsidRDefault="001A5621" w:rsidP="001A5621">
            <w:pPr>
              <w:widowControl/>
              <w:jc w:val="left"/>
              <w:rPr>
                <w:rFonts w:ascii="楷体" w:eastAsia="楷体" w:hAnsi="楷体" w:cs="宋体"/>
                <w:color w:val="000000"/>
                <w:kern w:val="0"/>
                <w:sz w:val="24"/>
                <w:szCs w:val="24"/>
              </w:rPr>
            </w:pPr>
            <w:r w:rsidRPr="001A5621">
              <w:rPr>
                <w:rFonts w:ascii="楷体" w:eastAsia="楷体" w:hAnsi="楷体" w:cs="宋体" w:hint="eastAsia"/>
                <w:color w:val="000000"/>
                <w:kern w:val="0"/>
                <w:sz w:val="24"/>
                <w:szCs w:val="24"/>
              </w:rPr>
              <w:t>产品类型</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1A5621" w:rsidRPr="001A5621" w:rsidRDefault="001A5621" w:rsidP="001A5621">
            <w:pPr>
              <w:widowControl/>
              <w:jc w:val="left"/>
              <w:rPr>
                <w:rFonts w:ascii="楷体" w:eastAsia="楷体" w:hAnsi="楷体" w:cs="宋体"/>
                <w:b/>
                <w:bCs/>
                <w:color w:val="000000"/>
                <w:kern w:val="0"/>
                <w:sz w:val="24"/>
                <w:szCs w:val="24"/>
              </w:rPr>
            </w:pPr>
            <w:r w:rsidRPr="001A5621">
              <w:rPr>
                <w:rFonts w:ascii="楷体" w:eastAsia="楷体" w:hAnsi="楷体" w:cs="宋体" w:hint="eastAsia"/>
                <w:b/>
                <w:bCs/>
                <w:color w:val="000000"/>
                <w:kern w:val="0"/>
                <w:sz w:val="24"/>
                <w:szCs w:val="24"/>
              </w:rPr>
              <w:t>非保本浮动收益型</w:t>
            </w:r>
          </w:p>
        </w:tc>
      </w:tr>
      <w:tr w:rsidR="001A5621" w:rsidRPr="001A5621" w:rsidTr="001A5621">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5621" w:rsidRPr="001A5621" w:rsidRDefault="001A5621" w:rsidP="001A5621">
            <w:pPr>
              <w:widowControl/>
              <w:jc w:val="left"/>
              <w:rPr>
                <w:rFonts w:ascii="楷体" w:eastAsia="楷体" w:hAnsi="楷体" w:cs="宋体"/>
                <w:color w:val="000000"/>
                <w:kern w:val="0"/>
                <w:sz w:val="24"/>
                <w:szCs w:val="24"/>
              </w:rPr>
            </w:pPr>
            <w:r w:rsidRPr="001A5621">
              <w:rPr>
                <w:rFonts w:ascii="楷体" w:eastAsia="楷体" w:hAnsi="楷体" w:cs="宋体" w:hint="eastAsia"/>
                <w:color w:val="000000"/>
                <w:kern w:val="0"/>
                <w:sz w:val="24"/>
                <w:szCs w:val="24"/>
              </w:rPr>
              <w:t>发行规模</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1A5621" w:rsidRPr="001A5621" w:rsidRDefault="001A5621" w:rsidP="001A5621">
            <w:pPr>
              <w:widowControl/>
              <w:jc w:val="left"/>
              <w:rPr>
                <w:rFonts w:ascii="楷体" w:eastAsia="楷体" w:hAnsi="楷体" w:cs="宋体"/>
                <w:color w:val="000000"/>
                <w:kern w:val="0"/>
                <w:sz w:val="24"/>
                <w:szCs w:val="24"/>
              </w:rPr>
            </w:pPr>
            <w:r w:rsidRPr="001A5621">
              <w:rPr>
                <w:rFonts w:ascii="楷体" w:eastAsia="楷体" w:hAnsi="楷体" w:cs="宋体" w:hint="eastAsia"/>
                <w:color w:val="000000"/>
                <w:kern w:val="0"/>
                <w:sz w:val="24"/>
                <w:szCs w:val="24"/>
              </w:rPr>
              <w:t>上限3000万</w:t>
            </w:r>
          </w:p>
        </w:tc>
      </w:tr>
      <w:tr w:rsidR="001A5621" w:rsidRPr="001A5621" w:rsidTr="001A5621">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5621" w:rsidRPr="001A5621" w:rsidRDefault="001A5621" w:rsidP="001A5621">
            <w:pPr>
              <w:widowControl/>
              <w:jc w:val="left"/>
              <w:rPr>
                <w:rFonts w:ascii="楷体" w:eastAsia="楷体" w:hAnsi="楷体" w:cs="宋体"/>
                <w:color w:val="000000"/>
                <w:kern w:val="0"/>
                <w:sz w:val="24"/>
                <w:szCs w:val="24"/>
              </w:rPr>
            </w:pPr>
            <w:r w:rsidRPr="001A5621">
              <w:rPr>
                <w:rFonts w:ascii="楷体" w:eastAsia="楷体" w:hAnsi="楷体" w:cs="宋体" w:hint="eastAsia"/>
                <w:color w:val="000000"/>
                <w:kern w:val="0"/>
                <w:sz w:val="24"/>
                <w:szCs w:val="24"/>
              </w:rPr>
              <w:t>募集期</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1A5621" w:rsidRPr="001A5621" w:rsidRDefault="001A5621" w:rsidP="001A5621">
            <w:pPr>
              <w:widowControl/>
              <w:jc w:val="left"/>
              <w:rPr>
                <w:rFonts w:ascii="楷体" w:eastAsia="楷体" w:hAnsi="楷体" w:cs="宋体"/>
                <w:color w:val="000000"/>
                <w:kern w:val="0"/>
                <w:sz w:val="24"/>
                <w:szCs w:val="24"/>
              </w:rPr>
            </w:pPr>
            <w:r w:rsidRPr="001A5621">
              <w:rPr>
                <w:rFonts w:ascii="楷体" w:eastAsia="楷体" w:hAnsi="楷体" w:cs="宋体" w:hint="eastAsia"/>
                <w:color w:val="000000"/>
                <w:kern w:val="0"/>
                <w:sz w:val="24"/>
                <w:szCs w:val="24"/>
              </w:rPr>
              <w:t>2015年10月20日至2015年10月26日</w:t>
            </w:r>
          </w:p>
        </w:tc>
      </w:tr>
      <w:tr w:rsidR="001A5621" w:rsidRPr="001A5621" w:rsidTr="001A5621">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5621" w:rsidRPr="001A5621" w:rsidRDefault="001A5621" w:rsidP="001A5621">
            <w:pPr>
              <w:widowControl/>
              <w:jc w:val="left"/>
              <w:rPr>
                <w:rFonts w:ascii="楷体" w:eastAsia="楷体" w:hAnsi="楷体" w:cs="宋体"/>
                <w:color w:val="000000"/>
                <w:kern w:val="0"/>
                <w:sz w:val="24"/>
                <w:szCs w:val="24"/>
              </w:rPr>
            </w:pPr>
            <w:r w:rsidRPr="001A5621">
              <w:rPr>
                <w:rFonts w:ascii="楷体" w:eastAsia="楷体" w:hAnsi="楷体" w:cs="宋体" w:hint="eastAsia"/>
                <w:color w:val="000000"/>
                <w:kern w:val="0"/>
                <w:sz w:val="24"/>
                <w:szCs w:val="24"/>
              </w:rPr>
              <w:t>起始日</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1A5621" w:rsidRPr="001A5621" w:rsidRDefault="001A5621" w:rsidP="001A5621">
            <w:pPr>
              <w:widowControl/>
              <w:jc w:val="left"/>
              <w:rPr>
                <w:rFonts w:ascii="楷体" w:eastAsia="楷体" w:hAnsi="楷体" w:cs="宋体"/>
                <w:color w:val="000000"/>
                <w:kern w:val="0"/>
                <w:sz w:val="24"/>
                <w:szCs w:val="24"/>
              </w:rPr>
            </w:pPr>
            <w:r w:rsidRPr="001A5621">
              <w:rPr>
                <w:rFonts w:ascii="楷体" w:eastAsia="楷体" w:hAnsi="楷体" w:cs="宋体" w:hint="eastAsia"/>
                <w:color w:val="000000"/>
                <w:kern w:val="0"/>
                <w:sz w:val="24"/>
                <w:szCs w:val="24"/>
              </w:rPr>
              <w:t>2015年10月27日。理财产品自起始日起息。</w:t>
            </w:r>
          </w:p>
        </w:tc>
      </w:tr>
      <w:tr w:rsidR="001A5621" w:rsidRPr="001A5621" w:rsidTr="001A5621">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5621" w:rsidRPr="001A5621" w:rsidRDefault="001A5621" w:rsidP="001A5621">
            <w:pPr>
              <w:widowControl/>
              <w:jc w:val="left"/>
              <w:rPr>
                <w:rFonts w:ascii="楷体" w:eastAsia="楷体" w:hAnsi="楷体" w:cs="宋体"/>
                <w:color w:val="000000"/>
                <w:kern w:val="0"/>
                <w:sz w:val="24"/>
                <w:szCs w:val="24"/>
              </w:rPr>
            </w:pPr>
            <w:r w:rsidRPr="001A5621">
              <w:rPr>
                <w:rFonts w:ascii="楷体" w:eastAsia="楷体" w:hAnsi="楷体" w:cs="宋体" w:hint="eastAsia"/>
                <w:color w:val="000000"/>
                <w:kern w:val="0"/>
                <w:sz w:val="24"/>
                <w:szCs w:val="24"/>
              </w:rPr>
              <w:t>到期日</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1A5621" w:rsidRPr="001A5621" w:rsidRDefault="001A5621" w:rsidP="001A5621">
            <w:pPr>
              <w:widowControl/>
              <w:jc w:val="left"/>
              <w:rPr>
                <w:rFonts w:ascii="楷体" w:eastAsia="楷体" w:hAnsi="楷体" w:cs="宋体"/>
                <w:color w:val="000000"/>
                <w:kern w:val="0"/>
                <w:sz w:val="24"/>
                <w:szCs w:val="24"/>
              </w:rPr>
            </w:pPr>
            <w:r w:rsidRPr="001A5621">
              <w:rPr>
                <w:rFonts w:ascii="楷体" w:eastAsia="楷体" w:hAnsi="楷体" w:cs="宋体" w:hint="eastAsia"/>
                <w:color w:val="000000"/>
                <w:kern w:val="0"/>
                <w:sz w:val="24"/>
                <w:szCs w:val="24"/>
              </w:rPr>
              <w:t>2016年2月26日</w:t>
            </w:r>
          </w:p>
        </w:tc>
      </w:tr>
      <w:tr w:rsidR="001A5621" w:rsidRPr="001A5621" w:rsidTr="001A5621">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5621" w:rsidRPr="001A5621" w:rsidRDefault="001A5621" w:rsidP="001A5621">
            <w:pPr>
              <w:widowControl/>
              <w:jc w:val="left"/>
              <w:rPr>
                <w:rFonts w:ascii="楷体" w:eastAsia="楷体" w:hAnsi="楷体" w:cs="宋体"/>
                <w:color w:val="000000"/>
                <w:kern w:val="0"/>
                <w:sz w:val="24"/>
                <w:szCs w:val="24"/>
              </w:rPr>
            </w:pPr>
            <w:r w:rsidRPr="001A5621">
              <w:rPr>
                <w:rFonts w:ascii="楷体" w:eastAsia="楷体" w:hAnsi="楷体" w:cs="宋体" w:hint="eastAsia"/>
                <w:color w:val="000000"/>
                <w:kern w:val="0"/>
                <w:sz w:val="24"/>
                <w:szCs w:val="24"/>
              </w:rPr>
              <w:t>产品到期资金到账日</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1A5621" w:rsidRPr="001A5621" w:rsidRDefault="001A5621" w:rsidP="001A5621">
            <w:pPr>
              <w:widowControl/>
              <w:jc w:val="left"/>
              <w:rPr>
                <w:rFonts w:ascii="楷体" w:eastAsia="楷体" w:hAnsi="楷体" w:cs="宋体"/>
                <w:color w:val="000000"/>
                <w:kern w:val="0"/>
                <w:sz w:val="24"/>
                <w:szCs w:val="24"/>
              </w:rPr>
            </w:pPr>
            <w:r w:rsidRPr="001A5621">
              <w:rPr>
                <w:rFonts w:ascii="楷体" w:eastAsia="楷体" w:hAnsi="楷体" w:cs="宋体" w:hint="eastAsia"/>
                <w:color w:val="000000"/>
                <w:kern w:val="0"/>
                <w:sz w:val="24"/>
                <w:szCs w:val="24"/>
              </w:rPr>
              <w:t>到期日后2个工作日内</w:t>
            </w:r>
          </w:p>
        </w:tc>
      </w:tr>
      <w:tr w:rsidR="001A5621" w:rsidRPr="001A5621" w:rsidTr="001A5621">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5621" w:rsidRPr="001A5621" w:rsidRDefault="001A5621" w:rsidP="001A5621">
            <w:pPr>
              <w:widowControl/>
              <w:jc w:val="left"/>
              <w:rPr>
                <w:rFonts w:ascii="楷体" w:eastAsia="楷体" w:hAnsi="楷体" w:cs="宋体"/>
                <w:color w:val="000000"/>
                <w:kern w:val="0"/>
                <w:sz w:val="24"/>
                <w:szCs w:val="24"/>
              </w:rPr>
            </w:pPr>
            <w:r w:rsidRPr="001A5621">
              <w:rPr>
                <w:rFonts w:ascii="楷体" w:eastAsia="楷体" w:hAnsi="楷体" w:cs="宋体" w:hint="eastAsia"/>
                <w:color w:val="000000"/>
                <w:kern w:val="0"/>
                <w:sz w:val="24"/>
                <w:szCs w:val="24"/>
              </w:rPr>
              <w:t>理财资金托管行</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1A5621" w:rsidRPr="001A5621" w:rsidRDefault="001A5621" w:rsidP="001A5621">
            <w:pPr>
              <w:widowControl/>
              <w:jc w:val="left"/>
              <w:rPr>
                <w:rFonts w:ascii="楷体" w:eastAsia="楷体" w:hAnsi="楷体" w:cs="宋体"/>
                <w:color w:val="000000"/>
                <w:kern w:val="0"/>
                <w:sz w:val="24"/>
                <w:szCs w:val="24"/>
              </w:rPr>
            </w:pPr>
            <w:r w:rsidRPr="001A5621">
              <w:rPr>
                <w:rFonts w:ascii="楷体" w:eastAsia="楷体" w:hAnsi="楷体" w:cs="宋体" w:hint="eastAsia"/>
                <w:color w:val="000000"/>
                <w:kern w:val="0"/>
                <w:sz w:val="24"/>
                <w:szCs w:val="24"/>
              </w:rPr>
              <w:t>中国邮政储蓄银行</w:t>
            </w:r>
          </w:p>
        </w:tc>
      </w:tr>
      <w:tr w:rsidR="001A5621" w:rsidRPr="001A5621" w:rsidTr="001A5621">
        <w:trPr>
          <w:trHeight w:val="316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5621" w:rsidRPr="001A5621" w:rsidRDefault="001A5621" w:rsidP="001A5621">
            <w:pPr>
              <w:widowControl/>
              <w:jc w:val="left"/>
              <w:rPr>
                <w:rFonts w:ascii="楷体" w:eastAsia="楷体" w:hAnsi="楷体" w:cs="宋体"/>
                <w:color w:val="000000"/>
                <w:kern w:val="0"/>
                <w:sz w:val="24"/>
                <w:szCs w:val="24"/>
              </w:rPr>
            </w:pPr>
            <w:r w:rsidRPr="001A5621">
              <w:rPr>
                <w:rFonts w:ascii="楷体" w:eastAsia="楷体" w:hAnsi="楷体" w:cs="宋体" w:hint="eastAsia"/>
                <w:color w:val="000000"/>
                <w:kern w:val="0"/>
                <w:sz w:val="24"/>
                <w:szCs w:val="24"/>
              </w:rPr>
              <w:t>资金投向</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1A5621" w:rsidRPr="001A5621" w:rsidRDefault="001A5621" w:rsidP="001A5621">
            <w:pPr>
              <w:widowControl/>
              <w:jc w:val="left"/>
              <w:rPr>
                <w:rFonts w:ascii="楷体" w:eastAsia="楷体" w:hAnsi="楷体" w:cs="宋体"/>
                <w:color w:val="000000"/>
                <w:kern w:val="0"/>
                <w:sz w:val="24"/>
                <w:szCs w:val="24"/>
              </w:rPr>
            </w:pPr>
            <w:r w:rsidRPr="001A5621">
              <w:rPr>
                <w:rFonts w:ascii="楷体" w:eastAsia="楷体" w:hAnsi="楷体" w:cs="宋体" w:hint="eastAsia"/>
                <w:color w:val="000000"/>
                <w:kern w:val="0"/>
                <w:sz w:val="24"/>
                <w:szCs w:val="24"/>
              </w:rPr>
              <w:t>本期产品募集的资金全额投资但不限于银行间市场债券、同业存款、融资租赁资产、货币基金、债券基金、信托计划以及固定收益类券商集合资产管理计划、定向资产管理计划等金融产品（具体以每期产品的实际投向为准），其中现金比例不高于净资产的10%，银行间市场债券、同业存款、融资租赁资产、货币基金、债券基金、信托计划以及固定收益类券商集合资产管理计划、定向资产管理计划等金融产品合计占净资产比例为90%-100%（理财产品存续期内可能因市场的重大变化导致投资比例暂时超出上述区间，银行将</w:t>
            </w:r>
            <w:proofErr w:type="gramStart"/>
            <w:r w:rsidRPr="001A5621">
              <w:rPr>
                <w:rFonts w:ascii="楷体" w:eastAsia="楷体" w:hAnsi="楷体" w:cs="宋体" w:hint="eastAsia"/>
                <w:color w:val="000000"/>
                <w:kern w:val="0"/>
                <w:sz w:val="24"/>
                <w:szCs w:val="24"/>
              </w:rPr>
              <w:t>尽合理</w:t>
            </w:r>
            <w:proofErr w:type="gramEnd"/>
            <w:r w:rsidRPr="001A5621">
              <w:rPr>
                <w:rFonts w:ascii="楷体" w:eastAsia="楷体" w:hAnsi="楷体" w:cs="宋体" w:hint="eastAsia"/>
                <w:color w:val="000000"/>
                <w:kern w:val="0"/>
                <w:sz w:val="24"/>
                <w:szCs w:val="24"/>
              </w:rPr>
              <w:t>努力，以客户利益最大化为原则尽快使投资比例恢复至上述规定区间）。</w:t>
            </w:r>
          </w:p>
        </w:tc>
      </w:tr>
      <w:tr w:rsidR="001A5621" w:rsidRPr="001A5621" w:rsidTr="001A5621">
        <w:trPr>
          <w:trHeight w:val="67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5621" w:rsidRPr="001A5621" w:rsidRDefault="001A5621" w:rsidP="001A5621">
            <w:pPr>
              <w:widowControl/>
              <w:jc w:val="left"/>
              <w:rPr>
                <w:rFonts w:ascii="楷体" w:eastAsia="楷体" w:hAnsi="楷体" w:cs="宋体"/>
                <w:color w:val="000000"/>
                <w:kern w:val="0"/>
                <w:sz w:val="24"/>
                <w:szCs w:val="24"/>
              </w:rPr>
            </w:pPr>
            <w:proofErr w:type="gramStart"/>
            <w:r w:rsidRPr="001A5621">
              <w:rPr>
                <w:rFonts w:ascii="楷体" w:eastAsia="楷体" w:hAnsi="楷体" w:cs="宋体" w:hint="eastAsia"/>
                <w:color w:val="000000"/>
                <w:kern w:val="0"/>
                <w:sz w:val="24"/>
                <w:szCs w:val="24"/>
              </w:rPr>
              <w:lastRenderedPageBreak/>
              <w:t>参考年化收益率</w:t>
            </w:r>
            <w:proofErr w:type="gramEnd"/>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1A5621" w:rsidRPr="001A5621" w:rsidRDefault="001A5621" w:rsidP="001A5621">
            <w:pPr>
              <w:widowControl/>
              <w:jc w:val="left"/>
              <w:rPr>
                <w:rFonts w:ascii="楷体" w:eastAsia="楷体" w:hAnsi="楷体" w:cs="宋体"/>
                <w:color w:val="000000"/>
                <w:kern w:val="0"/>
                <w:sz w:val="24"/>
                <w:szCs w:val="24"/>
              </w:rPr>
            </w:pPr>
            <w:r w:rsidRPr="001A5621">
              <w:rPr>
                <w:rFonts w:ascii="楷体" w:eastAsia="楷体" w:hAnsi="楷体" w:cs="宋体" w:hint="eastAsia"/>
                <w:color w:val="000000"/>
                <w:kern w:val="0"/>
                <w:sz w:val="24"/>
                <w:szCs w:val="24"/>
              </w:rPr>
              <w:t>5.4%；</w:t>
            </w:r>
          </w:p>
        </w:tc>
      </w:tr>
      <w:tr w:rsidR="001A5621" w:rsidRPr="001A5621" w:rsidTr="001A5621">
        <w:trPr>
          <w:trHeight w:val="202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5621" w:rsidRPr="001A5621" w:rsidRDefault="001A5621" w:rsidP="001A5621">
            <w:pPr>
              <w:widowControl/>
              <w:jc w:val="left"/>
              <w:rPr>
                <w:rFonts w:ascii="楷体" w:eastAsia="楷体" w:hAnsi="楷体" w:cs="宋体"/>
                <w:color w:val="000000"/>
                <w:kern w:val="0"/>
                <w:sz w:val="24"/>
                <w:szCs w:val="24"/>
              </w:rPr>
            </w:pPr>
            <w:r w:rsidRPr="001A5621">
              <w:rPr>
                <w:rFonts w:ascii="楷体" w:eastAsia="楷体" w:hAnsi="楷体" w:cs="宋体" w:hint="eastAsia"/>
                <w:color w:val="000000"/>
                <w:kern w:val="0"/>
                <w:sz w:val="24"/>
                <w:szCs w:val="24"/>
              </w:rPr>
              <w:t>收益率测算</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1A5621" w:rsidRPr="001A5621" w:rsidRDefault="001A5621" w:rsidP="001A5621">
            <w:pPr>
              <w:widowControl/>
              <w:jc w:val="left"/>
              <w:rPr>
                <w:rFonts w:ascii="楷体" w:eastAsia="楷体" w:hAnsi="楷体" w:cs="宋体"/>
                <w:color w:val="000000"/>
                <w:kern w:val="0"/>
                <w:sz w:val="24"/>
                <w:szCs w:val="24"/>
              </w:rPr>
            </w:pPr>
            <w:r w:rsidRPr="001A5621">
              <w:rPr>
                <w:rFonts w:ascii="楷体" w:eastAsia="楷体" w:hAnsi="楷体" w:cs="宋体" w:hint="eastAsia"/>
                <w:color w:val="000000"/>
                <w:kern w:val="0"/>
                <w:sz w:val="24"/>
                <w:szCs w:val="24"/>
              </w:rPr>
              <w:t>本产品理财产品托管人收取托管费率（年化）0.02%，证券公司、信托公司收取管理费（年化）0.2%-1%（若有），若扣除相关费用后，本理财计划持有到期按照客户实际购买理财金额对应的理财收益率进行分配；在部分或全部资产未能完全按预期价格出让的情况下，需要根据资产实际处分情况来计算投资者应得理财收益；如理财资产运作超过预期</w:t>
            </w:r>
            <w:proofErr w:type="gramStart"/>
            <w:r w:rsidRPr="001A5621">
              <w:rPr>
                <w:rFonts w:ascii="楷体" w:eastAsia="楷体" w:hAnsi="楷体" w:cs="宋体" w:hint="eastAsia"/>
                <w:color w:val="000000"/>
                <w:kern w:val="0"/>
                <w:sz w:val="24"/>
                <w:szCs w:val="24"/>
              </w:rPr>
              <w:t>最高年化收益率</w:t>
            </w:r>
            <w:proofErr w:type="gramEnd"/>
            <w:r w:rsidRPr="001A5621">
              <w:rPr>
                <w:rFonts w:ascii="楷体" w:eastAsia="楷体" w:hAnsi="楷体" w:cs="宋体" w:hint="eastAsia"/>
                <w:color w:val="000000"/>
                <w:kern w:val="0"/>
                <w:sz w:val="24"/>
                <w:szCs w:val="24"/>
              </w:rPr>
              <w:t>，超过部分作为银行投资管理费用。</w:t>
            </w:r>
          </w:p>
        </w:tc>
      </w:tr>
      <w:tr w:rsidR="001A5621" w:rsidRPr="001A5621" w:rsidTr="001A5621">
        <w:trPr>
          <w:trHeight w:val="8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5621" w:rsidRPr="001A5621" w:rsidRDefault="001A5621" w:rsidP="001A5621">
            <w:pPr>
              <w:widowControl/>
              <w:jc w:val="left"/>
              <w:rPr>
                <w:rFonts w:ascii="楷体" w:eastAsia="楷体" w:hAnsi="楷体" w:cs="宋体"/>
                <w:color w:val="000000"/>
                <w:kern w:val="0"/>
                <w:sz w:val="24"/>
                <w:szCs w:val="24"/>
              </w:rPr>
            </w:pPr>
            <w:r w:rsidRPr="001A5621">
              <w:rPr>
                <w:rFonts w:ascii="楷体" w:eastAsia="楷体" w:hAnsi="楷体" w:cs="宋体" w:hint="eastAsia"/>
                <w:color w:val="000000"/>
                <w:kern w:val="0"/>
                <w:sz w:val="24"/>
                <w:szCs w:val="24"/>
              </w:rPr>
              <w:t>认购起点金额</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1A5621" w:rsidRPr="001A5621" w:rsidRDefault="001A5621" w:rsidP="001A5621">
            <w:pPr>
              <w:widowControl/>
              <w:jc w:val="left"/>
              <w:rPr>
                <w:rFonts w:ascii="楷体" w:eastAsia="楷体" w:hAnsi="楷体" w:cs="宋体"/>
                <w:color w:val="000000"/>
                <w:kern w:val="0"/>
                <w:sz w:val="24"/>
                <w:szCs w:val="24"/>
              </w:rPr>
            </w:pPr>
            <w:r w:rsidRPr="001A5621">
              <w:rPr>
                <w:rFonts w:ascii="楷体" w:eastAsia="楷体" w:hAnsi="楷体" w:cs="宋体" w:hint="eastAsia"/>
                <w:color w:val="000000"/>
                <w:kern w:val="0"/>
                <w:sz w:val="24"/>
                <w:szCs w:val="24"/>
              </w:rPr>
              <w:t>个人客户5万元起，以1万元整数</w:t>
            </w:r>
            <w:proofErr w:type="gramStart"/>
            <w:r w:rsidRPr="001A5621">
              <w:rPr>
                <w:rFonts w:ascii="楷体" w:eastAsia="楷体" w:hAnsi="楷体" w:cs="宋体" w:hint="eastAsia"/>
                <w:color w:val="000000"/>
                <w:kern w:val="0"/>
                <w:sz w:val="24"/>
                <w:szCs w:val="24"/>
              </w:rPr>
              <w:t>倍</w:t>
            </w:r>
            <w:proofErr w:type="gramEnd"/>
            <w:r w:rsidRPr="001A5621">
              <w:rPr>
                <w:rFonts w:ascii="楷体" w:eastAsia="楷体" w:hAnsi="楷体" w:cs="宋体" w:hint="eastAsia"/>
                <w:color w:val="000000"/>
                <w:kern w:val="0"/>
                <w:sz w:val="24"/>
                <w:szCs w:val="24"/>
              </w:rPr>
              <w:t>递增，最高不超过3000万元</w:t>
            </w:r>
          </w:p>
        </w:tc>
      </w:tr>
      <w:tr w:rsidR="001A5621" w:rsidRPr="001A5621" w:rsidTr="001A5621">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5621" w:rsidRPr="001A5621" w:rsidRDefault="001A5621" w:rsidP="001A5621">
            <w:pPr>
              <w:widowControl/>
              <w:jc w:val="left"/>
              <w:rPr>
                <w:rFonts w:ascii="楷体" w:eastAsia="楷体" w:hAnsi="楷体" w:cs="宋体"/>
                <w:color w:val="000000"/>
                <w:kern w:val="0"/>
                <w:sz w:val="24"/>
                <w:szCs w:val="24"/>
              </w:rPr>
            </w:pPr>
            <w:r w:rsidRPr="001A5621">
              <w:rPr>
                <w:rFonts w:ascii="楷体" w:eastAsia="楷体" w:hAnsi="楷体" w:cs="宋体" w:hint="eastAsia"/>
                <w:color w:val="000000"/>
                <w:kern w:val="0"/>
                <w:sz w:val="24"/>
                <w:szCs w:val="24"/>
              </w:rPr>
              <w:t>收益计算方法</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1A5621" w:rsidRPr="001A5621" w:rsidRDefault="001A5621" w:rsidP="001A5621">
            <w:pPr>
              <w:widowControl/>
              <w:jc w:val="left"/>
              <w:rPr>
                <w:rFonts w:ascii="楷体" w:eastAsia="楷体" w:hAnsi="楷体" w:cs="宋体"/>
                <w:color w:val="000000"/>
                <w:kern w:val="0"/>
                <w:sz w:val="24"/>
                <w:szCs w:val="24"/>
              </w:rPr>
            </w:pPr>
            <w:r w:rsidRPr="001A5621">
              <w:rPr>
                <w:rFonts w:ascii="楷体" w:eastAsia="楷体" w:hAnsi="楷体" w:cs="宋体" w:hint="eastAsia"/>
                <w:color w:val="000000"/>
                <w:kern w:val="0"/>
                <w:sz w:val="24"/>
                <w:szCs w:val="24"/>
              </w:rPr>
              <w:t>期末收益＝投资本金×实际收益率×实际理财天数/365</w:t>
            </w:r>
          </w:p>
        </w:tc>
      </w:tr>
      <w:tr w:rsidR="001A5621" w:rsidRPr="001A5621" w:rsidTr="001A5621">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5621" w:rsidRPr="001A5621" w:rsidRDefault="001A5621" w:rsidP="001A5621">
            <w:pPr>
              <w:widowControl/>
              <w:jc w:val="left"/>
              <w:rPr>
                <w:rFonts w:ascii="楷体" w:eastAsia="楷体" w:hAnsi="楷体" w:cs="宋体"/>
                <w:color w:val="000000"/>
                <w:kern w:val="0"/>
                <w:sz w:val="24"/>
                <w:szCs w:val="24"/>
              </w:rPr>
            </w:pPr>
            <w:r w:rsidRPr="001A5621">
              <w:rPr>
                <w:rFonts w:ascii="楷体" w:eastAsia="楷体" w:hAnsi="楷体" w:cs="宋体" w:hint="eastAsia"/>
                <w:color w:val="000000"/>
                <w:kern w:val="0"/>
                <w:sz w:val="24"/>
                <w:szCs w:val="24"/>
              </w:rPr>
              <w:t>提前终止权</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1A5621" w:rsidRPr="001A5621" w:rsidRDefault="001A5621" w:rsidP="001A5621">
            <w:pPr>
              <w:widowControl/>
              <w:jc w:val="left"/>
              <w:rPr>
                <w:rFonts w:ascii="楷体" w:eastAsia="楷体" w:hAnsi="楷体" w:cs="宋体"/>
                <w:color w:val="000000"/>
                <w:kern w:val="0"/>
                <w:sz w:val="24"/>
                <w:szCs w:val="24"/>
              </w:rPr>
            </w:pPr>
            <w:r w:rsidRPr="001A5621">
              <w:rPr>
                <w:rFonts w:ascii="楷体" w:eastAsia="楷体" w:hAnsi="楷体" w:cs="宋体" w:hint="eastAsia"/>
                <w:color w:val="000000"/>
                <w:kern w:val="0"/>
                <w:sz w:val="24"/>
                <w:szCs w:val="24"/>
              </w:rPr>
              <w:t>客户无权提前终止该产品</w:t>
            </w:r>
          </w:p>
        </w:tc>
      </w:tr>
      <w:tr w:rsidR="001A5621" w:rsidRPr="001A5621" w:rsidTr="001A5621">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5621" w:rsidRPr="001A5621" w:rsidRDefault="001A5621" w:rsidP="001A5621">
            <w:pPr>
              <w:widowControl/>
              <w:jc w:val="left"/>
              <w:rPr>
                <w:rFonts w:ascii="楷体" w:eastAsia="楷体" w:hAnsi="楷体" w:cs="宋体"/>
                <w:color w:val="000000"/>
                <w:kern w:val="0"/>
                <w:sz w:val="24"/>
                <w:szCs w:val="24"/>
              </w:rPr>
            </w:pPr>
            <w:r w:rsidRPr="001A5621">
              <w:rPr>
                <w:rFonts w:ascii="楷体" w:eastAsia="楷体" w:hAnsi="楷体" w:cs="宋体" w:hint="eastAsia"/>
                <w:color w:val="000000"/>
                <w:kern w:val="0"/>
                <w:sz w:val="24"/>
                <w:szCs w:val="24"/>
              </w:rPr>
              <w:t>税务处理</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1A5621" w:rsidRPr="001A5621" w:rsidRDefault="001A5621" w:rsidP="001A5621">
            <w:pPr>
              <w:widowControl/>
              <w:jc w:val="left"/>
              <w:rPr>
                <w:rFonts w:ascii="楷体" w:eastAsia="楷体" w:hAnsi="楷体" w:cs="宋体"/>
                <w:color w:val="000000"/>
                <w:kern w:val="0"/>
                <w:sz w:val="24"/>
                <w:szCs w:val="24"/>
              </w:rPr>
            </w:pPr>
            <w:r w:rsidRPr="001A5621">
              <w:rPr>
                <w:rFonts w:ascii="楷体" w:eastAsia="楷体" w:hAnsi="楷体" w:cs="宋体" w:hint="eastAsia"/>
                <w:color w:val="000000"/>
                <w:kern w:val="0"/>
                <w:sz w:val="24"/>
                <w:szCs w:val="24"/>
              </w:rPr>
              <w:t>我行不代扣代缴，但法律、法规另有规定除外</w:t>
            </w:r>
          </w:p>
        </w:tc>
      </w:tr>
      <w:tr w:rsidR="001A5621" w:rsidRPr="001A5621" w:rsidTr="001A5621">
        <w:trPr>
          <w:trHeight w:val="285"/>
        </w:trPr>
        <w:tc>
          <w:tcPr>
            <w:tcW w:w="224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A5621" w:rsidRPr="001A5621" w:rsidRDefault="001A5621" w:rsidP="001A5621">
            <w:pPr>
              <w:widowControl/>
              <w:jc w:val="left"/>
              <w:rPr>
                <w:rFonts w:ascii="楷体" w:eastAsia="楷体" w:hAnsi="楷体" w:cs="宋体"/>
                <w:color w:val="000000"/>
                <w:kern w:val="0"/>
                <w:sz w:val="24"/>
                <w:szCs w:val="24"/>
              </w:rPr>
            </w:pPr>
            <w:r w:rsidRPr="001A5621">
              <w:rPr>
                <w:rFonts w:ascii="楷体" w:eastAsia="楷体" w:hAnsi="楷体" w:cs="宋体" w:hint="eastAsia"/>
                <w:color w:val="000000"/>
                <w:kern w:val="0"/>
                <w:sz w:val="24"/>
                <w:szCs w:val="24"/>
              </w:rPr>
              <w:t>其他规定</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1A5621" w:rsidRPr="001A5621" w:rsidRDefault="001A5621" w:rsidP="001A5621">
            <w:pPr>
              <w:widowControl/>
              <w:jc w:val="left"/>
              <w:rPr>
                <w:rFonts w:ascii="楷体" w:eastAsia="楷体" w:hAnsi="楷体" w:cs="宋体"/>
                <w:color w:val="000000"/>
                <w:kern w:val="0"/>
                <w:sz w:val="24"/>
                <w:szCs w:val="24"/>
              </w:rPr>
            </w:pPr>
            <w:r w:rsidRPr="001A5621">
              <w:rPr>
                <w:rFonts w:ascii="楷体" w:eastAsia="楷体" w:hAnsi="楷体" w:cs="宋体" w:hint="eastAsia"/>
                <w:color w:val="000000"/>
                <w:kern w:val="0"/>
                <w:sz w:val="24"/>
                <w:szCs w:val="24"/>
              </w:rPr>
              <w:t>1、到期日至到账日之间，客户资金不计利息</w:t>
            </w:r>
          </w:p>
        </w:tc>
      </w:tr>
      <w:tr w:rsidR="001A5621" w:rsidRPr="001A5621" w:rsidTr="001A5621">
        <w:trPr>
          <w:trHeight w:val="1305"/>
        </w:trPr>
        <w:tc>
          <w:tcPr>
            <w:tcW w:w="2240" w:type="dxa"/>
            <w:vMerge/>
            <w:tcBorders>
              <w:top w:val="single" w:sz="4" w:space="0" w:color="auto"/>
              <w:left w:val="single" w:sz="4" w:space="0" w:color="auto"/>
              <w:bottom w:val="single" w:sz="4" w:space="0" w:color="000000"/>
              <w:right w:val="single" w:sz="4" w:space="0" w:color="000000"/>
            </w:tcBorders>
            <w:vAlign w:val="center"/>
            <w:hideMark/>
          </w:tcPr>
          <w:p w:rsidR="001A5621" w:rsidRPr="001A5621" w:rsidRDefault="001A5621" w:rsidP="001A5621">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1A5621" w:rsidRPr="001A5621" w:rsidRDefault="001A5621" w:rsidP="001A5621">
            <w:pPr>
              <w:widowControl/>
              <w:jc w:val="left"/>
              <w:rPr>
                <w:rFonts w:ascii="楷体" w:eastAsia="楷体" w:hAnsi="楷体" w:cs="宋体"/>
                <w:color w:val="000000"/>
                <w:kern w:val="0"/>
                <w:sz w:val="24"/>
                <w:szCs w:val="24"/>
              </w:rPr>
            </w:pPr>
            <w:r w:rsidRPr="001A5621">
              <w:rPr>
                <w:rFonts w:ascii="楷体" w:eastAsia="楷体" w:hAnsi="楷体" w:cs="宋体" w:hint="eastAsia"/>
                <w:color w:val="000000"/>
                <w:kern w:val="0"/>
                <w:sz w:val="24"/>
                <w:szCs w:val="24"/>
              </w:rPr>
              <w:t>2、投资者签署《广东南粤银行理财产品客户协议书》后，即视为投资者同意广东南粤银行有权在认购日从投资者账户中冻结其签约本金，募集期间冻结资金按同期活期利率计算利息。</w:t>
            </w:r>
          </w:p>
        </w:tc>
      </w:tr>
    </w:tbl>
    <w:p w:rsidR="002F0EB6" w:rsidRPr="001A5621" w:rsidRDefault="002F0EB6" w:rsidP="001A5621">
      <w:pPr>
        <w:widowControl/>
        <w:jc w:val="left"/>
        <w:rPr>
          <w:rFonts w:ascii="楷体" w:eastAsia="楷体" w:hAnsi="楷体" w:cs="宋体"/>
          <w:b/>
          <w:bCs/>
          <w:color w:val="000000"/>
          <w:kern w:val="0"/>
          <w:sz w:val="24"/>
          <w:szCs w:val="24"/>
        </w:rPr>
      </w:pPr>
      <w:r w:rsidRPr="001A5621">
        <w:rPr>
          <w:rFonts w:ascii="楷体" w:eastAsia="楷体" w:hAnsi="楷体" w:cs="宋体" w:hint="eastAsia"/>
          <w:b/>
          <w:bCs/>
          <w:color w:val="000000"/>
          <w:kern w:val="0"/>
          <w:sz w:val="24"/>
          <w:szCs w:val="24"/>
        </w:rPr>
        <w:t>风险提示</w:t>
      </w:r>
    </w:p>
    <w:p w:rsidR="002F0EB6" w:rsidRPr="001A5621" w:rsidRDefault="002F0EB6" w:rsidP="001A5621">
      <w:pPr>
        <w:widowControl/>
        <w:jc w:val="left"/>
        <w:rPr>
          <w:rFonts w:ascii="楷体" w:eastAsia="楷体" w:hAnsi="楷体" w:cs="宋体"/>
          <w:color w:val="000000"/>
          <w:kern w:val="0"/>
          <w:sz w:val="24"/>
          <w:szCs w:val="24"/>
        </w:rPr>
      </w:pPr>
      <w:r w:rsidRPr="001A5621">
        <w:rPr>
          <w:rFonts w:ascii="楷体" w:eastAsia="楷体" w:hAnsi="楷体" w:cs="宋体" w:hint="eastAsia"/>
          <w:color w:val="000000"/>
          <w:kern w:val="0"/>
          <w:sz w:val="24"/>
          <w:szCs w:val="24"/>
        </w:rPr>
        <w:t xml:space="preserve">    本理财计划为非保本浮动收益型理财产品，不保证本金和收益，投资者应该充分认识投资风险，谨慎投资。以下风险揭示内容请投资者详细阅读，在充分了解并清楚知晓本产品蕴含风险的基础上，通过自身判断自主参与交易，并自愿承担相关风险：</w:t>
      </w:r>
    </w:p>
    <w:p w:rsidR="002F0EB6" w:rsidRPr="001A5621" w:rsidRDefault="002F0EB6" w:rsidP="001A5621">
      <w:pPr>
        <w:widowControl/>
        <w:jc w:val="left"/>
        <w:rPr>
          <w:rFonts w:ascii="楷体" w:eastAsia="楷体" w:hAnsi="楷体" w:cs="宋体"/>
          <w:color w:val="000000"/>
          <w:kern w:val="0"/>
          <w:sz w:val="24"/>
          <w:szCs w:val="24"/>
        </w:rPr>
      </w:pPr>
      <w:r w:rsidRPr="001A5621">
        <w:rPr>
          <w:rFonts w:ascii="楷体" w:eastAsia="楷体" w:hAnsi="楷体" w:cs="宋体" w:hint="eastAsia"/>
          <w:color w:val="000000"/>
          <w:kern w:val="0"/>
          <w:sz w:val="24"/>
          <w:szCs w:val="24"/>
        </w:rPr>
        <w:t xml:space="preserve">    1、本金及理财收益风险：本理财产品为非保本浮动收益型，理财收益来源于本理财产品投资的回报，容易受到市场利率变化、资产运作情况的影响。在部分或全部资产未能完全按预期价格出让的情况下，则可能影响投资收益，出现收益波动、收益为零甚至本金损失的情况。</w:t>
      </w:r>
    </w:p>
    <w:p w:rsidR="002F0EB6" w:rsidRPr="001A5621" w:rsidRDefault="002F0EB6" w:rsidP="001A5621">
      <w:pPr>
        <w:widowControl/>
        <w:jc w:val="left"/>
        <w:rPr>
          <w:rFonts w:ascii="楷体" w:eastAsia="楷体" w:hAnsi="楷体" w:cs="宋体"/>
          <w:color w:val="000000"/>
          <w:kern w:val="0"/>
          <w:sz w:val="24"/>
          <w:szCs w:val="24"/>
        </w:rPr>
      </w:pPr>
      <w:r w:rsidRPr="001A5621">
        <w:rPr>
          <w:rFonts w:ascii="楷体" w:eastAsia="楷体" w:hAnsi="楷体" w:cs="宋体" w:hint="eastAsia"/>
          <w:color w:val="000000"/>
          <w:kern w:val="0"/>
          <w:sz w:val="24"/>
          <w:szCs w:val="24"/>
        </w:rPr>
        <w:t xml:space="preserve">    2、流动性风险：投资者无提前终止权，可能导致投资者需要资金时不能随时变现，并可能使投资者丧失其他投资机会。</w:t>
      </w:r>
    </w:p>
    <w:p w:rsidR="002F0EB6" w:rsidRPr="001A5621" w:rsidRDefault="002F0EB6" w:rsidP="001A5621">
      <w:pPr>
        <w:widowControl/>
        <w:jc w:val="left"/>
        <w:rPr>
          <w:rFonts w:ascii="楷体" w:eastAsia="楷体" w:hAnsi="楷体" w:cs="宋体"/>
          <w:color w:val="000000"/>
          <w:kern w:val="0"/>
          <w:sz w:val="24"/>
          <w:szCs w:val="24"/>
        </w:rPr>
      </w:pPr>
      <w:r w:rsidRPr="001A5621">
        <w:rPr>
          <w:rFonts w:ascii="楷体" w:eastAsia="楷体" w:hAnsi="楷体" w:cs="宋体" w:hint="eastAsia"/>
          <w:color w:val="000000"/>
          <w:kern w:val="0"/>
          <w:sz w:val="24"/>
          <w:szCs w:val="24"/>
        </w:rPr>
        <w:t xml:space="preserve">    3、市场风险：受各种市场因素、宏观政策因素等的影响，理财产品所投资的未到期债券、央行票据、金融债、信托融资等金融产品</w:t>
      </w:r>
      <w:r w:rsidRPr="001A5621">
        <w:rPr>
          <w:rFonts w:ascii="楷体" w:eastAsia="楷体" w:hAnsi="楷体" w:cs="宋体" w:hint="eastAsia"/>
          <w:kern w:val="0"/>
          <w:sz w:val="24"/>
          <w:szCs w:val="24"/>
        </w:rPr>
        <w:t>会上下波动，影响理财产品收益。</w:t>
      </w:r>
    </w:p>
    <w:p w:rsidR="002F0EB6" w:rsidRPr="001A5621" w:rsidRDefault="002F0EB6" w:rsidP="001A5621">
      <w:pPr>
        <w:widowControl/>
        <w:jc w:val="left"/>
        <w:rPr>
          <w:rFonts w:ascii="楷体" w:eastAsia="楷体" w:hAnsi="楷体" w:cs="宋体"/>
          <w:color w:val="000000"/>
          <w:kern w:val="0"/>
          <w:sz w:val="24"/>
          <w:szCs w:val="24"/>
        </w:rPr>
      </w:pPr>
      <w:r w:rsidRPr="001A5621">
        <w:rPr>
          <w:rFonts w:ascii="楷体" w:eastAsia="楷体" w:hAnsi="楷体" w:cs="宋体" w:hint="eastAsia"/>
          <w:color w:val="000000"/>
          <w:kern w:val="0"/>
          <w:sz w:val="24"/>
          <w:szCs w:val="24"/>
        </w:rPr>
        <w:t xml:space="preserve">    4、理财产品不成立风险：如理财产品募集结束时，</w:t>
      </w:r>
      <w:proofErr w:type="gramStart"/>
      <w:r w:rsidRPr="001A5621">
        <w:rPr>
          <w:rFonts w:ascii="楷体" w:eastAsia="楷体" w:hAnsi="楷体" w:cs="宋体" w:hint="eastAsia"/>
          <w:color w:val="000000"/>
          <w:kern w:val="0"/>
          <w:sz w:val="24"/>
          <w:szCs w:val="24"/>
        </w:rPr>
        <w:t>认购总</w:t>
      </w:r>
      <w:proofErr w:type="gramEnd"/>
      <w:r w:rsidRPr="001A5621">
        <w:rPr>
          <w:rFonts w:ascii="楷体" w:eastAsia="楷体" w:hAnsi="楷体" w:cs="宋体" w:hint="eastAsia"/>
          <w:color w:val="000000"/>
          <w:kern w:val="0"/>
          <w:sz w:val="24"/>
          <w:szCs w:val="24"/>
        </w:rPr>
        <w:t>金额未达到规模要求或市场发生剧烈波动等情况，经广东南粤银行合理判断难以按照本理财产品说明书规定向购买者提供本理财产品，广东南粤银行有权宣布本理财产品不成立。</w:t>
      </w:r>
    </w:p>
    <w:p w:rsidR="002F0EB6" w:rsidRPr="001A5621" w:rsidRDefault="002F0EB6" w:rsidP="001A5621">
      <w:pPr>
        <w:widowControl/>
        <w:jc w:val="left"/>
        <w:rPr>
          <w:rFonts w:ascii="楷体" w:eastAsia="楷体" w:hAnsi="楷体" w:cs="宋体"/>
          <w:color w:val="000000"/>
          <w:kern w:val="0"/>
          <w:sz w:val="24"/>
          <w:szCs w:val="24"/>
        </w:rPr>
      </w:pPr>
      <w:r w:rsidRPr="001A5621">
        <w:rPr>
          <w:rFonts w:ascii="楷体" w:eastAsia="楷体" w:hAnsi="楷体" w:cs="宋体" w:hint="eastAsia"/>
          <w:color w:val="000000"/>
          <w:kern w:val="0"/>
          <w:sz w:val="24"/>
          <w:szCs w:val="24"/>
        </w:rPr>
        <w:t xml:space="preserve">    5、政策风险：本理财产品根据当前相关法律法规和政策设计，如国家宏观政策及市场相关法律法规发生变化，可能影响理财产品的受理、投资、偿还等正常进行，甚至导致本理财收益降低。</w:t>
      </w:r>
    </w:p>
    <w:p w:rsidR="002F0EB6" w:rsidRPr="001A5621" w:rsidRDefault="002F0EB6" w:rsidP="001A5621">
      <w:pPr>
        <w:widowControl/>
        <w:jc w:val="left"/>
        <w:rPr>
          <w:rFonts w:ascii="楷体" w:eastAsia="楷体" w:hAnsi="楷体" w:cs="宋体"/>
          <w:color w:val="000000"/>
          <w:kern w:val="0"/>
          <w:sz w:val="24"/>
          <w:szCs w:val="24"/>
        </w:rPr>
      </w:pPr>
      <w:r w:rsidRPr="001A5621">
        <w:rPr>
          <w:rFonts w:ascii="楷体" w:eastAsia="楷体" w:hAnsi="楷体" w:cs="宋体" w:hint="eastAsia"/>
          <w:color w:val="000000"/>
          <w:kern w:val="0"/>
          <w:sz w:val="24"/>
          <w:szCs w:val="24"/>
        </w:rPr>
        <w:t xml:space="preserve">    6、不可抗力风险：指由于自然灾害、战争等不可抗力因素的出现，将严重影响金融市场的正常运行，从而导致理财资产本金及收益降低或损失，甚至影响理财产品的受理、投资、偿还等的正常进行，进而影响理财产品的资金安全。</w:t>
      </w:r>
    </w:p>
    <w:p w:rsidR="002F0EB6" w:rsidRPr="001A5621" w:rsidRDefault="002F0EB6" w:rsidP="001A5621">
      <w:pPr>
        <w:widowControl/>
        <w:jc w:val="left"/>
        <w:rPr>
          <w:rFonts w:ascii="楷体" w:eastAsia="楷体" w:hAnsi="楷体" w:cs="宋体"/>
          <w:color w:val="000000"/>
          <w:kern w:val="0"/>
          <w:sz w:val="24"/>
          <w:szCs w:val="24"/>
        </w:rPr>
      </w:pPr>
      <w:r w:rsidRPr="001A5621">
        <w:rPr>
          <w:rFonts w:ascii="楷体" w:eastAsia="楷体" w:hAnsi="楷体" w:cs="宋体" w:hint="eastAsia"/>
          <w:color w:val="000000"/>
          <w:kern w:val="0"/>
          <w:sz w:val="24"/>
          <w:szCs w:val="24"/>
        </w:rPr>
        <w:lastRenderedPageBreak/>
        <w:t xml:space="preserve">    7、信息传递风险：广东南粤银行按照本说明书有关“提前终止”和“信息披露及投诉方式”条款的约定，发布本理财产品的运作与清算信息公告。投资者应根据“提前终止”和“信息披露及投诉方式”条款的约定及时致电广东南粤银行客户服务热线（4000－961818）或到广东南粤银行各营业网点查询。如果投资者未及时查询，或由于通讯故障、系统故障以及其他不可抗力等因素的影响使得投资者无法及时了解理财产品信息，因此而产生的风险和责任由投资者自行承担。</w:t>
      </w:r>
    </w:p>
    <w:p w:rsidR="002F0EB6" w:rsidRPr="001A5621" w:rsidRDefault="002F0EB6" w:rsidP="001A5621">
      <w:pPr>
        <w:widowControl/>
        <w:jc w:val="center"/>
        <w:rPr>
          <w:rFonts w:ascii="楷体" w:eastAsia="楷体" w:hAnsi="楷体" w:cs="宋体"/>
          <w:b/>
          <w:bCs/>
          <w:color w:val="000000"/>
          <w:kern w:val="0"/>
          <w:sz w:val="24"/>
          <w:szCs w:val="24"/>
        </w:rPr>
      </w:pPr>
      <w:r w:rsidRPr="001A5621">
        <w:rPr>
          <w:rFonts w:ascii="楷体" w:eastAsia="楷体" w:hAnsi="楷体" w:cs="宋体" w:hint="eastAsia"/>
          <w:b/>
          <w:bCs/>
          <w:color w:val="000000"/>
          <w:kern w:val="0"/>
          <w:sz w:val="24"/>
          <w:szCs w:val="24"/>
        </w:rPr>
        <w:t>（请投资者仔细阅读本产品说明书首页的风险提示）</w:t>
      </w:r>
    </w:p>
    <w:p w:rsidR="002F0EB6" w:rsidRPr="001A5621" w:rsidRDefault="002F0EB6" w:rsidP="001A5621">
      <w:pPr>
        <w:widowControl/>
        <w:jc w:val="left"/>
        <w:rPr>
          <w:rFonts w:ascii="楷体" w:eastAsia="楷体" w:hAnsi="楷体" w:cs="宋体"/>
          <w:color w:val="000000"/>
          <w:kern w:val="0"/>
          <w:sz w:val="24"/>
          <w:szCs w:val="24"/>
        </w:rPr>
      </w:pPr>
      <w:r w:rsidRPr="001A5621">
        <w:rPr>
          <w:rFonts w:ascii="楷体" w:eastAsia="楷体" w:hAnsi="楷体" w:cs="宋体" w:hint="eastAsia"/>
          <w:color w:val="000000"/>
          <w:kern w:val="0"/>
          <w:sz w:val="24"/>
          <w:szCs w:val="24"/>
        </w:rPr>
        <w:t>本理财产品风险评级：R2</w:t>
      </w:r>
    </w:p>
    <w:tbl>
      <w:tblPr>
        <w:tblW w:w="8480" w:type="dxa"/>
        <w:tblInd w:w="108" w:type="dxa"/>
        <w:tblLook w:val="04A0" w:firstRow="1" w:lastRow="0" w:firstColumn="1" w:lastColumn="0" w:noHBand="0" w:noVBand="1"/>
      </w:tblPr>
      <w:tblGrid>
        <w:gridCol w:w="846"/>
        <w:gridCol w:w="1561"/>
        <w:gridCol w:w="1754"/>
        <w:gridCol w:w="1928"/>
        <w:gridCol w:w="2391"/>
      </w:tblGrid>
      <w:tr w:rsidR="001A5621" w:rsidRPr="001A5621" w:rsidTr="001A5621">
        <w:trPr>
          <w:trHeight w:val="285"/>
        </w:trPr>
        <w:tc>
          <w:tcPr>
            <w:tcW w:w="640"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rsidR="001A5621" w:rsidRPr="001A5621" w:rsidRDefault="001A5621" w:rsidP="001A5621">
            <w:pPr>
              <w:widowControl/>
              <w:jc w:val="center"/>
              <w:rPr>
                <w:rFonts w:ascii="楷体" w:eastAsia="楷体" w:hAnsi="楷体" w:cs="宋体"/>
                <w:color w:val="000000"/>
                <w:kern w:val="0"/>
                <w:sz w:val="24"/>
                <w:szCs w:val="24"/>
              </w:rPr>
            </w:pPr>
            <w:r w:rsidRPr="001A5621">
              <w:rPr>
                <w:rFonts w:ascii="楷体" w:eastAsia="楷体" w:hAnsi="楷体" w:cs="宋体" w:hint="eastAsia"/>
                <w:color w:val="000000"/>
                <w:kern w:val="0"/>
                <w:sz w:val="24"/>
                <w:szCs w:val="24"/>
              </w:rPr>
              <w:t>内部风险评级</w:t>
            </w:r>
          </w:p>
        </w:tc>
        <w:tc>
          <w:tcPr>
            <w:tcW w:w="7840" w:type="dxa"/>
            <w:gridSpan w:val="4"/>
            <w:tcBorders>
              <w:top w:val="single" w:sz="4" w:space="0" w:color="auto"/>
              <w:left w:val="nil"/>
              <w:bottom w:val="single" w:sz="4" w:space="0" w:color="auto"/>
              <w:right w:val="single" w:sz="4" w:space="0" w:color="auto"/>
            </w:tcBorders>
            <w:shd w:val="clear" w:color="auto" w:fill="auto"/>
            <w:vAlign w:val="center"/>
            <w:hideMark/>
          </w:tcPr>
          <w:p w:rsidR="001A5621" w:rsidRPr="001A5621" w:rsidRDefault="001A5621" w:rsidP="001A5621">
            <w:pPr>
              <w:widowControl/>
              <w:jc w:val="center"/>
              <w:rPr>
                <w:rFonts w:ascii="楷体" w:eastAsia="楷体" w:hAnsi="楷体" w:cs="宋体"/>
                <w:color w:val="000000"/>
                <w:kern w:val="0"/>
                <w:sz w:val="24"/>
                <w:szCs w:val="24"/>
              </w:rPr>
            </w:pPr>
            <w:r w:rsidRPr="001A5621">
              <w:rPr>
                <w:rFonts w:ascii="楷体" w:eastAsia="楷体" w:hAnsi="楷体" w:cs="宋体" w:hint="eastAsia"/>
                <w:color w:val="000000"/>
                <w:kern w:val="0"/>
                <w:sz w:val="24"/>
                <w:szCs w:val="24"/>
              </w:rPr>
              <w:t>本理财产品内部风险评级为：R2</w:t>
            </w:r>
          </w:p>
        </w:tc>
      </w:tr>
      <w:tr w:rsidR="001A5621" w:rsidRPr="001A5621" w:rsidTr="001A5621">
        <w:trPr>
          <w:trHeight w:val="28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1A5621" w:rsidRPr="001A5621" w:rsidRDefault="001A5621" w:rsidP="001A5621">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auto" w:fill="auto"/>
            <w:vAlign w:val="center"/>
            <w:hideMark/>
          </w:tcPr>
          <w:p w:rsidR="001A5621" w:rsidRPr="001A5621" w:rsidRDefault="001A5621" w:rsidP="001A5621">
            <w:pPr>
              <w:widowControl/>
              <w:jc w:val="center"/>
              <w:rPr>
                <w:rFonts w:ascii="楷体" w:eastAsia="楷体" w:hAnsi="楷体" w:cs="宋体"/>
                <w:color w:val="000000"/>
                <w:kern w:val="0"/>
                <w:sz w:val="24"/>
                <w:szCs w:val="24"/>
              </w:rPr>
            </w:pPr>
            <w:r w:rsidRPr="001A5621">
              <w:rPr>
                <w:rFonts w:ascii="楷体" w:eastAsia="楷体" w:hAnsi="楷体" w:cs="宋体" w:hint="eastAsia"/>
                <w:color w:val="000000"/>
                <w:kern w:val="0"/>
                <w:sz w:val="24"/>
                <w:szCs w:val="24"/>
              </w:rPr>
              <w:t>风险评级</w:t>
            </w:r>
          </w:p>
        </w:tc>
        <w:tc>
          <w:tcPr>
            <w:tcW w:w="1800" w:type="dxa"/>
            <w:tcBorders>
              <w:top w:val="nil"/>
              <w:left w:val="nil"/>
              <w:bottom w:val="single" w:sz="4" w:space="0" w:color="auto"/>
              <w:right w:val="single" w:sz="4" w:space="0" w:color="auto"/>
            </w:tcBorders>
            <w:shd w:val="clear" w:color="auto" w:fill="auto"/>
            <w:vAlign w:val="center"/>
            <w:hideMark/>
          </w:tcPr>
          <w:p w:rsidR="001A5621" w:rsidRPr="001A5621" w:rsidRDefault="001A5621" w:rsidP="001A5621">
            <w:pPr>
              <w:widowControl/>
              <w:jc w:val="center"/>
              <w:rPr>
                <w:rFonts w:ascii="楷体" w:eastAsia="楷体" w:hAnsi="楷体" w:cs="宋体"/>
                <w:color w:val="000000"/>
                <w:kern w:val="0"/>
                <w:sz w:val="24"/>
                <w:szCs w:val="24"/>
              </w:rPr>
            </w:pPr>
            <w:r w:rsidRPr="001A5621">
              <w:rPr>
                <w:rFonts w:ascii="楷体" w:eastAsia="楷体" w:hAnsi="楷体" w:cs="宋体" w:hint="eastAsia"/>
                <w:color w:val="000000"/>
                <w:kern w:val="0"/>
                <w:sz w:val="24"/>
                <w:szCs w:val="24"/>
              </w:rPr>
              <w:t>风险程度</w:t>
            </w:r>
          </w:p>
        </w:tc>
        <w:tc>
          <w:tcPr>
            <w:tcW w:w="1980" w:type="dxa"/>
            <w:tcBorders>
              <w:top w:val="nil"/>
              <w:left w:val="nil"/>
              <w:bottom w:val="single" w:sz="4" w:space="0" w:color="auto"/>
              <w:right w:val="single" w:sz="4" w:space="0" w:color="auto"/>
            </w:tcBorders>
            <w:shd w:val="clear" w:color="auto" w:fill="auto"/>
            <w:vAlign w:val="center"/>
            <w:hideMark/>
          </w:tcPr>
          <w:p w:rsidR="001A5621" w:rsidRPr="001A5621" w:rsidRDefault="001A5621" w:rsidP="001A5621">
            <w:pPr>
              <w:widowControl/>
              <w:jc w:val="center"/>
              <w:rPr>
                <w:rFonts w:ascii="楷体" w:eastAsia="楷体" w:hAnsi="楷体" w:cs="宋体"/>
                <w:color w:val="000000"/>
                <w:kern w:val="0"/>
                <w:sz w:val="24"/>
                <w:szCs w:val="24"/>
              </w:rPr>
            </w:pPr>
            <w:r w:rsidRPr="001A5621">
              <w:rPr>
                <w:rFonts w:ascii="楷体" w:eastAsia="楷体" w:hAnsi="楷体" w:cs="宋体" w:hint="eastAsia"/>
                <w:color w:val="000000"/>
                <w:kern w:val="0"/>
                <w:sz w:val="24"/>
                <w:szCs w:val="24"/>
              </w:rPr>
              <w:t>适合的投资者</w:t>
            </w:r>
          </w:p>
        </w:tc>
        <w:tc>
          <w:tcPr>
            <w:tcW w:w="2460" w:type="dxa"/>
            <w:tcBorders>
              <w:top w:val="nil"/>
              <w:left w:val="nil"/>
              <w:bottom w:val="single" w:sz="4" w:space="0" w:color="auto"/>
              <w:right w:val="single" w:sz="4" w:space="0" w:color="auto"/>
            </w:tcBorders>
            <w:shd w:val="clear" w:color="auto" w:fill="auto"/>
            <w:vAlign w:val="center"/>
            <w:hideMark/>
          </w:tcPr>
          <w:p w:rsidR="001A5621" w:rsidRPr="001A5621" w:rsidRDefault="001A5621" w:rsidP="001A5621">
            <w:pPr>
              <w:widowControl/>
              <w:jc w:val="center"/>
              <w:rPr>
                <w:rFonts w:ascii="楷体" w:eastAsia="楷体" w:hAnsi="楷体" w:cs="宋体"/>
                <w:color w:val="000000"/>
                <w:kern w:val="0"/>
                <w:sz w:val="24"/>
                <w:szCs w:val="24"/>
              </w:rPr>
            </w:pPr>
            <w:r w:rsidRPr="001A5621">
              <w:rPr>
                <w:rFonts w:ascii="楷体" w:eastAsia="楷体" w:hAnsi="楷体" w:cs="宋体" w:hint="eastAsia"/>
                <w:color w:val="000000"/>
                <w:kern w:val="0"/>
                <w:sz w:val="24"/>
                <w:szCs w:val="24"/>
              </w:rPr>
              <w:t>适合投资策略</w:t>
            </w:r>
          </w:p>
        </w:tc>
      </w:tr>
      <w:tr w:rsidR="001A5621" w:rsidRPr="001A5621" w:rsidTr="001A5621">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1A5621" w:rsidRPr="001A5621" w:rsidRDefault="001A5621" w:rsidP="001A5621">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1A5621" w:rsidRPr="001A5621" w:rsidRDefault="001A5621" w:rsidP="001A5621">
            <w:pPr>
              <w:widowControl/>
              <w:jc w:val="center"/>
              <w:rPr>
                <w:rFonts w:ascii="楷体" w:eastAsia="楷体" w:hAnsi="楷体" w:cs="宋体"/>
                <w:color w:val="000000"/>
                <w:kern w:val="0"/>
                <w:sz w:val="24"/>
                <w:szCs w:val="24"/>
              </w:rPr>
            </w:pPr>
            <w:r w:rsidRPr="001A5621">
              <w:rPr>
                <w:rFonts w:ascii="楷体" w:eastAsia="楷体" w:hAnsi="楷体" w:cs="宋体" w:hint="eastAsia"/>
                <w:color w:val="000000"/>
                <w:kern w:val="0"/>
                <w:sz w:val="24"/>
                <w:szCs w:val="24"/>
              </w:rPr>
              <w:t>R1</w:t>
            </w:r>
          </w:p>
        </w:tc>
        <w:tc>
          <w:tcPr>
            <w:tcW w:w="1800" w:type="dxa"/>
            <w:tcBorders>
              <w:top w:val="nil"/>
              <w:left w:val="nil"/>
              <w:bottom w:val="single" w:sz="4" w:space="0" w:color="auto"/>
              <w:right w:val="single" w:sz="4" w:space="0" w:color="auto"/>
            </w:tcBorders>
            <w:shd w:val="clear" w:color="000000" w:fill="CCE8CF"/>
            <w:vAlign w:val="center"/>
            <w:hideMark/>
          </w:tcPr>
          <w:p w:rsidR="001A5621" w:rsidRPr="001A5621" w:rsidRDefault="001A5621" w:rsidP="001A5621">
            <w:pPr>
              <w:widowControl/>
              <w:jc w:val="center"/>
              <w:rPr>
                <w:rFonts w:ascii="楷体" w:eastAsia="楷体" w:hAnsi="楷体" w:cs="宋体"/>
                <w:color w:val="000000"/>
                <w:kern w:val="0"/>
                <w:sz w:val="24"/>
                <w:szCs w:val="24"/>
              </w:rPr>
            </w:pPr>
            <w:r w:rsidRPr="001A5621">
              <w:rPr>
                <w:rFonts w:ascii="楷体" w:eastAsia="楷体" w:hAnsi="楷体" w:cs="宋体" w:hint="eastAsia"/>
                <w:color w:val="000000"/>
                <w:kern w:val="0"/>
                <w:sz w:val="24"/>
                <w:szCs w:val="24"/>
              </w:rPr>
              <w:t>低</w:t>
            </w:r>
          </w:p>
        </w:tc>
        <w:tc>
          <w:tcPr>
            <w:tcW w:w="1980" w:type="dxa"/>
            <w:tcBorders>
              <w:top w:val="nil"/>
              <w:left w:val="nil"/>
              <w:bottom w:val="single" w:sz="4" w:space="0" w:color="auto"/>
              <w:right w:val="single" w:sz="4" w:space="0" w:color="auto"/>
            </w:tcBorders>
            <w:shd w:val="clear" w:color="000000" w:fill="CCE8CF"/>
            <w:vAlign w:val="center"/>
            <w:hideMark/>
          </w:tcPr>
          <w:p w:rsidR="001A5621" w:rsidRPr="001A5621" w:rsidRDefault="001A5621" w:rsidP="001A5621">
            <w:pPr>
              <w:widowControl/>
              <w:jc w:val="center"/>
              <w:rPr>
                <w:rFonts w:ascii="楷体" w:eastAsia="楷体" w:hAnsi="楷体" w:cs="宋体"/>
                <w:color w:val="000000"/>
                <w:kern w:val="0"/>
                <w:sz w:val="24"/>
                <w:szCs w:val="24"/>
              </w:rPr>
            </w:pPr>
            <w:r w:rsidRPr="001A5621">
              <w:rPr>
                <w:rFonts w:ascii="楷体" w:eastAsia="楷体" w:hAnsi="楷体" w:cs="宋体" w:hint="eastAsia"/>
                <w:color w:val="000000"/>
                <w:kern w:val="0"/>
                <w:sz w:val="24"/>
                <w:szCs w:val="24"/>
              </w:rPr>
              <w:t>保守型</w:t>
            </w:r>
          </w:p>
        </w:tc>
        <w:tc>
          <w:tcPr>
            <w:tcW w:w="2460" w:type="dxa"/>
            <w:tcBorders>
              <w:top w:val="nil"/>
              <w:left w:val="nil"/>
              <w:bottom w:val="single" w:sz="4" w:space="0" w:color="auto"/>
              <w:right w:val="single" w:sz="4" w:space="0" w:color="auto"/>
            </w:tcBorders>
            <w:shd w:val="clear" w:color="000000" w:fill="CCE8CF"/>
            <w:vAlign w:val="center"/>
            <w:hideMark/>
          </w:tcPr>
          <w:p w:rsidR="001A5621" w:rsidRPr="001A5621" w:rsidRDefault="001A5621" w:rsidP="001A5621">
            <w:pPr>
              <w:widowControl/>
              <w:jc w:val="center"/>
              <w:rPr>
                <w:rFonts w:ascii="楷体" w:eastAsia="楷体" w:hAnsi="楷体" w:cs="宋体"/>
                <w:color w:val="000000"/>
                <w:kern w:val="0"/>
                <w:sz w:val="24"/>
                <w:szCs w:val="24"/>
              </w:rPr>
            </w:pPr>
            <w:r w:rsidRPr="001A5621">
              <w:rPr>
                <w:rFonts w:ascii="楷体" w:eastAsia="楷体" w:hAnsi="楷体" w:cs="宋体" w:hint="eastAsia"/>
                <w:color w:val="000000"/>
                <w:kern w:val="0"/>
                <w:sz w:val="24"/>
                <w:szCs w:val="24"/>
              </w:rPr>
              <w:t>风险控制</w:t>
            </w:r>
          </w:p>
        </w:tc>
      </w:tr>
      <w:tr w:rsidR="001A5621" w:rsidRPr="001A5621" w:rsidTr="001A5621">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1A5621" w:rsidRPr="001A5621" w:rsidRDefault="001A5621" w:rsidP="001A5621">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1A5621" w:rsidRPr="001A5621" w:rsidRDefault="001A5621" w:rsidP="001A5621">
            <w:pPr>
              <w:widowControl/>
              <w:jc w:val="center"/>
              <w:rPr>
                <w:rFonts w:ascii="楷体" w:eastAsia="楷体" w:hAnsi="楷体" w:cs="宋体"/>
                <w:color w:val="000000"/>
                <w:kern w:val="0"/>
                <w:sz w:val="24"/>
                <w:szCs w:val="24"/>
              </w:rPr>
            </w:pPr>
            <w:r w:rsidRPr="001A5621">
              <w:rPr>
                <w:rFonts w:ascii="楷体" w:eastAsia="楷体" w:hAnsi="楷体" w:cs="宋体" w:hint="eastAsia"/>
                <w:color w:val="000000"/>
                <w:kern w:val="0"/>
                <w:sz w:val="24"/>
                <w:szCs w:val="24"/>
              </w:rPr>
              <w:t>R2</w:t>
            </w:r>
          </w:p>
        </w:tc>
        <w:tc>
          <w:tcPr>
            <w:tcW w:w="1800" w:type="dxa"/>
            <w:tcBorders>
              <w:top w:val="nil"/>
              <w:left w:val="nil"/>
              <w:bottom w:val="single" w:sz="4" w:space="0" w:color="auto"/>
              <w:right w:val="single" w:sz="4" w:space="0" w:color="auto"/>
            </w:tcBorders>
            <w:shd w:val="clear" w:color="000000" w:fill="CCE8CF"/>
            <w:vAlign w:val="center"/>
            <w:hideMark/>
          </w:tcPr>
          <w:p w:rsidR="001A5621" w:rsidRPr="001A5621" w:rsidRDefault="001A5621" w:rsidP="001A5621">
            <w:pPr>
              <w:widowControl/>
              <w:jc w:val="center"/>
              <w:rPr>
                <w:rFonts w:ascii="楷体" w:eastAsia="楷体" w:hAnsi="楷体" w:cs="宋体"/>
                <w:color w:val="000000"/>
                <w:kern w:val="0"/>
                <w:sz w:val="24"/>
                <w:szCs w:val="24"/>
              </w:rPr>
            </w:pPr>
            <w:r w:rsidRPr="001A5621">
              <w:rPr>
                <w:rFonts w:ascii="楷体" w:eastAsia="楷体" w:hAnsi="楷体" w:cs="宋体" w:hint="eastAsia"/>
                <w:color w:val="000000"/>
                <w:kern w:val="0"/>
                <w:sz w:val="24"/>
                <w:szCs w:val="24"/>
              </w:rPr>
              <w:t>较低</w:t>
            </w:r>
          </w:p>
        </w:tc>
        <w:tc>
          <w:tcPr>
            <w:tcW w:w="1980" w:type="dxa"/>
            <w:tcBorders>
              <w:top w:val="nil"/>
              <w:left w:val="nil"/>
              <w:bottom w:val="single" w:sz="4" w:space="0" w:color="auto"/>
              <w:right w:val="single" w:sz="4" w:space="0" w:color="auto"/>
            </w:tcBorders>
            <w:shd w:val="clear" w:color="000000" w:fill="CCE8CF"/>
            <w:vAlign w:val="center"/>
            <w:hideMark/>
          </w:tcPr>
          <w:p w:rsidR="001A5621" w:rsidRPr="001A5621" w:rsidRDefault="001A5621" w:rsidP="001A5621">
            <w:pPr>
              <w:widowControl/>
              <w:jc w:val="center"/>
              <w:rPr>
                <w:rFonts w:ascii="楷体" w:eastAsia="楷体" w:hAnsi="楷体" w:cs="宋体"/>
                <w:color w:val="000000"/>
                <w:kern w:val="0"/>
                <w:sz w:val="24"/>
                <w:szCs w:val="24"/>
              </w:rPr>
            </w:pPr>
            <w:r w:rsidRPr="001A5621">
              <w:rPr>
                <w:rFonts w:ascii="楷体" w:eastAsia="楷体" w:hAnsi="楷体" w:cs="宋体" w:hint="eastAsia"/>
                <w:color w:val="000000"/>
                <w:kern w:val="0"/>
                <w:sz w:val="24"/>
                <w:szCs w:val="24"/>
              </w:rPr>
              <w:t>稳健型</w:t>
            </w:r>
          </w:p>
        </w:tc>
        <w:tc>
          <w:tcPr>
            <w:tcW w:w="2460" w:type="dxa"/>
            <w:tcBorders>
              <w:top w:val="nil"/>
              <w:left w:val="nil"/>
              <w:bottom w:val="single" w:sz="4" w:space="0" w:color="auto"/>
              <w:right w:val="single" w:sz="4" w:space="0" w:color="auto"/>
            </w:tcBorders>
            <w:shd w:val="clear" w:color="000000" w:fill="CCE8CF"/>
            <w:vAlign w:val="center"/>
            <w:hideMark/>
          </w:tcPr>
          <w:p w:rsidR="001A5621" w:rsidRPr="001A5621" w:rsidRDefault="001A5621" w:rsidP="001A5621">
            <w:pPr>
              <w:widowControl/>
              <w:jc w:val="center"/>
              <w:rPr>
                <w:rFonts w:ascii="楷体" w:eastAsia="楷体" w:hAnsi="楷体" w:cs="宋体"/>
                <w:color w:val="000000"/>
                <w:kern w:val="0"/>
                <w:sz w:val="24"/>
                <w:szCs w:val="24"/>
              </w:rPr>
            </w:pPr>
            <w:r w:rsidRPr="001A5621">
              <w:rPr>
                <w:rFonts w:ascii="楷体" w:eastAsia="楷体" w:hAnsi="楷体" w:cs="宋体" w:hint="eastAsia"/>
                <w:color w:val="000000"/>
                <w:kern w:val="0"/>
                <w:sz w:val="24"/>
                <w:szCs w:val="24"/>
              </w:rPr>
              <w:t>稳健发展</w:t>
            </w:r>
          </w:p>
        </w:tc>
      </w:tr>
      <w:tr w:rsidR="001A5621" w:rsidRPr="001A5621" w:rsidTr="001A5621">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1A5621" w:rsidRPr="001A5621" w:rsidRDefault="001A5621" w:rsidP="001A5621">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1A5621" w:rsidRPr="001A5621" w:rsidRDefault="001A5621" w:rsidP="001A5621">
            <w:pPr>
              <w:widowControl/>
              <w:jc w:val="center"/>
              <w:rPr>
                <w:rFonts w:ascii="楷体" w:eastAsia="楷体" w:hAnsi="楷体" w:cs="宋体"/>
                <w:color w:val="000000"/>
                <w:kern w:val="0"/>
                <w:sz w:val="24"/>
                <w:szCs w:val="24"/>
              </w:rPr>
            </w:pPr>
            <w:r w:rsidRPr="001A5621">
              <w:rPr>
                <w:rFonts w:ascii="楷体" w:eastAsia="楷体" w:hAnsi="楷体" w:cs="宋体" w:hint="eastAsia"/>
                <w:color w:val="000000"/>
                <w:kern w:val="0"/>
                <w:sz w:val="24"/>
                <w:szCs w:val="24"/>
              </w:rPr>
              <w:t>R3</w:t>
            </w:r>
          </w:p>
        </w:tc>
        <w:tc>
          <w:tcPr>
            <w:tcW w:w="1800" w:type="dxa"/>
            <w:tcBorders>
              <w:top w:val="nil"/>
              <w:left w:val="nil"/>
              <w:bottom w:val="single" w:sz="4" w:space="0" w:color="auto"/>
              <w:right w:val="single" w:sz="4" w:space="0" w:color="auto"/>
            </w:tcBorders>
            <w:shd w:val="clear" w:color="000000" w:fill="CCE8CF"/>
            <w:vAlign w:val="center"/>
            <w:hideMark/>
          </w:tcPr>
          <w:p w:rsidR="001A5621" w:rsidRPr="001A5621" w:rsidRDefault="001A5621" w:rsidP="001A5621">
            <w:pPr>
              <w:widowControl/>
              <w:jc w:val="center"/>
              <w:rPr>
                <w:rFonts w:ascii="楷体" w:eastAsia="楷体" w:hAnsi="楷体" w:cs="宋体"/>
                <w:color w:val="000000"/>
                <w:kern w:val="0"/>
                <w:sz w:val="24"/>
                <w:szCs w:val="24"/>
              </w:rPr>
            </w:pPr>
            <w:r w:rsidRPr="001A5621">
              <w:rPr>
                <w:rFonts w:ascii="楷体" w:eastAsia="楷体" w:hAnsi="楷体" w:cs="宋体" w:hint="eastAsia"/>
                <w:color w:val="000000"/>
                <w:kern w:val="0"/>
                <w:sz w:val="24"/>
                <w:szCs w:val="24"/>
              </w:rPr>
              <w:t>中</w:t>
            </w:r>
          </w:p>
        </w:tc>
        <w:tc>
          <w:tcPr>
            <w:tcW w:w="1980" w:type="dxa"/>
            <w:tcBorders>
              <w:top w:val="nil"/>
              <w:left w:val="nil"/>
              <w:bottom w:val="single" w:sz="4" w:space="0" w:color="auto"/>
              <w:right w:val="single" w:sz="4" w:space="0" w:color="auto"/>
            </w:tcBorders>
            <w:shd w:val="clear" w:color="000000" w:fill="CCE8CF"/>
            <w:vAlign w:val="center"/>
            <w:hideMark/>
          </w:tcPr>
          <w:p w:rsidR="001A5621" w:rsidRPr="001A5621" w:rsidRDefault="001A5621" w:rsidP="001A5621">
            <w:pPr>
              <w:widowControl/>
              <w:jc w:val="center"/>
              <w:rPr>
                <w:rFonts w:ascii="楷体" w:eastAsia="楷体" w:hAnsi="楷体" w:cs="宋体"/>
                <w:color w:val="000000"/>
                <w:kern w:val="0"/>
                <w:sz w:val="24"/>
                <w:szCs w:val="24"/>
              </w:rPr>
            </w:pPr>
            <w:r w:rsidRPr="001A5621">
              <w:rPr>
                <w:rFonts w:ascii="楷体" w:eastAsia="楷体" w:hAnsi="楷体" w:cs="宋体" w:hint="eastAsia"/>
                <w:color w:val="000000"/>
                <w:kern w:val="0"/>
                <w:sz w:val="24"/>
                <w:szCs w:val="24"/>
              </w:rPr>
              <w:t>平衡型</w:t>
            </w:r>
          </w:p>
        </w:tc>
        <w:tc>
          <w:tcPr>
            <w:tcW w:w="2460" w:type="dxa"/>
            <w:tcBorders>
              <w:top w:val="nil"/>
              <w:left w:val="nil"/>
              <w:bottom w:val="single" w:sz="4" w:space="0" w:color="auto"/>
              <w:right w:val="single" w:sz="4" w:space="0" w:color="auto"/>
            </w:tcBorders>
            <w:shd w:val="clear" w:color="000000" w:fill="CCE8CF"/>
            <w:vAlign w:val="center"/>
            <w:hideMark/>
          </w:tcPr>
          <w:p w:rsidR="001A5621" w:rsidRPr="001A5621" w:rsidRDefault="001A5621" w:rsidP="001A5621">
            <w:pPr>
              <w:widowControl/>
              <w:jc w:val="center"/>
              <w:rPr>
                <w:rFonts w:ascii="楷体" w:eastAsia="楷体" w:hAnsi="楷体" w:cs="宋体"/>
                <w:color w:val="000000"/>
                <w:kern w:val="0"/>
                <w:sz w:val="24"/>
                <w:szCs w:val="24"/>
              </w:rPr>
            </w:pPr>
            <w:r w:rsidRPr="001A5621">
              <w:rPr>
                <w:rFonts w:ascii="楷体" w:eastAsia="楷体" w:hAnsi="楷体" w:cs="宋体" w:hint="eastAsia"/>
                <w:color w:val="000000"/>
                <w:kern w:val="0"/>
                <w:sz w:val="24"/>
                <w:szCs w:val="24"/>
              </w:rPr>
              <w:t>均衡成长</w:t>
            </w:r>
          </w:p>
        </w:tc>
      </w:tr>
      <w:tr w:rsidR="001A5621" w:rsidRPr="001A5621" w:rsidTr="001A5621">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1A5621" w:rsidRPr="001A5621" w:rsidRDefault="001A5621" w:rsidP="001A5621">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1A5621" w:rsidRPr="001A5621" w:rsidRDefault="001A5621" w:rsidP="001A5621">
            <w:pPr>
              <w:widowControl/>
              <w:jc w:val="center"/>
              <w:rPr>
                <w:rFonts w:ascii="楷体" w:eastAsia="楷体" w:hAnsi="楷体" w:cs="宋体"/>
                <w:color w:val="000000"/>
                <w:kern w:val="0"/>
                <w:sz w:val="24"/>
                <w:szCs w:val="24"/>
              </w:rPr>
            </w:pPr>
            <w:r w:rsidRPr="001A5621">
              <w:rPr>
                <w:rFonts w:ascii="楷体" w:eastAsia="楷体" w:hAnsi="楷体" w:cs="宋体" w:hint="eastAsia"/>
                <w:color w:val="000000"/>
                <w:kern w:val="0"/>
                <w:sz w:val="24"/>
                <w:szCs w:val="24"/>
              </w:rPr>
              <w:t>R4</w:t>
            </w:r>
          </w:p>
        </w:tc>
        <w:tc>
          <w:tcPr>
            <w:tcW w:w="1800" w:type="dxa"/>
            <w:tcBorders>
              <w:top w:val="nil"/>
              <w:left w:val="nil"/>
              <w:bottom w:val="single" w:sz="4" w:space="0" w:color="auto"/>
              <w:right w:val="single" w:sz="4" w:space="0" w:color="auto"/>
            </w:tcBorders>
            <w:shd w:val="clear" w:color="000000" w:fill="CCE8CF"/>
            <w:vAlign w:val="center"/>
            <w:hideMark/>
          </w:tcPr>
          <w:p w:rsidR="001A5621" w:rsidRPr="001A5621" w:rsidRDefault="001A5621" w:rsidP="001A5621">
            <w:pPr>
              <w:widowControl/>
              <w:jc w:val="center"/>
              <w:rPr>
                <w:rFonts w:ascii="楷体" w:eastAsia="楷体" w:hAnsi="楷体" w:cs="宋体"/>
                <w:color w:val="000000"/>
                <w:kern w:val="0"/>
                <w:sz w:val="24"/>
                <w:szCs w:val="24"/>
              </w:rPr>
            </w:pPr>
            <w:r w:rsidRPr="001A5621">
              <w:rPr>
                <w:rFonts w:ascii="楷体" w:eastAsia="楷体" w:hAnsi="楷体" w:cs="宋体" w:hint="eastAsia"/>
                <w:color w:val="000000"/>
                <w:kern w:val="0"/>
                <w:sz w:val="24"/>
                <w:szCs w:val="24"/>
              </w:rPr>
              <w:t>较高</w:t>
            </w:r>
          </w:p>
        </w:tc>
        <w:tc>
          <w:tcPr>
            <w:tcW w:w="1980" w:type="dxa"/>
            <w:tcBorders>
              <w:top w:val="nil"/>
              <w:left w:val="nil"/>
              <w:bottom w:val="single" w:sz="4" w:space="0" w:color="auto"/>
              <w:right w:val="single" w:sz="4" w:space="0" w:color="auto"/>
            </w:tcBorders>
            <w:shd w:val="clear" w:color="000000" w:fill="CCE8CF"/>
            <w:vAlign w:val="center"/>
            <w:hideMark/>
          </w:tcPr>
          <w:p w:rsidR="001A5621" w:rsidRPr="001A5621" w:rsidRDefault="001A5621" w:rsidP="001A5621">
            <w:pPr>
              <w:widowControl/>
              <w:jc w:val="center"/>
              <w:rPr>
                <w:rFonts w:ascii="楷体" w:eastAsia="楷体" w:hAnsi="楷体" w:cs="宋体"/>
                <w:color w:val="000000"/>
                <w:kern w:val="0"/>
                <w:sz w:val="24"/>
                <w:szCs w:val="24"/>
              </w:rPr>
            </w:pPr>
            <w:r w:rsidRPr="001A5621">
              <w:rPr>
                <w:rFonts w:ascii="楷体" w:eastAsia="楷体" w:hAnsi="楷体" w:cs="宋体" w:hint="eastAsia"/>
                <w:color w:val="000000"/>
                <w:kern w:val="0"/>
                <w:sz w:val="24"/>
                <w:szCs w:val="24"/>
              </w:rPr>
              <w:t>成长型</w:t>
            </w:r>
          </w:p>
        </w:tc>
        <w:tc>
          <w:tcPr>
            <w:tcW w:w="2460" w:type="dxa"/>
            <w:tcBorders>
              <w:top w:val="nil"/>
              <w:left w:val="nil"/>
              <w:bottom w:val="single" w:sz="4" w:space="0" w:color="auto"/>
              <w:right w:val="single" w:sz="4" w:space="0" w:color="auto"/>
            </w:tcBorders>
            <w:shd w:val="clear" w:color="000000" w:fill="CCE8CF"/>
            <w:vAlign w:val="center"/>
            <w:hideMark/>
          </w:tcPr>
          <w:p w:rsidR="001A5621" w:rsidRPr="001A5621" w:rsidRDefault="001A5621" w:rsidP="001A5621">
            <w:pPr>
              <w:widowControl/>
              <w:jc w:val="center"/>
              <w:rPr>
                <w:rFonts w:ascii="楷体" w:eastAsia="楷体" w:hAnsi="楷体" w:cs="宋体"/>
                <w:color w:val="000000"/>
                <w:kern w:val="0"/>
                <w:sz w:val="24"/>
                <w:szCs w:val="24"/>
              </w:rPr>
            </w:pPr>
            <w:r w:rsidRPr="001A5621">
              <w:rPr>
                <w:rFonts w:ascii="楷体" w:eastAsia="楷体" w:hAnsi="楷体" w:cs="宋体" w:hint="eastAsia"/>
                <w:color w:val="000000"/>
                <w:kern w:val="0"/>
                <w:sz w:val="24"/>
                <w:szCs w:val="24"/>
              </w:rPr>
              <w:t>积极进取</w:t>
            </w:r>
          </w:p>
        </w:tc>
      </w:tr>
      <w:tr w:rsidR="001A5621" w:rsidRPr="001A5621" w:rsidTr="001A5621">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1A5621" w:rsidRPr="001A5621" w:rsidRDefault="001A5621" w:rsidP="001A5621">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1A5621" w:rsidRPr="001A5621" w:rsidRDefault="001A5621" w:rsidP="001A5621">
            <w:pPr>
              <w:widowControl/>
              <w:jc w:val="center"/>
              <w:rPr>
                <w:rFonts w:ascii="楷体" w:eastAsia="楷体" w:hAnsi="楷体" w:cs="宋体"/>
                <w:color w:val="000000"/>
                <w:kern w:val="0"/>
                <w:sz w:val="24"/>
                <w:szCs w:val="24"/>
              </w:rPr>
            </w:pPr>
            <w:r w:rsidRPr="001A5621">
              <w:rPr>
                <w:rFonts w:ascii="楷体" w:eastAsia="楷体" w:hAnsi="楷体" w:cs="宋体" w:hint="eastAsia"/>
                <w:color w:val="000000"/>
                <w:kern w:val="0"/>
                <w:sz w:val="24"/>
                <w:szCs w:val="24"/>
              </w:rPr>
              <w:t>R5</w:t>
            </w:r>
          </w:p>
        </w:tc>
        <w:tc>
          <w:tcPr>
            <w:tcW w:w="1800" w:type="dxa"/>
            <w:tcBorders>
              <w:top w:val="nil"/>
              <w:left w:val="nil"/>
              <w:bottom w:val="single" w:sz="4" w:space="0" w:color="auto"/>
              <w:right w:val="single" w:sz="4" w:space="0" w:color="auto"/>
            </w:tcBorders>
            <w:shd w:val="clear" w:color="000000" w:fill="CCE8CF"/>
            <w:vAlign w:val="center"/>
            <w:hideMark/>
          </w:tcPr>
          <w:p w:rsidR="001A5621" w:rsidRPr="001A5621" w:rsidRDefault="001A5621" w:rsidP="001A5621">
            <w:pPr>
              <w:widowControl/>
              <w:jc w:val="center"/>
              <w:rPr>
                <w:rFonts w:ascii="楷体" w:eastAsia="楷体" w:hAnsi="楷体" w:cs="宋体"/>
                <w:color w:val="000000"/>
                <w:kern w:val="0"/>
                <w:sz w:val="24"/>
                <w:szCs w:val="24"/>
              </w:rPr>
            </w:pPr>
            <w:r w:rsidRPr="001A5621">
              <w:rPr>
                <w:rFonts w:ascii="楷体" w:eastAsia="楷体" w:hAnsi="楷体" w:cs="宋体" w:hint="eastAsia"/>
                <w:color w:val="000000"/>
                <w:kern w:val="0"/>
                <w:sz w:val="24"/>
                <w:szCs w:val="24"/>
              </w:rPr>
              <w:t>高</w:t>
            </w:r>
          </w:p>
        </w:tc>
        <w:tc>
          <w:tcPr>
            <w:tcW w:w="1980" w:type="dxa"/>
            <w:tcBorders>
              <w:top w:val="nil"/>
              <w:left w:val="nil"/>
              <w:bottom w:val="single" w:sz="4" w:space="0" w:color="auto"/>
              <w:right w:val="single" w:sz="4" w:space="0" w:color="auto"/>
            </w:tcBorders>
            <w:shd w:val="clear" w:color="000000" w:fill="CCE8CF"/>
            <w:vAlign w:val="center"/>
            <w:hideMark/>
          </w:tcPr>
          <w:p w:rsidR="001A5621" w:rsidRPr="001A5621" w:rsidRDefault="001A5621" w:rsidP="001A5621">
            <w:pPr>
              <w:widowControl/>
              <w:jc w:val="center"/>
              <w:rPr>
                <w:rFonts w:ascii="楷体" w:eastAsia="楷体" w:hAnsi="楷体" w:cs="宋体"/>
                <w:color w:val="000000"/>
                <w:kern w:val="0"/>
                <w:sz w:val="24"/>
                <w:szCs w:val="24"/>
              </w:rPr>
            </w:pPr>
            <w:r w:rsidRPr="001A5621">
              <w:rPr>
                <w:rFonts w:ascii="楷体" w:eastAsia="楷体" w:hAnsi="楷体" w:cs="宋体" w:hint="eastAsia"/>
                <w:color w:val="000000"/>
                <w:kern w:val="0"/>
                <w:sz w:val="24"/>
                <w:szCs w:val="24"/>
              </w:rPr>
              <w:t>进取型</w:t>
            </w:r>
          </w:p>
        </w:tc>
        <w:tc>
          <w:tcPr>
            <w:tcW w:w="2460" w:type="dxa"/>
            <w:tcBorders>
              <w:top w:val="nil"/>
              <w:left w:val="nil"/>
              <w:bottom w:val="single" w:sz="4" w:space="0" w:color="auto"/>
              <w:right w:val="single" w:sz="4" w:space="0" w:color="auto"/>
            </w:tcBorders>
            <w:shd w:val="clear" w:color="000000" w:fill="CCE8CF"/>
            <w:vAlign w:val="center"/>
            <w:hideMark/>
          </w:tcPr>
          <w:p w:rsidR="001A5621" w:rsidRPr="001A5621" w:rsidRDefault="001A5621" w:rsidP="001A5621">
            <w:pPr>
              <w:widowControl/>
              <w:jc w:val="center"/>
              <w:rPr>
                <w:rFonts w:ascii="楷体" w:eastAsia="楷体" w:hAnsi="楷体" w:cs="宋体"/>
                <w:color w:val="000000"/>
                <w:kern w:val="0"/>
                <w:sz w:val="24"/>
                <w:szCs w:val="24"/>
              </w:rPr>
            </w:pPr>
            <w:r w:rsidRPr="001A5621">
              <w:rPr>
                <w:rFonts w:ascii="楷体" w:eastAsia="楷体" w:hAnsi="楷体" w:cs="宋体" w:hint="eastAsia"/>
                <w:color w:val="000000"/>
                <w:kern w:val="0"/>
                <w:sz w:val="24"/>
                <w:szCs w:val="24"/>
              </w:rPr>
              <w:t>风险承受</w:t>
            </w:r>
          </w:p>
        </w:tc>
      </w:tr>
    </w:tbl>
    <w:p w:rsidR="002F0EB6" w:rsidRPr="001A5621" w:rsidRDefault="002F0EB6" w:rsidP="001A5621">
      <w:pPr>
        <w:widowControl/>
        <w:jc w:val="left"/>
        <w:rPr>
          <w:rFonts w:ascii="楷体" w:eastAsia="楷体" w:hAnsi="楷体" w:cs="宋体"/>
          <w:color w:val="000000"/>
          <w:kern w:val="0"/>
          <w:sz w:val="24"/>
          <w:szCs w:val="24"/>
        </w:rPr>
      </w:pPr>
      <w:r w:rsidRPr="001A5621">
        <w:rPr>
          <w:rFonts w:ascii="楷体" w:eastAsia="楷体" w:hAnsi="楷体" w:cs="宋体" w:hint="eastAsia"/>
          <w:color w:val="000000"/>
          <w:kern w:val="0"/>
          <w:sz w:val="24"/>
          <w:szCs w:val="24"/>
        </w:rPr>
        <w:t>（本评级为广东南粤银行股份有限公司内部评级，仅供参考）</w:t>
      </w:r>
    </w:p>
    <w:p w:rsidR="002F0EB6" w:rsidRPr="001A5621" w:rsidRDefault="002F0EB6" w:rsidP="001A5621">
      <w:pPr>
        <w:widowControl/>
        <w:jc w:val="left"/>
        <w:rPr>
          <w:rFonts w:ascii="楷体" w:eastAsia="楷体" w:hAnsi="楷体" w:cs="宋体"/>
          <w:color w:val="000000"/>
          <w:kern w:val="0"/>
          <w:sz w:val="24"/>
          <w:szCs w:val="24"/>
        </w:rPr>
      </w:pPr>
    </w:p>
    <w:p w:rsidR="002F0EB6" w:rsidRPr="001A5621" w:rsidRDefault="002F0EB6" w:rsidP="001A5621">
      <w:pPr>
        <w:widowControl/>
        <w:jc w:val="left"/>
        <w:rPr>
          <w:rFonts w:ascii="楷体" w:eastAsia="楷体" w:hAnsi="楷体" w:cs="宋体"/>
          <w:b/>
          <w:bCs/>
          <w:color w:val="000000"/>
          <w:kern w:val="0"/>
          <w:sz w:val="24"/>
          <w:szCs w:val="24"/>
        </w:rPr>
      </w:pPr>
      <w:r w:rsidRPr="001A5621">
        <w:rPr>
          <w:rFonts w:ascii="楷体" w:eastAsia="楷体" w:hAnsi="楷体" w:cs="宋体" w:hint="eastAsia"/>
          <w:b/>
          <w:bCs/>
          <w:color w:val="000000"/>
          <w:kern w:val="0"/>
          <w:sz w:val="24"/>
          <w:szCs w:val="24"/>
        </w:rPr>
        <w:t>理财本金与收益测算</w:t>
      </w:r>
    </w:p>
    <w:p w:rsidR="002F0EB6" w:rsidRPr="001A5621" w:rsidRDefault="002F0EB6" w:rsidP="001A5621">
      <w:pPr>
        <w:widowControl/>
        <w:jc w:val="left"/>
        <w:rPr>
          <w:rFonts w:ascii="楷体" w:eastAsia="楷体" w:hAnsi="楷体" w:cs="宋体"/>
          <w:color w:val="000000"/>
          <w:kern w:val="0"/>
          <w:sz w:val="24"/>
          <w:szCs w:val="24"/>
        </w:rPr>
      </w:pPr>
      <w:r w:rsidRPr="001A5621">
        <w:rPr>
          <w:rFonts w:ascii="楷体" w:eastAsia="楷体" w:hAnsi="楷体" w:cs="宋体" w:hint="eastAsia"/>
          <w:color w:val="000000"/>
          <w:kern w:val="0"/>
          <w:sz w:val="24"/>
          <w:szCs w:val="24"/>
        </w:rPr>
        <w:t xml:space="preserve">    本理财产品不保证本金及收益，广东南粤银行对本理财产品不做出任何保本或收益承诺。</w:t>
      </w:r>
    </w:p>
    <w:p w:rsidR="002F0EB6" w:rsidRPr="001A5621" w:rsidRDefault="002F0EB6" w:rsidP="001A5621">
      <w:pPr>
        <w:widowControl/>
        <w:jc w:val="left"/>
        <w:rPr>
          <w:rFonts w:ascii="楷体" w:eastAsia="楷体" w:hAnsi="楷体" w:cs="宋体"/>
          <w:color w:val="000000"/>
          <w:kern w:val="0"/>
          <w:sz w:val="24"/>
          <w:szCs w:val="24"/>
        </w:rPr>
      </w:pPr>
      <w:r w:rsidRPr="001A5621">
        <w:rPr>
          <w:rFonts w:ascii="楷体" w:eastAsia="楷体" w:hAnsi="楷体" w:cs="宋体" w:hint="eastAsia"/>
          <w:color w:val="000000"/>
          <w:kern w:val="0"/>
          <w:sz w:val="24"/>
          <w:szCs w:val="24"/>
        </w:rPr>
        <w:t xml:space="preserve">    1、理财计划本金与收益率测算</w:t>
      </w:r>
    </w:p>
    <w:p w:rsidR="002F0EB6" w:rsidRPr="001A5621" w:rsidRDefault="002F0EB6" w:rsidP="001A5621">
      <w:pPr>
        <w:widowControl/>
        <w:jc w:val="left"/>
        <w:rPr>
          <w:rFonts w:ascii="楷体" w:eastAsia="楷体" w:hAnsi="楷体" w:cs="宋体"/>
          <w:color w:val="000000"/>
          <w:kern w:val="0"/>
          <w:sz w:val="24"/>
          <w:szCs w:val="24"/>
        </w:rPr>
      </w:pPr>
      <w:r w:rsidRPr="001A5621">
        <w:rPr>
          <w:rFonts w:ascii="楷体" w:eastAsia="楷体" w:hAnsi="楷体" w:cs="宋体" w:hint="eastAsia"/>
          <w:color w:val="000000"/>
          <w:kern w:val="0"/>
          <w:sz w:val="24"/>
          <w:szCs w:val="24"/>
        </w:rPr>
        <w:t xml:space="preserve">    （1）收益测算公式：</w:t>
      </w:r>
    </w:p>
    <w:p w:rsidR="002F0EB6" w:rsidRPr="001A5621" w:rsidRDefault="002F0EB6" w:rsidP="001A5621">
      <w:pPr>
        <w:widowControl/>
        <w:jc w:val="left"/>
        <w:rPr>
          <w:rFonts w:ascii="楷体" w:eastAsia="楷体" w:hAnsi="楷体" w:cs="宋体"/>
          <w:color w:val="000000"/>
          <w:kern w:val="0"/>
          <w:sz w:val="24"/>
          <w:szCs w:val="24"/>
        </w:rPr>
      </w:pPr>
      <w:r w:rsidRPr="001A5621">
        <w:rPr>
          <w:rFonts w:ascii="楷体" w:eastAsia="楷体" w:hAnsi="楷体" w:cs="宋体" w:hint="eastAsia"/>
          <w:color w:val="000000"/>
          <w:kern w:val="0"/>
          <w:sz w:val="24"/>
          <w:szCs w:val="24"/>
        </w:rPr>
        <w:t xml:space="preserve">    本产品收益＝投资收益—投资相关成本</w:t>
      </w:r>
    </w:p>
    <w:p w:rsidR="002F0EB6" w:rsidRPr="001A5621" w:rsidRDefault="002F0EB6" w:rsidP="001A5621">
      <w:pPr>
        <w:widowControl/>
        <w:jc w:val="left"/>
        <w:rPr>
          <w:rFonts w:ascii="楷体" w:eastAsia="楷体" w:hAnsi="楷体" w:cs="宋体"/>
          <w:color w:val="000000"/>
          <w:kern w:val="0"/>
          <w:sz w:val="24"/>
          <w:szCs w:val="24"/>
        </w:rPr>
      </w:pPr>
      <w:r w:rsidRPr="001A5621">
        <w:rPr>
          <w:rFonts w:ascii="楷体" w:eastAsia="楷体" w:hAnsi="楷体" w:cs="宋体" w:hint="eastAsia"/>
          <w:color w:val="000000"/>
          <w:kern w:val="0"/>
          <w:sz w:val="24"/>
          <w:szCs w:val="24"/>
        </w:rPr>
        <w:t xml:space="preserve">    理财产品到期支付款项=理财产品本金+本产品收益</w:t>
      </w:r>
    </w:p>
    <w:p w:rsidR="002F0EB6" w:rsidRPr="001A5621" w:rsidRDefault="002F0EB6" w:rsidP="001A5621">
      <w:pPr>
        <w:widowControl/>
        <w:jc w:val="left"/>
        <w:rPr>
          <w:rFonts w:ascii="楷体" w:eastAsia="楷体" w:hAnsi="楷体" w:cs="宋体"/>
          <w:color w:val="000000"/>
          <w:kern w:val="0"/>
          <w:sz w:val="24"/>
          <w:szCs w:val="24"/>
        </w:rPr>
      </w:pPr>
      <w:r w:rsidRPr="001A5621">
        <w:rPr>
          <w:rFonts w:ascii="楷体" w:eastAsia="楷体" w:hAnsi="楷体" w:cs="宋体" w:hint="eastAsia"/>
          <w:color w:val="000000"/>
          <w:kern w:val="0"/>
          <w:sz w:val="24"/>
          <w:szCs w:val="24"/>
        </w:rPr>
        <w:t xml:space="preserve">    （2）收益测算说明：</w:t>
      </w:r>
    </w:p>
    <w:p w:rsidR="002F0EB6" w:rsidRPr="001A5621" w:rsidRDefault="002F0EB6" w:rsidP="001A5621">
      <w:pPr>
        <w:widowControl/>
        <w:jc w:val="left"/>
        <w:rPr>
          <w:rFonts w:ascii="楷体" w:eastAsia="楷体" w:hAnsi="楷体" w:cs="宋体"/>
          <w:color w:val="000000"/>
          <w:kern w:val="0"/>
          <w:sz w:val="24"/>
          <w:szCs w:val="24"/>
        </w:rPr>
      </w:pPr>
      <w:r w:rsidRPr="001A5621">
        <w:rPr>
          <w:rFonts w:ascii="楷体" w:eastAsia="楷体" w:hAnsi="楷体" w:cs="宋体" w:hint="eastAsia"/>
          <w:color w:val="000000"/>
          <w:kern w:val="0"/>
          <w:sz w:val="24"/>
          <w:szCs w:val="24"/>
        </w:rPr>
        <w:t xml:space="preserve">    以上收益测算是基于数据引用期间的金融市场相关报价，并不是理财计划的最终收益率。</w:t>
      </w:r>
    </w:p>
    <w:p w:rsidR="002F0EB6" w:rsidRPr="001A5621" w:rsidRDefault="002F0EB6" w:rsidP="001A5621">
      <w:pPr>
        <w:widowControl/>
        <w:jc w:val="left"/>
        <w:rPr>
          <w:rFonts w:ascii="楷体" w:eastAsia="楷体" w:hAnsi="楷体" w:cs="宋体"/>
          <w:color w:val="000000"/>
          <w:kern w:val="0"/>
          <w:sz w:val="24"/>
          <w:szCs w:val="24"/>
        </w:rPr>
      </w:pPr>
      <w:r w:rsidRPr="001A5621">
        <w:rPr>
          <w:rFonts w:ascii="楷体" w:eastAsia="楷体" w:hAnsi="楷体" w:cs="宋体" w:hint="eastAsia"/>
          <w:color w:val="000000"/>
          <w:kern w:val="0"/>
          <w:sz w:val="24"/>
          <w:szCs w:val="24"/>
        </w:rPr>
        <w:t xml:space="preserve">    投资者到期收到款项按四舍五入法保留两位小数。</w:t>
      </w:r>
    </w:p>
    <w:p w:rsidR="002F0EB6" w:rsidRPr="001A5621" w:rsidRDefault="002F0EB6" w:rsidP="001A5621">
      <w:pPr>
        <w:widowControl/>
        <w:jc w:val="left"/>
        <w:rPr>
          <w:rFonts w:ascii="楷体" w:eastAsia="楷体" w:hAnsi="楷体" w:cs="宋体"/>
          <w:color w:val="000000"/>
          <w:kern w:val="0"/>
          <w:sz w:val="24"/>
          <w:szCs w:val="24"/>
        </w:rPr>
      </w:pPr>
      <w:r w:rsidRPr="001A5621">
        <w:rPr>
          <w:rFonts w:ascii="楷体" w:eastAsia="楷体" w:hAnsi="楷体" w:cs="宋体" w:hint="eastAsia"/>
          <w:color w:val="000000"/>
          <w:kern w:val="0"/>
          <w:sz w:val="24"/>
          <w:szCs w:val="24"/>
        </w:rPr>
        <w:t xml:space="preserve">    2、投资者所得收益说明:</w:t>
      </w:r>
      <w:r w:rsidRPr="001A5621">
        <w:rPr>
          <w:rFonts w:ascii="楷体" w:eastAsia="楷体" w:hAnsi="楷体" w:cs="宋体" w:hint="eastAsia"/>
          <w:color w:val="FF0000"/>
          <w:kern w:val="0"/>
          <w:sz w:val="24"/>
          <w:szCs w:val="24"/>
        </w:rPr>
        <w:t xml:space="preserve"> </w:t>
      </w:r>
    </w:p>
    <w:p w:rsidR="002F0EB6" w:rsidRPr="001A5621" w:rsidRDefault="002F0EB6" w:rsidP="001A5621">
      <w:pPr>
        <w:widowControl/>
        <w:jc w:val="left"/>
        <w:rPr>
          <w:rFonts w:ascii="楷体" w:eastAsia="楷体" w:hAnsi="楷体" w:cs="宋体"/>
          <w:color w:val="000000"/>
          <w:kern w:val="0"/>
          <w:sz w:val="24"/>
          <w:szCs w:val="24"/>
        </w:rPr>
      </w:pPr>
      <w:r w:rsidRPr="001A5621">
        <w:rPr>
          <w:rFonts w:ascii="楷体" w:eastAsia="楷体" w:hAnsi="楷体" w:cs="宋体" w:hint="eastAsia"/>
          <w:color w:val="000000"/>
          <w:kern w:val="0"/>
          <w:sz w:val="24"/>
          <w:szCs w:val="24"/>
        </w:rPr>
        <w:t xml:space="preserve">    （1）</w:t>
      </w:r>
      <w:r w:rsidRPr="001A5621">
        <w:rPr>
          <w:rFonts w:ascii="楷体" w:eastAsia="楷体" w:hAnsi="楷体" w:cs="宋体" w:hint="eastAsia"/>
          <w:kern w:val="0"/>
          <w:sz w:val="24"/>
          <w:szCs w:val="24"/>
        </w:rPr>
        <w:t>当理财计划实现</w:t>
      </w:r>
      <w:proofErr w:type="gramStart"/>
      <w:r w:rsidRPr="001A5621">
        <w:rPr>
          <w:rFonts w:ascii="楷体" w:eastAsia="楷体" w:hAnsi="楷体" w:cs="宋体" w:hint="eastAsia"/>
          <w:kern w:val="0"/>
          <w:sz w:val="24"/>
          <w:szCs w:val="24"/>
        </w:rPr>
        <w:t>的年化收益率</w:t>
      </w:r>
      <w:proofErr w:type="gramEnd"/>
      <w:r w:rsidRPr="001A5621">
        <w:rPr>
          <w:rFonts w:ascii="楷体" w:eastAsia="楷体" w:hAnsi="楷体" w:cs="宋体" w:hint="eastAsia"/>
          <w:kern w:val="0"/>
          <w:sz w:val="24"/>
          <w:szCs w:val="24"/>
        </w:rPr>
        <w:t>超出</w:t>
      </w:r>
      <w:proofErr w:type="gramStart"/>
      <w:r w:rsidRPr="001A5621">
        <w:rPr>
          <w:rFonts w:ascii="楷体" w:eastAsia="楷体" w:hAnsi="楷体" w:cs="宋体" w:hint="eastAsia"/>
          <w:kern w:val="0"/>
          <w:sz w:val="24"/>
          <w:szCs w:val="24"/>
        </w:rPr>
        <w:t>参考年化收益率</w:t>
      </w:r>
      <w:proofErr w:type="gramEnd"/>
      <w:r w:rsidRPr="001A5621">
        <w:rPr>
          <w:rFonts w:ascii="楷体" w:eastAsia="楷体" w:hAnsi="楷体" w:cs="宋体" w:hint="eastAsia"/>
          <w:kern w:val="0"/>
          <w:sz w:val="24"/>
          <w:szCs w:val="24"/>
        </w:rPr>
        <w:t>时，投资者只能获得本说明书中注明的对应档次</w:t>
      </w:r>
      <w:proofErr w:type="gramStart"/>
      <w:r w:rsidRPr="001A5621">
        <w:rPr>
          <w:rFonts w:ascii="楷体" w:eastAsia="楷体" w:hAnsi="楷体" w:cs="宋体" w:hint="eastAsia"/>
          <w:kern w:val="0"/>
          <w:sz w:val="24"/>
          <w:szCs w:val="24"/>
        </w:rPr>
        <w:t>参考年化收益率</w:t>
      </w:r>
      <w:proofErr w:type="gramEnd"/>
      <w:r w:rsidRPr="001A5621">
        <w:rPr>
          <w:rFonts w:ascii="楷体" w:eastAsia="楷体" w:hAnsi="楷体" w:cs="宋体" w:hint="eastAsia"/>
          <w:kern w:val="0"/>
          <w:sz w:val="24"/>
          <w:szCs w:val="24"/>
        </w:rPr>
        <w:t>，超出部分作为广东南粤银行管理费；若小于本说明书中的对应档次的</w:t>
      </w:r>
      <w:proofErr w:type="gramStart"/>
      <w:r w:rsidRPr="001A5621">
        <w:rPr>
          <w:rFonts w:ascii="楷体" w:eastAsia="楷体" w:hAnsi="楷体" w:cs="宋体" w:hint="eastAsia"/>
          <w:kern w:val="0"/>
          <w:sz w:val="24"/>
          <w:szCs w:val="24"/>
        </w:rPr>
        <w:t>参考年化收益率</w:t>
      </w:r>
      <w:proofErr w:type="gramEnd"/>
      <w:r w:rsidRPr="001A5621">
        <w:rPr>
          <w:rFonts w:ascii="楷体" w:eastAsia="楷体" w:hAnsi="楷体" w:cs="宋体" w:hint="eastAsia"/>
          <w:kern w:val="0"/>
          <w:sz w:val="24"/>
          <w:szCs w:val="24"/>
        </w:rPr>
        <w:t>，投资者到</w:t>
      </w:r>
      <w:proofErr w:type="gramStart"/>
      <w:r w:rsidRPr="001A5621">
        <w:rPr>
          <w:rFonts w:ascii="楷体" w:eastAsia="楷体" w:hAnsi="楷体" w:cs="宋体" w:hint="eastAsia"/>
          <w:kern w:val="0"/>
          <w:sz w:val="24"/>
          <w:szCs w:val="24"/>
        </w:rPr>
        <w:t>期年化</w:t>
      </w:r>
      <w:proofErr w:type="gramEnd"/>
      <w:r w:rsidRPr="001A5621">
        <w:rPr>
          <w:rFonts w:ascii="楷体" w:eastAsia="楷体" w:hAnsi="楷体" w:cs="宋体" w:hint="eastAsia"/>
          <w:kern w:val="0"/>
          <w:sz w:val="24"/>
          <w:szCs w:val="24"/>
        </w:rPr>
        <w:t>收益率则根据资产实际回收情况计算。</w:t>
      </w:r>
    </w:p>
    <w:p w:rsidR="002F0EB6" w:rsidRPr="001A5621" w:rsidRDefault="002F0EB6" w:rsidP="001A5621">
      <w:pPr>
        <w:widowControl/>
        <w:jc w:val="left"/>
        <w:rPr>
          <w:rFonts w:ascii="楷体" w:eastAsia="楷体" w:hAnsi="楷体" w:cs="宋体"/>
          <w:color w:val="000000"/>
          <w:kern w:val="0"/>
          <w:sz w:val="24"/>
          <w:szCs w:val="24"/>
        </w:rPr>
      </w:pPr>
      <w:r w:rsidRPr="001A5621">
        <w:rPr>
          <w:rFonts w:ascii="楷体" w:eastAsia="楷体" w:hAnsi="楷体" w:cs="宋体" w:hint="eastAsia"/>
          <w:color w:val="000000"/>
          <w:kern w:val="0"/>
          <w:sz w:val="24"/>
          <w:szCs w:val="24"/>
        </w:rPr>
        <w:t xml:space="preserve">    计算公式：</w:t>
      </w:r>
    </w:p>
    <w:p w:rsidR="002F0EB6" w:rsidRPr="001A5621" w:rsidRDefault="002F0EB6" w:rsidP="001A5621">
      <w:pPr>
        <w:widowControl/>
        <w:jc w:val="left"/>
        <w:rPr>
          <w:rFonts w:ascii="楷体" w:eastAsia="楷体" w:hAnsi="楷体" w:cs="宋体"/>
          <w:color w:val="000000"/>
          <w:kern w:val="0"/>
          <w:sz w:val="24"/>
          <w:szCs w:val="24"/>
        </w:rPr>
      </w:pPr>
      <w:r w:rsidRPr="001A5621">
        <w:rPr>
          <w:rFonts w:ascii="楷体" w:eastAsia="楷体" w:hAnsi="楷体" w:cs="宋体" w:hint="eastAsia"/>
          <w:color w:val="000000"/>
          <w:kern w:val="0"/>
          <w:sz w:val="24"/>
          <w:szCs w:val="24"/>
        </w:rPr>
        <w:t xml:space="preserve">    投资者理财收益=理财本金×投资者到</w:t>
      </w:r>
      <w:proofErr w:type="gramStart"/>
      <w:r w:rsidRPr="001A5621">
        <w:rPr>
          <w:rFonts w:ascii="楷体" w:eastAsia="楷体" w:hAnsi="楷体" w:cs="宋体" w:hint="eastAsia"/>
          <w:color w:val="000000"/>
          <w:kern w:val="0"/>
          <w:sz w:val="24"/>
          <w:szCs w:val="24"/>
        </w:rPr>
        <w:t>期年化</w:t>
      </w:r>
      <w:proofErr w:type="gramEnd"/>
      <w:r w:rsidRPr="001A5621">
        <w:rPr>
          <w:rFonts w:ascii="楷体" w:eastAsia="楷体" w:hAnsi="楷体" w:cs="宋体" w:hint="eastAsia"/>
          <w:color w:val="000000"/>
          <w:kern w:val="0"/>
          <w:sz w:val="24"/>
          <w:szCs w:val="24"/>
        </w:rPr>
        <w:t>收益率×实际理财天数/365</w:t>
      </w:r>
    </w:p>
    <w:p w:rsidR="002F0EB6" w:rsidRPr="001A5621" w:rsidRDefault="002F0EB6" w:rsidP="001A5621">
      <w:pPr>
        <w:widowControl/>
        <w:jc w:val="left"/>
        <w:rPr>
          <w:rFonts w:ascii="楷体" w:eastAsia="楷体" w:hAnsi="楷体" w:cs="宋体"/>
          <w:color w:val="000000"/>
          <w:kern w:val="0"/>
          <w:sz w:val="24"/>
          <w:szCs w:val="24"/>
        </w:rPr>
      </w:pPr>
      <w:r w:rsidRPr="001A5621">
        <w:rPr>
          <w:rFonts w:ascii="楷体" w:eastAsia="楷体" w:hAnsi="楷体" w:cs="宋体" w:hint="eastAsia"/>
          <w:color w:val="000000"/>
          <w:kern w:val="0"/>
          <w:sz w:val="24"/>
          <w:szCs w:val="24"/>
        </w:rPr>
        <w:t xml:space="preserve">    （2）计算示例： </w:t>
      </w:r>
    </w:p>
    <w:p w:rsidR="002F0EB6" w:rsidRPr="001A5621" w:rsidRDefault="002F0EB6" w:rsidP="001A5621">
      <w:pPr>
        <w:widowControl/>
        <w:jc w:val="left"/>
        <w:rPr>
          <w:rFonts w:ascii="楷体" w:eastAsia="楷体" w:hAnsi="楷体" w:cs="宋体"/>
          <w:color w:val="000000"/>
          <w:kern w:val="0"/>
          <w:sz w:val="24"/>
          <w:szCs w:val="24"/>
        </w:rPr>
      </w:pPr>
      <w:r w:rsidRPr="001A5621">
        <w:rPr>
          <w:rFonts w:ascii="楷体" w:eastAsia="楷体" w:hAnsi="楷体" w:cs="宋体" w:hint="eastAsia"/>
          <w:color w:val="000000"/>
          <w:kern w:val="0"/>
          <w:sz w:val="24"/>
          <w:szCs w:val="24"/>
        </w:rPr>
        <w:t xml:space="preserve">    假设客户理财本金为50,000元，对应档次的预期最高</w:t>
      </w:r>
      <w:proofErr w:type="gramStart"/>
      <w:r w:rsidRPr="001A5621">
        <w:rPr>
          <w:rFonts w:ascii="楷体" w:eastAsia="楷体" w:hAnsi="楷体" w:cs="宋体" w:hint="eastAsia"/>
          <w:color w:val="000000"/>
          <w:kern w:val="0"/>
          <w:sz w:val="24"/>
          <w:szCs w:val="24"/>
        </w:rPr>
        <w:t>年化参考</w:t>
      </w:r>
      <w:proofErr w:type="gramEnd"/>
      <w:r w:rsidRPr="001A5621">
        <w:rPr>
          <w:rFonts w:ascii="楷体" w:eastAsia="楷体" w:hAnsi="楷体" w:cs="宋体" w:hint="eastAsia"/>
          <w:color w:val="000000"/>
          <w:kern w:val="0"/>
          <w:sz w:val="24"/>
          <w:szCs w:val="24"/>
        </w:rPr>
        <w:t>收益率为5.4%，实际理财天数122天，</w:t>
      </w:r>
    </w:p>
    <w:p w:rsidR="002F0EB6" w:rsidRPr="001A5621" w:rsidRDefault="002F0EB6" w:rsidP="001A5621">
      <w:pPr>
        <w:widowControl/>
        <w:jc w:val="left"/>
        <w:rPr>
          <w:rFonts w:ascii="楷体" w:eastAsia="楷体" w:hAnsi="楷体" w:cs="宋体"/>
          <w:color w:val="000000"/>
          <w:kern w:val="0"/>
          <w:sz w:val="24"/>
          <w:szCs w:val="24"/>
        </w:rPr>
      </w:pPr>
      <w:r w:rsidRPr="001A5621">
        <w:rPr>
          <w:rFonts w:ascii="楷体" w:eastAsia="楷体" w:hAnsi="楷体" w:cs="宋体" w:hint="eastAsia"/>
          <w:color w:val="000000"/>
          <w:kern w:val="0"/>
          <w:sz w:val="24"/>
          <w:szCs w:val="24"/>
        </w:rPr>
        <w:t xml:space="preserve">    A:若客户理财产品到期实现</w:t>
      </w:r>
      <w:proofErr w:type="gramStart"/>
      <w:r w:rsidRPr="001A5621">
        <w:rPr>
          <w:rFonts w:ascii="楷体" w:eastAsia="楷体" w:hAnsi="楷体" w:cs="宋体" w:hint="eastAsia"/>
          <w:color w:val="000000"/>
          <w:kern w:val="0"/>
          <w:sz w:val="24"/>
          <w:szCs w:val="24"/>
        </w:rPr>
        <w:t>的年化收益率</w:t>
      </w:r>
      <w:proofErr w:type="gramEnd"/>
      <w:r w:rsidRPr="001A5621">
        <w:rPr>
          <w:rFonts w:ascii="楷体" w:eastAsia="楷体" w:hAnsi="楷体" w:cs="宋体" w:hint="eastAsia"/>
          <w:color w:val="000000"/>
          <w:kern w:val="0"/>
          <w:sz w:val="24"/>
          <w:szCs w:val="24"/>
        </w:rPr>
        <w:t>为5.5%，则投资者的理财收益为：</w:t>
      </w:r>
    </w:p>
    <w:p w:rsidR="002F0EB6" w:rsidRPr="001A5621" w:rsidRDefault="002F0EB6" w:rsidP="001A5621">
      <w:pPr>
        <w:widowControl/>
        <w:jc w:val="left"/>
        <w:rPr>
          <w:rFonts w:ascii="楷体" w:eastAsia="楷体" w:hAnsi="楷体" w:cs="宋体"/>
          <w:color w:val="000000"/>
          <w:kern w:val="0"/>
          <w:sz w:val="24"/>
          <w:szCs w:val="24"/>
        </w:rPr>
      </w:pPr>
      <w:r w:rsidRPr="001A5621">
        <w:rPr>
          <w:rFonts w:ascii="楷体" w:eastAsia="楷体" w:hAnsi="楷体" w:cs="宋体" w:hint="eastAsia"/>
          <w:color w:val="000000"/>
          <w:kern w:val="0"/>
          <w:sz w:val="24"/>
          <w:szCs w:val="24"/>
        </w:rPr>
        <w:t xml:space="preserve">    投资者的理财收益=50,000×5.4%×122/365= 902.47元</w:t>
      </w:r>
    </w:p>
    <w:p w:rsidR="002F0EB6" w:rsidRPr="001A5621" w:rsidRDefault="002F0EB6" w:rsidP="001A5621">
      <w:pPr>
        <w:widowControl/>
        <w:jc w:val="left"/>
        <w:rPr>
          <w:rFonts w:ascii="楷体" w:eastAsia="楷体" w:hAnsi="楷体" w:cs="宋体"/>
          <w:color w:val="000000"/>
          <w:kern w:val="0"/>
          <w:sz w:val="24"/>
          <w:szCs w:val="24"/>
        </w:rPr>
      </w:pPr>
      <w:r w:rsidRPr="001A5621">
        <w:rPr>
          <w:rFonts w:ascii="楷体" w:eastAsia="楷体" w:hAnsi="楷体" w:cs="宋体" w:hint="eastAsia"/>
          <w:color w:val="000000"/>
          <w:kern w:val="0"/>
          <w:sz w:val="24"/>
          <w:szCs w:val="24"/>
        </w:rPr>
        <w:t xml:space="preserve">    B:若客户理财产品到期实现</w:t>
      </w:r>
      <w:proofErr w:type="gramStart"/>
      <w:r w:rsidRPr="001A5621">
        <w:rPr>
          <w:rFonts w:ascii="楷体" w:eastAsia="楷体" w:hAnsi="楷体" w:cs="宋体" w:hint="eastAsia"/>
          <w:color w:val="000000"/>
          <w:kern w:val="0"/>
          <w:sz w:val="24"/>
          <w:szCs w:val="24"/>
        </w:rPr>
        <w:t>的年化收益率</w:t>
      </w:r>
      <w:proofErr w:type="gramEnd"/>
      <w:r w:rsidRPr="001A5621">
        <w:rPr>
          <w:rFonts w:ascii="楷体" w:eastAsia="楷体" w:hAnsi="楷体" w:cs="宋体" w:hint="eastAsia"/>
          <w:color w:val="000000"/>
          <w:kern w:val="0"/>
          <w:sz w:val="24"/>
          <w:szCs w:val="24"/>
        </w:rPr>
        <w:t>为5.3%，则投资者的理财收益为：</w:t>
      </w:r>
    </w:p>
    <w:p w:rsidR="002F0EB6" w:rsidRPr="001A5621" w:rsidRDefault="002F0EB6" w:rsidP="001A5621">
      <w:pPr>
        <w:widowControl/>
        <w:jc w:val="left"/>
        <w:rPr>
          <w:rFonts w:ascii="楷体" w:eastAsia="楷体" w:hAnsi="楷体" w:cs="宋体"/>
          <w:color w:val="000000"/>
          <w:kern w:val="0"/>
          <w:sz w:val="24"/>
          <w:szCs w:val="24"/>
        </w:rPr>
      </w:pPr>
      <w:r w:rsidRPr="001A5621">
        <w:rPr>
          <w:rFonts w:ascii="楷体" w:eastAsia="楷体" w:hAnsi="楷体" w:cs="宋体" w:hint="eastAsia"/>
          <w:color w:val="000000"/>
          <w:kern w:val="0"/>
          <w:sz w:val="24"/>
          <w:szCs w:val="24"/>
        </w:rPr>
        <w:t xml:space="preserve">    投资者的理财收益=50,000×5.3%×122/365= 885.75元</w:t>
      </w:r>
    </w:p>
    <w:p w:rsidR="002F0EB6" w:rsidRPr="001A5621" w:rsidRDefault="002F0EB6" w:rsidP="001A5621">
      <w:pPr>
        <w:widowControl/>
        <w:jc w:val="left"/>
        <w:rPr>
          <w:rFonts w:ascii="楷体" w:eastAsia="楷体" w:hAnsi="楷体" w:cs="宋体"/>
          <w:color w:val="000000"/>
          <w:kern w:val="0"/>
          <w:sz w:val="24"/>
          <w:szCs w:val="24"/>
        </w:rPr>
      </w:pPr>
      <w:r w:rsidRPr="001A5621">
        <w:rPr>
          <w:rFonts w:ascii="楷体" w:eastAsia="楷体" w:hAnsi="楷体" w:cs="宋体" w:hint="eastAsia"/>
          <w:color w:val="000000"/>
          <w:kern w:val="0"/>
          <w:sz w:val="24"/>
          <w:szCs w:val="24"/>
        </w:rPr>
        <w:t xml:space="preserve">    （上述示例数据均采用假设数据计算，测算收益不等于实际收益，投资须谨慎）</w:t>
      </w:r>
    </w:p>
    <w:p w:rsidR="002F0EB6" w:rsidRPr="001A5621" w:rsidRDefault="002F0EB6" w:rsidP="001A5621">
      <w:pPr>
        <w:widowControl/>
        <w:jc w:val="left"/>
        <w:rPr>
          <w:rFonts w:ascii="楷体" w:eastAsia="楷体" w:hAnsi="楷体" w:cs="宋体"/>
          <w:b/>
          <w:bCs/>
          <w:color w:val="000000"/>
          <w:kern w:val="0"/>
          <w:sz w:val="24"/>
          <w:szCs w:val="24"/>
        </w:rPr>
      </w:pPr>
      <w:r w:rsidRPr="001A5621">
        <w:rPr>
          <w:rFonts w:ascii="楷体" w:eastAsia="楷体" w:hAnsi="楷体" w:cs="宋体" w:hint="eastAsia"/>
          <w:b/>
          <w:bCs/>
          <w:color w:val="000000"/>
          <w:kern w:val="0"/>
          <w:sz w:val="24"/>
          <w:szCs w:val="24"/>
        </w:rPr>
        <w:lastRenderedPageBreak/>
        <w:t>提前终止及到期清算</w:t>
      </w:r>
    </w:p>
    <w:p w:rsidR="002F0EB6" w:rsidRPr="001A5621" w:rsidRDefault="002F0EB6" w:rsidP="001A5621">
      <w:pPr>
        <w:widowControl/>
        <w:jc w:val="left"/>
        <w:rPr>
          <w:rFonts w:ascii="楷体" w:eastAsia="楷体" w:hAnsi="楷体" w:cs="宋体"/>
          <w:color w:val="000000"/>
          <w:kern w:val="0"/>
          <w:sz w:val="24"/>
          <w:szCs w:val="24"/>
        </w:rPr>
      </w:pPr>
      <w:r w:rsidRPr="001A5621">
        <w:rPr>
          <w:rFonts w:ascii="楷体" w:eastAsia="楷体" w:hAnsi="楷体" w:cs="宋体" w:hint="eastAsia"/>
          <w:color w:val="000000"/>
          <w:kern w:val="0"/>
          <w:sz w:val="24"/>
          <w:szCs w:val="24"/>
        </w:rPr>
        <w:t xml:space="preserve">    1、提前终止：本理财计划存续期内，投资者无提前终止权，不得提前赎回，广东南粤银行可提前终止本理财计划。在本理财计划销售期间，若</w:t>
      </w:r>
      <w:proofErr w:type="gramStart"/>
      <w:r w:rsidRPr="001A5621">
        <w:rPr>
          <w:rFonts w:ascii="楷体" w:eastAsia="楷体" w:hAnsi="楷体" w:cs="宋体" w:hint="eastAsia"/>
          <w:color w:val="000000"/>
          <w:kern w:val="0"/>
          <w:sz w:val="24"/>
          <w:szCs w:val="24"/>
        </w:rPr>
        <w:t>遇政策</w:t>
      </w:r>
      <w:proofErr w:type="gramEnd"/>
      <w:r w:rsidRPr="001A5621">
        <w:rPr>
          <w:rFonts w:ascii="楷体" w:eastAsia="楷体" w:hAnsi="楷体" w:cs="宋体" w:hint="eastAsia"/>
          <w:color w:val="000000"/>
          <w:kern w:val="0"/>
          <w:sz w:val="24"/>
          <w:szCs w:val="24"/>
        </w:rPr>
        <w:t>调整、市场变化致使预期收益率无法达到的情况下，广东南粤银行有权停止销售并退还本金，期间认购资金按同期活期利率计算利息。</w:t>
      </w:r>
    </w:p>
    <w:p w:rsidR="002F0EB6" w:rsidRPr="001A5621" w:rsidRDefault="002F0EB6" w:rsidP="001A5621">
      <w:pPr>
        <w:widowControl/>
        <w:jc w:val="left"/>
        <w:rPr>
          <w:rFonts w:ascii="楷体" w:eastAsia="楷体" w:hAnsi="楷体" w:cs="宋体"/>
          <w:color w:val="000000"/>
          <w:kern w:val="0"/>
          <w:sz w:val="24"/>
          <w:szCs w:val="24"/>
        </w:rPr>
      </w:pPr>
      <w:r w:rsidRPr="001A5621">
        <w:rPr>
          <w:rFonts w:ascii="楷体" w:eastAsia="楷体" w:hAnsi="楷体" w:cs="宋体" w:hint="eastAsia"/>
          <w:color w:val="000000"/>
          <w:kern w:val="0"/>
          <w:sz w:val="24"/>
          <w:szCs w:val="24"/>
        </w:rPr>
        <w:t xml:space="preserve">    2、到期清算日：2016年2月26日至2016年2月27日期间，逢假期顺延。适用假期：中国公众假期。清算期</w:t>
      </w:r>
      <w:proofErr w:type="gramStart"/>
      <w:r w:rsidRPr="001A5621">
        <w:rPr>
          <w:rFonts w:ascii="楷体" w:eastAsia="楷体" w:hAnsi="楷体" w:cs="宋体" w:hint="eastAsia"/>
          <w:color w:val="000000"/>
          <w:kern w:val="0"/>
          <w:sz w:val="24"/>
          <w:szCs w:val="24"/>
        </w:rPr>
        <w:t>内本理财</w:t>
      </w:r>
      <w:proofErr w:type="gramEnd"/>
      <w:r w:rsidRPr="001A5621">
        <w:rPr>
          <w:rFonts w:ascii="楷体" w:eastAsia="楷体" w:hAnsi="楷体" w:cs="宋体" w:hint="eastAsia"/>
          <w:color w:val="000000"/>
          <w:kern w:val="0"/>
          <w:sz w:val="24"/>
          <w:szCs w:val="24"/>
        </w:rPr>
        <w:t>计划不计息。</w:t>
      </w:r>
    </w:p>
    <w:p w:rsidR="002F0EB6" w:rsidRPr="001A5621" w:rsidRDefault="002F0EB6" w:rsidP="001A5621">
      <w:pPr>
        <w:widowControl/>
        <w:jc w:val="left"/>
        <w:rPr>
          <w:rFonts w:ascii="楷体" w:eastAsia="楷体" w:hAnsi="楷体" w:cs="宋体"/>
          <w:color w:val="000000"/>
          <w:kern w:val="0"/>
          <w:sz w:val="24"/>
          <w:szCs w:val="24"/>
        </w:rPr>
      </w:pPr>
    </w:p>
    <w:p w:rsidR="002F0EB6" w:rsidRPr="001A5621" w:rsidRDefault="002F0EB6" w:rsidP="001A5621">
      <w:pPr>
        <w:widowControl/>
        <w:jc w:val="left"/>
        <w:rPr>
          <w:rFonts w:ascii="楷体" w:eastAsia="楷体" w:hAnsi="楷体" w:cs="宋体"/>
          <w:b/>
          <w:bCs/>
          <w:color w:val="000000"/>
          <w:kern w:val="0"/>
          <w:sz w:val="24"/>
          <w:szCs w:val="24"/>
        </w:rPr>
      </w:pPr>
      <w:r w:rsidRPr="001A5621">
        <w:rPr>
          <w:rFonts w:ascii="楷体" w:eastAsia="楷体" w:hAnsi="楷体" w:cs="宋体" w:hint="eastAsia"/>
          <w:b/>
          <w:bCs/>
          <w:color w:val="000000"/>
          <w:kern w:val="0"/>
          <w:sz w:val="24"/>
          <w:szCs w:val="24"/>
        </w:rPr>
        <w:t>信息披露及投诉方式</w:t>
      </w:r>
    </w:p>
    <w:p w:rsidR="002F0EB6" w:rsidRPr="001A5621" w:rsidRDefault="002F0EB6" w:rsidP="001A5621">
      <w:pPr>
        <w:widowControl/>
        <w:jc w:val="left"/>
        <w:rPr>
          <w:rFonts w:ascii="楷体" w:eastAsia="楷体" w:hAnsi="楷体" w:cs="宋体"/>
          <w:color w:val="000000"/>
          <w:kern w:val="0"/>
          <w:sz w:val="24"/>
          <w:szCs w:val="24"/>
        </w:rPr>
      </w:pPr>
      <w:r w:rsidRPr="001A5621">
        <w:rPr>
          <w:rFonts w:ascii="楷体" w:eastAsia="楷体" w:hAnsi="楷体" w:cs="宋体" w:hint="eastAsia"/>
          <w:color w:val="000000"/>
          <w:kern w:val="0"/>
          <w:sz w:val="24"/>
          <w:szCs w:val="24"/>
        </w:rPr>
        <w:t xml:space="preserve">    1、信息披露：广东南粤银行不单独为投资者提供本理财计划的有关资产变动、收入和费用、期末资产估值等情况的账单。广东南粤银行在到期日前1天内公布本理财计划的相关信息，投资者可到广东南粤银行各营业网点或致电广东南粤银行客户服务热线（4000－961818）或登陆广东南粤银行网站: http://www.gdnybank.com进行查询。</w:t>
      </w:r>
    </w:p>
    <w:p w:rsidR="002F0EB6" w:rsidRPr="001A5621" w:rsidRDefault="002F0EB6" w:rsidP="001A5621">
      <w:pPr>
        <w:widowControl/>
        <w:jc w:val="left"/>
        <w:rPr>
          <w:rFonts w:ascii="楷体" w:eastAsia="楷体" w:hAnsi="楷体" w:cs="宋体"/>
          <w:color w:val="000000"/>
          <w:kern w:val="0"/>
          <w:sz w:val="24"/>
          <w:szCs w:val="24"/>
        </w:rPr>
      </w:pPr>
      <w:r w:rsidRPr="001A5621">
        <w:rPr>
          <w:rFonts w:ascii="楷体" w:eastAsia="楷体" w:hAnsi="楷体" w:cs="宋体" w:hint="eastAsia"/>
          <w:color w:val="000000"/>
          <w:kern w:val="0"/>
          <w:sz w:val="24"/>
          <w:szCs w:val="24"/>
        </w:rPr>
        <w:t xml:space="preserve">    2、如本理财计划发生提前终止，广东南粤银行将于实际终止清算日的前1个工作日在各营业网点发布相关信息公告。</w:t>
      </w:r>
    </w:p>
    <w:p w:rsidR="002F0EB6" w:rsidRPr="001A5621" w:rsidRDefault="002F0EB6" w:rsidP="001A5621">
      <w:pPr>
        <w:widowControl/>
        <w:jc w:val="left"/>
        <w:rPr>
          <w:rFonts w:ascii="楷体" w:eastAsia="楷体" w:hAnsi="楷体" w:cs="宋体"/>
          <w:color w:val="000000"/>
          <w:kern w:val="0"/>
          <w:sz w:val="24"/>
          <w:szCs w:val="24"/>
        </w:rPr>
      </w:pPr>
      <w:r w:rsidRPr="001A5621">
        <w:rPr>
          <w:rFonts w:ascii="楷体" w:eastAsia="楷体" w:hAnsi="楷体" w:cs="宋体" w:hint="eastAsia"/>
          <w:color w:val="000000"/>
          <w:kern w:val="0"/>
          <w:sz w:val="24"/>
          <w:szCs w:val="24"/>
        </w:rPr>
        <w:t xml:space="preserve">    3、投资者对本理财计划有任何异议或意见，可联系广东南粤银行各营业网点或致电广东南粤银行统一客户服务热线（4000－961818）。</w:t>
      </w:r>
    </w:p>
    <w:p w:rsidR="002F0EB6" w:rsidRPr="001A5621" w:rsidRDefault="002F0EB6" w:rsidP="001A5621">
      <w:pPr>
        <w:widowControl/>
        <w:jc w:val="left"/>
        <w:rPr>
          <w:rFonts w:ascii="楷体" w:eastAsia="楷体" w:hAnsi="楷体" w:cs="宋体"/>
          <w:color w:val="000000"/>
          <w:kern w:val="0"/>
          <w:sz w:val="24"/>
          <w:szCs w:val="24"/>
        </w:rPr>
      </w:pPr>
    </w:p>
    <w:p w:rsidR="002F0EB6" w:rsidRPr="001A5621" w:rsidRDefault="002F0EB6" w:rsidP="001A5621">
      <w:pPr>
        <w:widowControl/>
        <w:jc w:val="right"/>
        <w:rPr>
          <w:rFonts w:ascii="楷体" w:eastAsia="楷体" w:hAnsi="楷体" w:cs="宋体"/>
          <w:color w:val="000000"/>
          <w:kern w:val="0"/>
          <w:sz w:val="24"/>
          <w:szCs w:val="24"/>
        </w:rPr>
      </w:pPr>
      <w:r w:rsidRPr="001A5621">
        <w:rPr>
          <w:rFonts w:ascii="楷体" w:eastAsia="楷体" w:hAnsi="楷体" w:cs="宋体" w:hint="eastAsia"/>
          <w:color w:val="000000"/>
          <w:kern w:val="0"/>
          <w:sz w:val="24"/>
          <w:szCs w:val="24"/>
        </w:rPr>
        <w:t>广东南粤银行股份有限公司</w:t>
      </w:r>
    </w:p>
    <w:p w:rsidR="00472756" w:rsidRPr="001A5621" w:rsidRDefault="00472756" w:rsidP="001A5621"/>
    <w:sectPr w:rsidR="00472756" w:rsidRPr="001A5621" w:rsidSect="00902538">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6248" w:rsidRDefault="00456248" w:rsidP="000252B5">
      <w:r>
        <w:separator/>
      </w:r>
    </w:p>
  </w:endnote>
  <w:endnote w:type="continuationSeparator" w:id="0">
    <w:p w:rsidR="00456248" w:rsidRDefault="00456248" w:rsidP="00025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0603065"/>
      <w:docPartObj>
        <w:docPartGallery w:val="Page Numbers (Bottom of Page)"/>
        <w:docPartUnique/>
      </w:docPartObj>
    </w:sdtPr>
    <w:sdtContent>
      <w:p w:rsidR="000252B5" w:rsidRDefault="000252B5">
        <w:pPr>
          <w:pStyle w:val="a4"/>
          <w:jc w:val="center"/>
        </w:pPr>
        <w:r>
          <w:fldChar w:fldCharType="begin"/>
        </w:r>
        <w:r>
          <w:instrText>PAGE   \* MERGEFORMAT</w:instrText>
        </w:r>
        <w:r>
          <w:fldChar w:fldCharType="separate"/>
        </w:r>
        <w:r w:rsidR="002F0EB6" w:rsidRPr="002F0EB6">
          <w:rPr>
            <w:noProof/>
            <w:lang w:val="zh-CN"/>
          </w:rPr>
          <w:t>4</w:t>
        </w:r>
        <w:r>
          <w:fldChar w:fldCharType="end"/>
        </w:r>
      </w:p>
    </w:sdtContent>
  </w:sdt>
  <w:p w:rsidR="000252B5" w:rsidRDefault="000252B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6248" w:rsidRDefault="00456248" w:rsidP="000252B5">
      <w:r>
        <w:separator/>
      </w:r>
    </w:p>
  </w:footnote>
  <w:footnote w:type="continuationSeparator" w:id="0">
    <w:p w:rsidR="00456248" w:rsidRDefault="00456248" w:rsidP="000252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2B5"/>
    <w:rsid w:val="000252B5"/>
    <w:rsid w:val="000422FD"/>
    <w:rsid w:val="00115FBA"/>
    <w:rsid w:val="00196C71"/>
    <w:rsid w:val="001A5621"/>
    <w:rsid w:val="001C7EEB"/>
    <w:rsid w:val="001D0E83"/>
    <w:rsid w:val="002813C0"/>
    <w:rsid w:val="002C7217"/>
    <w:rsid w:val="002F0EB6"/>
    <w:rsid w:val="003526D8"/>
    <w:rsid w:val="00355566"/>
    <w:rsid w:val="00451C79"/>
    <w:rsid w:val="00456248"/>
    <w:rsid w:val="00472756"/>
    <w:rsid w:val="0058296D"/>
    <w:rsid w:val="005E4CC8"/>
    <w:rsid w:val="0062403C"/>
    <w:rsid w:val="00682190"/>
    <w:rsid w:val="00707456"/>
    <w:rsid w:val="00726BEC"/>
    <w:rsid w:val="007528C1"/>
    <w:rsid w:val="00866668"/>
    <w:rsid w:val="00902538"/>
    <w:rsid w:val="00A054AF"/>
    <w:rsid w:val="00A741A6"/>
    <w:rsid w:val="00AA599C"/>
    <w:rsid w:val="00B53C63"/>
    <w:rsid w:val="00C435CA"/>
    <w:rsid w:val="00C65D2F"/>
    <w:rsid w:val="00CC0E7D"/>
    <w:rsid w:val="00D03C0C"/>
    <w:rsid w:val="00D576CF"/>
    <w:rsid w:val="00D974CA"/>
    <w:rsid w:val="00E00F35"/>
    <w:rsid w:val="00E8620B"/>
    <w:rsid w:val="00EA7F96"/>
    <w:rsid w:val="00F762FC"/>
    <w:rsid w:val="00FF70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252B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252B5"/>
    <w:rPr>
      <w:sz w:val="18"/>
      <w:szCs w:val="18"/>
    </w:rPr>
  </w:style>
  <w:style w:type="paragraph" w:styleId="a4">
    <w:name w:val="footer"/>
    <w:basedOn w:val="a"/>
    <w:link w:val="Char0"/>
    <w:uiPriority w:val="99"/>
    <w:unhideWhenUsed/>
    <w:rsid w:val="000252B5"/>
    <w:pPr>
      <w:tabs>
        <w:tab w:val="center" w:pos="4153"/>
        <w:tab w:val="right" w:pos="8306"/>
      </w:tabs>
      <w:snapToGrid w:val="0"/>
      <w:jc w:val="left"/>
    </w:pPr>
    <w:rPr>
      <w:sz w:val="18"/>
      <w:szCs w:val="18"/>
    </w:rPr>
  </w:style>
  <w:style w:type="character" w:customStyle="1" w:styleId="Char0">
    <w:name w:val="页脚 Char"/>
    <w:basedOn w:val="a0"/>
    <w:link w:val="a4"/>
    <w:uiPriority w:val="99"/>
    <w:rsid w:val="000252B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252B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252B5"/>
    <w:rPr>
      <w:sz w:val="18"/>
      <w:szCs w:val="18"/>
    </w:rPr>
  </w:style>
  <w:style w:type="paragraph" w:styleId="a4">
    <w:name w:val="footer"/>
    <w:basedOn w:val="a"/>
    <w:link w:val="Char0"/>
    <w:uiPriority w:val="99"/>
    <w:unhideWhenUsed/>
    <w:rsid w:val="000252B5"/>
    <w:pPr>
      <w:tabs>
        <w:tab w:val="center" w:pos="4153"/>
        <w:tab w:val="right" w:pos="8306"/>
      </w:tabs>
      <w:snapToGrid w:val="0"/>
      <w:jc w:val="left"/>
    </w:pPr>
    <w:rPr>
      <w:sz w:val="18"/>
      <w:szCs w:val="18"/>
    </w:rPr>
  </w:style>
  <w:style w:type="character" w:customStyle="1" w:styleId="Char0">
    <w:name w:val="页脚 Char"/>
    <w:basedOn w:val="a0"/>
    <w:link w:val="a4"/>
    <w:uiPriority w:val="99"/>
    <w:rsid w:val="000252B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712191">
      <w:bodyDiv w:val="1"/>
      <w:marLeft w:val="0"/>
      <w:marRight w:val="0"/>
      <w:marTop w:val="0"/>
      <w:marBottom w:val="0"/>
      <w:divBdr>
        <w:top w:val="none" w:sz="0" w:space="0" w:color="auto"/>
        <w:left w:val="none" w:sz="0" w:space="0" w:color="auto"/>
        <w:bottom w:val="none" w:sz="0" w:space="0" w:color="auto"/>
        <w:right w:val="none" w:sz="0" w:space="0" w:color="auto"/>
      </w:divBdr>
    </w:div>
    <w:div w:id="474026302">
      <w:bodyDiv w:val="1"/>
      <w:marLeft w:val="0"/>
      <w:marRight w:val="0"/>
      <w:marTop w:val="0"/>
      <w:marBottom w:val="0"/>
      <w:divBdr>
        <w:top w:val="none" w:sz="0" w:space="0" w:color="auto"/>
        <w:left w:val="none" w:sz="0" w:space="0" w:color="auto"/>
        <w:bottom w:val="none" w:sz="0" w:space="0" w:color="auto"/>
        <w:right w:val="none" w:sz="0" w:space="0" w:color="auto"/>
      </w:divBdr>
    </w:div>
    <w:div w:id="493228719">
      <w:bodyDiv w:val="1"/>
      <w:marLeft w:val="0"/>
      <w:marRight w:val="0"/>
      <w:marTop w:val="0"/>
      <w:marBottom w:val="0"/>
      <w:divBdr>
        <w:top w:val="none" w:sz="0" w:space="0" w:color="auto"/>
        <w:left w:val="none" w:sz="0" w:space="0" w:color="auto"/>
        <w:bottom w:val="none" w:sz="0" w:space="0" w:color="auto"/>
        <w:right w:val="none" w:sz="0" w:space="0" w:color="auto"/>
      </w:divBdr>
    </w:div>
    <w:div w:id="636449834">
      <w:bodyDiv w:val="1"/>
      <w:marLeft w:val="0"/>
      <w:marRight w:val="0"/>
      <w:marTop w:val="0"/>
      <w:marBottom w:val="0"/>
      <w:divBdr>
        <w:top w:val="none" w:sz="0" w:space="0" w:color="auto"/>
        <w:left w:val="none" w:sz="0" w:space="0" w:color="auto"/>
        <w:bottom w:val="none" w:sz="0" w:space="0" w:color="auto"/>
        <w:right w:val="none" w:sz="0" w:space="0" w:color="auto"/>
      </w:divBdr>
    </w:div>
    <w:div w:id="894244877">
      <w:bodyDiv w:val="1"/>
      <w:marLeft w:val="0"/>
      <w:marRight w:val="0"/>
      <w:marTop w:val="0"/>
      <w:marBottom w:val="0"/>
      <w:divBdr>
        <w:top w:val="none" w:sz="0" w:space="0" w:color="auto"/>
        <w:left w:val="none" w:sz="0" w:space="0" w:color="auto"/>
        <w:bottom w:val="none" w:sz="0" w:space="0" w:color="auto"/>
        <w:right w:val="none" w:sz="0" w:space="0" w:color="auto"/>
      </w:divBdr>
    </w:div>
    <w:div w:id="1524514185">
      <w:bodyDiv w:val="1"/>
      <w:marLeft w:val="0"/>
      <w:marRight w:val="0"/>
      <w:marTop w:val="0"/>
      <w:marBottom w:val="0"/>
      <w:divBdr>
        <w:top w:val="none" w:sz="0" w:space="0" w:color="auto"/>
        <w:left w:val="none" w:sz="0" w:space="0" w:color="auto"/>
        <w:bottom w:val="none" w:sz="0" w:space="0" w:color="auto"/>
        <w:right w:val="none" w:sz="0" w:space="0" w:color="auto"/>
      </w:divBdr>
    </w:div>
    <w:div w:id="1603369466">
      <w:bodyDiv w:val="1"/>
      <w:marLeft w:val="0"/>
      <w:marRight w:val="0"/>
      <w:marTop w:val="0"/>
      <w:marBottom w:val="0"/>
      <w:divBdr>
        <w:top w:val="none" w:sz="0" w:space="0" w:color="auto"/>
        <w:left w:val="none" w:sz="0" w:space="0" w:color="auto"/>
        <w:bottom w:val="none" w:sz="0" w:space="0" w:color="auto"/>
        <w:right w:val="none" w:sz="0" w:space="0" w:color="auto"/>
      </w:divBdr>
    </w:div>
    <w:div w:id="1830748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551</Words>
  <Characters>3146</Characters>
  <Application>Microsoft Office Word</Application>
  <DocSecurity>0</DocSecurity>
  <Lines>26</Lines>
  <Paragraphs>7</Paragraphs>
  <ScaleCrop>false</ScaleCrop>
  <Company>china</Company>
  <LinksUpToDate>false</LinksUpToDate>
  <CharactersWithSpaces>3690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2015-10-12T09:47:00Z</dcterms:created>
  <dcterms:modified xsi:type="dcterms:W3CDTF">2015-10-12T09:47:00Z</dcterms:modified>
</cp:coreProperties>
</file>