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80" w:type="dxa"/>
        <w:tblInd w:w="108" w:type="dxa"/>
        <w:tblLook w:val="04A0"/>
      </w:tblPr>
      <w:tblGrid>
        <w:gridCol w:w="847"/>
        <w:gridCol w:w="1557"/>
        <w:gridCol w:w="1757"/>
        <w:gridCol w:w="1929"/>
        <w:gridCol w:w="2390"/>
      </w:tblGrid>
      <w:tr w:rsidR="006B4C70" w:rsidRPr="006B4C70" w:rsidTr="006B4C70">
        <w:trPr>
          <w:trHeight w:val="99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center"/>
              <w:rPr>
                <w:rFonts w:ascii="Courier New" w:eastAsia="宋体" w:hAnsi="Courier New" w:cs="宋体"/>
                <w:b/>
                <w:bCs/>
                <w:kern w:val="0"/>
                <w:sz w:val="36"/>
                <w:szCs w:val="36"/>
              </w:rPr>
            </w:pPr>
            <w:r w:rsidRPr="006B4C70">
              <w:rPr>
                <w:rFonts w:ascii="Courier New" w:eastAsia="宋体" w:hAnsi="Courier New" w:cs="宋体"/>
                <w:b/>
                <w:bCs/>
                <w:kern w:val="0"/>
                <w:sz w:val="36"/>
                <w:szCs w:val="36"/>
              </w:rPr>
              <w:t>“</w:t>
            </w:r>
            <w:r w:rsidRPr="006B4C70">
              <w:rPr>
                <w:rFonts w:ascii="Courier New" w:eastAsia="宋体" w:hAnsi="Courier New" w:cs="宋体"/>
                <w:b/>
                <w:bCs/>
                <w:kern w:val="0"/>
                <w:sz w:val="36"/>
                <w:szCs w:val="36"/>
              </w:rPr>
              <w:t>宝盈理财</w:t>
            </w:r>
            <w:r w:rsidRPr="006B4C70">
              <w:rPr>
                <w:rFonts w:ascii="Courier New" w:eastAsia="宋体" w:hAnsi="Courier New" w:cs="宋体"/>
                <w:b/>
                <w:bCs/>
                <w:kern w:val="0"/>
                <w:sz w:val="36"/>
                <w:szCs w:val="36"/>
              </w:rPr>
              <w:t>”</w:t>
            </w:r>
            <w:r w:rsidRPr="006B4C70">
              <w:rPr>
                <w:rFonts w:ascii="Courier New" w:eastAsia="宋体" w:hAnsi="Courier New" w:cs="宋体"/>
                <w:b/>
                <w:bCs/>
                <w:kern w:val="0"/>
                <w:sz w:val="36"/>
                <w:szCs w:val="36"/>
              </w:rPr>
              <w:t>卓越</w:t>
            </w:r>
            <w:r w:rsidRPr="006B4C70">
              <w:rPr>
                <w:rFonts w:ascii="Courier New" w:eastAsia="宋体" w:hAnsi="Courier New" w:cs="宋体"/>
                <w:b/>
                <w:bCs/>
                <w:kern w:val="0"/>
                <w:sz w:val="36"/>
                <w:szCs w:val="36"/>
              </w:rPr>
              <w:t>789</w:t>
            </w:r>
            <w:r w:rsidRPr="006B4C70">
              <w:rPr>
                <w:rFonts w:ascii="Courier New" w:eastAsia="宋体" w:hAnsi="Courier New" w:cs="宋体"/>
                <w:b/>
                <w:bCs/>
                <w:kern w:val="0"/>
                <w:sz w:val="36"/>
                <w:szCs w:val="36"/>
              </w:rPr>
              <w:t>号人民币理财产品说明书</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客户须知</w:t>
            </w:r>
          </w:p>
        </w:tc>
      </w:tr>
      <w:tr w:rsidR="006B4C70" w:rsidRPr="006B4C70" w:rsidTr="006B4C70">
        <w:trPr>
          <w:trHeight w:val="103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tc>
      </w:tr>
      <w:tr w:rsidR="006B4C70" w:rsidRPr="006B4C70" w:rsidTr="006B4C70">
        <w:trPr>
          <w:trHeight w:val="103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tc>
      </w:tr>
      <w:tr w:rsidR="006B4C70" w:rsidRPr="006B4C70" w:rsidTr="006B4C70">
        <w:trPr>
          <w:trHeight w:val="57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本说明书所引用的资料及数据仅供投资者参考，均不构成对投资者的推荐和承诺。</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本说明书所有条款解释权归广东南粤银行股份有限公司所有。</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产品定义</w:t>
            </w:r>
          </w:p>
        </w:tc>
      </w:tr>
      <w:tr w:rsidR="006B4C70" w:rsidRPr="006B4C70" w:rsidTr="006B4C70">
        <w:trPr>
          <w:trHeight w:val="66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本产品是指投资人将人民币资金存放在我行，并委托我行进行资金运作的理财产品。</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产品概述</w:t>
            </w:r>
          </w:p>
        </w:tc>
      </w:tr>
      <w:tr w:rsidR="006B4C70" w:rsidRPr="006B4C70" w:rsidTr="006B4C70">
        <w:trPr>
          <w:trHeight w:val="285"/>
        </w:trPr>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产品名称</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“宝盈理财”卓越789号人民币理财产品</w:t>
            </w:r>
          </w:p>
        </w:tc>
      </w:tr>
      <w:tr w:rsidR="006B4C70" w:rsidRPr="006B4C70" w:rsidTr="006B4C70">
        <w:trPr>
          <w:trHeight w:val="285"/>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代码：GDNY_ZY_789</w:t>
            </w:r>
          </w:p>
        </w:tc>
      </w:tr>
      <w:tr w:rsidR="006B4C70" w:rsidRPr="006B4C70" w:rsidTr="006B4C70">
        <w:trPr>
          <w:trHeight w:val="285"/>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发行登记号：C1083015000401</w:t>
            </w:r>
          </w:p>
        </w:tc>
      </w:tr>
      <w:tr w:rsidR="006B4C70" w:rsidRPr="006B4C70" w:rsidTr="006B4C70">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目标客户</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经我行风险评估，评定为稳健型、平衡型、成长型、进取型个人及机构客户。</w:t>
            </w:r>
          </w:p>
        </w:tc>
      </w:tr>
      <w:tr w:rsidR="006B4C70" w:rsidRPr="006B4C70" w:rsidTr="006B4C70">
        <w:trPr>
          <w:trHeight w:val="45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购买方式</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通过广东南粤银行各营业网点或广东南粤银行网银认购</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期限</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364天</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投资及收益币种</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人民币</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产品类型</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非保本浮动收益型</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发行规模</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E956B8" w:rsidP="006B4C70">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以实际募集金额为准</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募集期</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2015年9月23日至2015年9月28日</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起始日</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2015年9月29日。理财产品自起始日起息。</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到期日</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2016年9月27日</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产品到期资金到账日</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到期日后2个工作日内</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理财资金托管行</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中国邮政储蓄银行</w:t>
            </w:r>
          </w:p>
        </w:tc>
      </w:tr>
      <w:tr w:rsidR="006B4C70" w:rsidRPr="006B4C70" w:rsidTr="006B4C70">
        <w:trPr>
          <w:trHeight w:val="416"/>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资金投向</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w:t>
            </w:r>
            <w:r w:rsidRPr="006B4C70">
              <w:rPr>
                <w:rFonts w:ascii="楷体" w:eastAsia="楷体" w:hAnsi="楷体" w:cs="宋体" w:hint="eastAsia"/>
                <w:color w:val="000000"/>
                <w:kern w:val="0"/>
                <w:sz w:val="24"/>
                <w:szCs w:val="24"/>
              </w:rPr>
              <w:lastRenderedPageBreak/>
              <w:t>最大化为原则尽快使投资比例恢复至上述规定区间）。</w:t>
            </w:r>
          </w:p>
        </w:tc>
      </w:tr>
      <w:tr w:rsidR="006B4C70" w:rsidRPr="006B4C70" w:rsidTr="006B4C70">
        <w:trPr>
          <w:trHeight w:val="6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lastRenderedPageBreak/>
              <w:t>参考年化收益率</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E956B8">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个人客户：5万-30万：5.4%；30万（含）-3000万：5.45%；</w:t>
            </w:r>
            <w:r w:rsidRPr="006B4C70">
              <w:rPr>
                <w:rFonts w:ascii="楷体" w:eastAsia="楷体" w:hAnsi="楷体" w:cs="宋体" w:hint="eastAsia"/>
                <w:color w:val="000000"/>
                <w:kern w:val="0"/>
                <w:sz w:val="24"/>
                <w:szCs w:val="24"/>
              </w:rPr>
              <w:br/>
              <w:t>机构客户：50万-</w:t>
            </w:r>
            <w:r w:rsidR="00E956B8">
              <w:rPr>
                <w:rFonts w:ascii="楷体" w:eastAsia="楷体" w:hAnsi="楷体" w:cs="宋体" w:hint="eastAsia"/>
                <w:color w:val="000000"/>
                <w:kern w:val="0"/>
                <w:sz w:val="24"/>
                <w:szCs w:val="24"/>
              </w:rPr>
              <w:t>6</w:t>
            </w:r>
            <w:r w:rsidRPr="006B4C70">
              <w:rPr>
                <w:rFonts w:ascii="楷体" w:eastAsia="楷体" w:hAnsi="楷体" w:cs="宋体" w:hint="eastAsia"/>
                <w:color w:val="000000"/>
                <w:kern w:val="0"/>
                <w:sz w:val="24"/>
                <w:szCs w:val="24"/>
              </w:rPr>
              <w:t>00万：5.4%；</w:t>
            </w:r>
          </w:p>
        </w:tc>
      </w:tr>
      <w:tr w:rsidR="006B4C70" w:rsidRPr="006B4C70" w:rsidTr="006B4C70">
        <w:trPr>
          <w:trHeight w:val="202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收益率测算</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6B4C70" w:rsidRPr="006B4C70" w:rsidTr="006B4C70">
        <w:trPr>
          <w:trHeight w:val="8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认购起点金额</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E956B8">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个人客户5万元起，以1万元整数倍递增，最高不超过3000万元；</w:t>
            </w:r>
            <w:r w:rsidRPr="006B4C70">
              <w:rPr>
                <w:rFonts w:ascii="楷体" w:eastAsia="楷体" w:hAnsi="楷体" w:cs="宋体" w:hint="eastAsia"/>
                <w:color w:val="000000"/>
                <w:kern w:val="0"/>
                <w:sz w:val="24"/>
                <w:szCs w:val="24"/>
              </w:rPr>
              <w:br/>
              <w:t>机构客户50万元起，以1万元整数倍递增，最高不超过</w:t>
            </w:r>
            <w:r w:rsidR="00E956B8">
              <w:rPr>
                <w:rFonts w:ascii="楷体" w:eastAsia="楷体" w:hAnsi="楷体" w:cs="宋体" w:hint="eastAsia"/>
                <w:color w:val="000000"/>
                <w:kern w:val="0"/>
                <w:sz w:val="24"/>
                <w:szCs w:val="24"/>
              </w:rPr>
              <w:t>6</w:t>
            </w:r>
            <w:r w:rsidRPr="006B4C70">
              <w:rPr>
                <w:rFonts w:ascii="楷体" w:eastAsia="楷体" w:hAnsi="楷体" w:cs="宋体" w:hint="eastAsia"/>
                <w:color w:val="000000"/>
                <w:kern w:val="0"/>
                <w:sz w:val="24"/>
                <w:szCs w:val="24"/>
              </w:rPr>
              <w:t>00万元</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收益计算方法</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期末收益＝投资本金×实际收益率×实际理财天数/365</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提前终止权</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客户无权提前终止该产品</w:t>
            </w:r>
          </w:p>
        </w:tc>
      </w:tr>
      <w:tr w:rsidR="006B4C70" w:rsidRPr="006B4C70" w:rsidTr="006B4C70">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税务处理</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我行不代扣代缴，但法律、法规另有规定除外</w:t>
            </w:r>
          </w:p>
        </w:tc>
      </w:tr>
      <w:tr w:rsidR="006B4C70" w:rsidRPr="006B4C70" w:rsidTr="006B4C70">
        <w:trPr>
          <w:trHeight w:val="285"/>
        </w:trPr>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其他规定</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1、到期日至到账日之间，客户资金不计利息</w:t>
            </w:r>
          </w:p>
        </w:tc>
      </w:tr>
      <w:tr w:rsidR="006B4C70" w:rsidRPr="006B4C70" w:rsidTr="006B4C70">
        <w:trPr>
          <w:trHeight w:val="1305"/>
        </w:trPr>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r w:rsidR="006B4C70" w:rsidRPr="006B4C70" w:rsidTr="006B4C70">
        <w:trPr>
          <w:trHeight w:val="540"/>
        </w:trPr>
        <w:tc>
          <w:tcPr>
            <w:tcW w:w="8480" w:type="dxa"/>
            <w:gridSpan w:val="5"/>
            <w:tcBorders>
              <w:top w:val="single" w:sz="4" w:space="0" w:color="auto"/>
              <w:left w:val="nil"/>
              <w:bottom w:val="nil"/>
              <w:right w:val="nil"/>
            </w:tcBorders>
            <w:shd w:val="clear" w:color="auto" w:fill="auto"/>
            <w:vAlign w:val="bottom"/>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风险提示</w:t>
            </w:r>
          </w:p>
        </w:tc>
      </w:tr>
      <w:tr w:rsidR="006B4C70" w:rsidRPr="006B4C70" w:rsidTr="006B4C70">
        <w:trPr>
          <w:trHeight w:val="115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tc>
      </w:tr>
      <w:tr w:rsidR="006B4C70" w:rsidRPr="006B4C70" w:rsidTr="006B4C70">
        <w:trPr>
          <w:trHeight w:val="124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tc>
      </w:tr>
      <w:tr w:rsidR="006B4C70" w:rsidRPr="006B4C70" w:rsidTr="006B4C70">
        <w:trPr>
          <w:trHeight w:val="72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6B4C70" w:rsidRPr="006B4C70" w:rsidTr="006B4C70">
        <w:trPr>
          <w:trHeight w:val="87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B4C70">
              <w:rPr>
                <w:rFonts w:ascii="楷体" w:eastAsia="楷体" w:hAnsi="楷体" w:cs="宋体" w:hint="eastAsia"/>
                <w:kern w:val="0"/>
                <w:sz w:val="24"/>
                <w:szCs w:val="24"/>
              </w:rPr>
              <w:t>会上下波动，影响理财产品收益。</w:t>
            </w:r>
          </w:p>
        </w:tc>
      </w:tr>
      <w:tr w:rsidR="006B4C70" w:rsidRPr="006B4C70" w:rsidTr="006B4C70">
        <w:trPr>
          <w:trHeight w:val="106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tc>
      </w:tr>
      <w:tr w:rsidR="006B4C70" w:rsidRPr="006B4C70" w:rsidTr="006B4C70">
        <w:trPr>
          <w:trHeight w:val="87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lastRenderedPageBreak/>
              <w:t xml:space="preserve">    5、政策风险：本理财产品根据当前相关法律法规和政策设计，如国家宏观政策及市场相关法律法规发生变化，可能影响理财产品的受理、投资、偿还等正常进行，甚至导致本理财收益降低。</w:t>
            </w:r>
          </w:p>
        </w:tc>
      </w:tr>
      <w:tr w:rsidR="006B4C70" w:rsidRPr="006B4C70" w:rsidTr="006B4C70">
        <w:trPr>
          <w:trHeight w:val="8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tc>
      </w:tr>
      <w:tr w:rsidR="006B4C70" w:rsidRPr="006B4C70" w:rsidTr="006B4C70">
        <w:trPr>
          <w:trHeight w:val="202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tc>
      </w:tr>
      <w:tr w:rsidR="006B4C70" w:rsidRPr="006B4C70" w:rsidTr="006B4C70">
        <w:trPr>
          <w:trHeight w:val="48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center"/>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（请投资者仔细阅读本产品说明书首页的风险提示）</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本理财产品风险评级：R2</w:t>
            </w:r>
          </w:p>
        </w:tc>
      </w:tr>
      <w:tr w:rsidR="006B4C70" w:rsidRPr="006B4C70" w:rsidTr="006B4C7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本理财产品内部风险评级为：R2</w:t>
            </w:r>
          </w:p>
        </w:tc>
      </w:tr>
      <w:tr w:rsidR="006B4C70" w:rsidRPr="006B4C70" w:rsidTr="006B4C7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适合投资策略</w:t>
            </w:r>
          </w:p>
        </w:tc>
      </w:tr>
      <w:tr w:rsidR="006B4C70" w:rsidRPr="006B4C70" w:rsidTr="006B4C7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风险控制</w:t>
            </w:r>
          </w:p>
        </w:tc>
      </w:tr>
      <w:tr w:rsidR="006B4C70" w:rsidRPr="006B4C70" w:rsidTr="006B4C7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稳健发展</w:t>
            </w:r>
          </w:p>
        </w:tc>
      </w:tr>
      <w:tr w:rsidR="006B4C70" w:rsidRPr="006B4C70" w:rsidTr="006B4C7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均衡成长</w:t>
            </w:r>
          </w:p>
        </w:tc>
      </w:tr>
      <w:tr w:rsidR="006B4C70" w:rsidRPr="006B4C70" w:rsidTr="006B4C7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积极进取</w:t>
            </w:r>
          </w:p>
        </w:tc>
      </w:tr>
      <w:tr w:rsidR="006B4C70" w:rsidRPr="006B4C70" w:rsidTr="006B4C7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B4C70" w:rsidRPr="006B4C70" w:rsidRDefault="006B4C70" w:rsidP="006B4C7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6B4C70" w:rsidRPr="006B4C70" w:rsidRDefault="006B4C70" w:rsidP="006B4C70">
            <w:pPr>
              <w:widowControl/>
              <w:jc w:val="center"/>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风险承受</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（本评级为广东南粤银行股份有限公司内部评级，仅供参考）</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理财本金与收益测算</w:t>
            </w:r>
          </w:p>
        </w:tc>
      </w:tr>
      <w:tr w:rsidR="006B4C70" w:rsidRPr="006B4C70" w:rsidTr="006B4C70">
        <w:trPr>
          <w:trHeight w:val="5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1、理财计划本金与收益率测算</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（1）收益测算公式：</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本产品收益＝投资收益—投资相关成本</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理财产品到期支付款项=理财产品本金+本产品收益</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（2）收益测算说明：</w:t>
            </w:r>
          </w:p>
        </w:tc>
      </w:tr>
      <w:tr w:rsidR="006B4C70" w:rsidRPr="006B4C70" w:rsidTr="006B4C70">
        <w:trPr>
          <w:trHeight w:val="70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tc>
      </w:tr>
      <w:tr w:rsidR="006B4C70" w:rsidRPr="006B4C70" w:rsidTr="006B4C70">
        <w:trPr>
          <w:trHeight w:val="36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投资者到期收到款项按四舍五入法保留两位小数。</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2、投资者所得收益说明:</w:t>
            </w:r>
            <w:r w:rsidRPr="006B4C70">
              <w:rPr>
                <w:rFonts w:ascii="楷体" w:eastAsia="楷体" w:hAnsi="楷体" w:cs="宋体" w:hint="eastAsia"/>
                <w:color w:val="FF0000"/>
                <w:kern w:val="0"/>
                <w:sz w:val="24"/>
                <w:szCs w:val="24"/>
              </w:rPr>
              <w:t xml:space="preserve"> </w:t>
            </w:r>
          </w:p>
        </w:tc>
      </w:tr>
      <w:tr w:rsidR="006B4C70" w:rsidRPr="006B4C70" w:rsidTr="006B4C70">
        <w:trPr>
          <w:trHeight w:val="112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w:t>
            </w:r>
            <w:r w:rsidRPr="006B4C70">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计算公式：</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投资者理财收益=理财本金×投资者到期年化收益率×实际理财天数/365</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（2）计算示例： </w:t>
            </w:r>
          </w:p>
        </w:tc>
      </w:tr>
      <w:tr w:rsidR="006B4C70" w:rsidRPr="006B4C70" w:rsidTr="006B4C70">
        <w:trPr>
          <w:trHeight w:val="69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lastRenderedPageBreak/>
              <w:t xml:space="preserve">    假设客户理财本金为50,000元，对应档次的预期最高年化参考收益率为5.4%，实际理财天数364天，</w:t>
            </w:r>
          </w:p>
        </w:tc>
      </w:tr>
      <w:tr w:rsidR="006B4C70" w:rsidRPr="006B4C70" w:rsidTr="006B4C70">
        <w:trPr>
          <w:trHeight w:val="55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A:若客户理财产品到期实现的年化收益率为5.5%，则投资者的理财收益为：</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投资者的理财收益=50,000×5.4%×364/365= 2,692.60元</w:t>
            </w:r>
          </w:p>
        </w:tc>
      </w:tr>
      <w:tr w:rsidR="006B4C70" w:rsidRPr="006B4C70" w:rsidTr="006B4C70">
        <w:trPr>
          <w:trHeight w:val="57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B:若客户理财产品到期实现的年化收益率为5.3%，则投资者的理财收益为：</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投资者的理财收益=50,000×5.3%×364/365= 2,642.74元</w:t>
            </w:r>
          </w:p>
        </w:tc>
      </w:tr>
      <w:tr w:rsidR="006B4C70" w:rsidRPr="006B4C70" w:rsidTr="006B4C70">
        <w:trPr>
          <w:trHeight w:val="600"/>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（上述示例数据均采用假设数据计算，测算收益不等于实际收益，投资须谨慎）</w:t>
            </w:r>
          </w:p>
        </w:tc>
      </w:tr>
      <w:tr w:rsidR="006B4C70" w:rsidRPr="006B4C70" w:rsidTr="006B4C70">
        <w:trPr>
          <w:trHeight w:val="600"/>
        </w:trPr>
        <w:tc>
          <w:tcPr>
            <w:tcW w:w="8480" w:type="dxa"/>
            <w:gridSpan w:val="5"/>
            <w:tcBorders>
              <w:top w:val="nil"/>
              <w:left w:val="nil"/>
              <w:bottom w:val="nil"/>
              <w:right w:val="nil"/>
            </w:tcBorders>
            <w:shd w:val="clear" w:color="auto" w:fill="auto"/>
            <w:vAlign w:val="bottom"/>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提前终止及到期清算</w:t>
            </w:r>
          </w:p>
        </w:tc>
      </w:tr>
      <w:tr w:rsidR="006B4C70" w:rsidRPr="006B4C70" w:rsidTr="006B4C70">
        <w:trPr>
          <w:trHeight w:val="121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tc>
      </w:tr>
      <w:tr w:rsidR="006B4C70" w:rsidRPr="006B4C70" w:rsidTr="006B4C70">
        <w:trPr>
          <w:trHeight w:val="64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2、到期清算日：2016年9月27日至2016年9月28日期间，逢假期顺延。适用假期：中国公众假期。清算期内本理财计划不计息。</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b/>
                <w:bCs/>
                <w:color w:val="000000"/>
                <w:kern w:val="0"/>
                <w:sz w:val="24"/>
                <w:szCs w:val="24"/>
              </w:rPr>
            </w:pPr>
            <w:r w:rsidRPr="006B4C70">
              <w:rPr>
                <w:rFonts w:ascii="楷体" w:eastAsia="楷体" w:hAnsi="楷体" w:cs="宋体" w:hint="eastAsia"/>
                <w:b/>
                <w:bCs/>
                <w:color w:val="000000"/>
                <w:kern w:val="0"/>
                <w:sz w:val="24"/>
                <w:szCs w:val="24"/>
              </w:rPr>
              <w:t>信息披露及投诉方式</w:t>
            </w:r>
          </w:p>
        </w:tc>
      </w:tr>
      <w:tr w:rsidR="006B4C70" w:rsidRPr="006B4C70" w:rsidTr="006B4C70">
        <w:trPr>
          <w:trHeight w:val="154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tc>
      </w:tr>
      <w:tr w:rsidR="006B4C70" w:rsidRPr="006B4C70" w:rsidTr="006B4C70">
        <w:trPr>
          <w:trHeight w:val="85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tc>
      </w:tr>
      <w:tr w:rsidR="006B4C70" w:rsidRPr="006B4C70" w:rsidTr="006B4C70">
        <w:trPr>
          <w:trHeight w:val="79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left"/>
              <w:rPr>
                <w:rFonts w:ascii="楷体" w:eastAsia="楷体" w:hAnsi="楷体" w:cs="宋体"/>
                <w:color w:val="000000"/>
                <w:kern w:val="0"/>
                <w:sz w:val="24"/>
                <w:szCs w:val="24"/>
              </w:rPr>
            </w:pPr>
          </w:p>
        </w:tc>
      </w:tr>
      <w:tr w:rsidR="006B4C70" w:rsidRPr="006B4C70" w:rsidTr="006B4C70">
        <w:trPr>
          <w:trHeight w:val="285"/>
        </w:trPr>
        <w:tc>
          <w:tcPr>
            <w:tcW w:w="8480" w:type="dxa"/>
            <w:gridSpan w:val="5"/>
            <w:tcBorders>
              <w:top w:val="nil"/>
              <w:left w:val="nil"/>
              <w:bottom w:val="nil"/>
              <w:right w:val="nil"/>
            </w:tcBorders>
            <w:shd w:val="clear" w:color="auto" w:fill="auto"/>
            <w:vAlign w:val="center"/>
            <w:hideMark/>
          </w:tcPr>
          <w:p w:rsidR="006B4C70" w:rsidRPr="006B4C70" w:rsidRDefault="006B4C70" w:rsidP="006B4C70">
            <w:pPr>
              <w:widowControl/>
              <w:jc w:val="right"/>
              <w:rPr>
                <w:rFonts w:ascii="楷体" w:eastAsia="楷体" w:hAnsi="楷体" w:cs="宋体"/>
                <w:color w:val="000000"/>
                <w:kern w:val="0"/>
                <w:sz w:val="24"/>
                <w:szCs w:val="24"/>
              </w:rPr>
            </w:pPr>
            <w:r w:rsidRPr="006B4C70">
              <w:rPr>
                <w:rFonts w:ascii="楷体" w:eastAsia="楷体" w:hAnsi="楷体" w:cs="宋体" w:hint="eastAsia"/>
                <w:color w:val="000000"/>
                <w:kern w:val="0"/>
                <w:sz w:val="24"/>
                <w:szCs w:val="24"/>
              </w:rPr>
              <w:t>广东南粤银行股份有限公司</w:t>
            </w:r>
          </w:p>
        </w:tc>
      </w:tr>
    </w:tbl>
    <w:p w:rsidR="00DC66C8" w:rsidRPr="006B4C70" w:rsidRDefault="00DC66C8"/>
    <w:sectPr w:rsidR="00DC66C8" w:rsidRPr="006B4C70" w:rsidSect="00EE6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862" w:rsidRDefault="00A25862" w:rsidP="006B4C70">
      <w:r>
        <w:separator/>
      </w:r>
    </w:p>
  </w:endnote>
  <w:endnote w:type="continuationSeparator" w:id="1">
    <w:p w:rsidR="00A25862" w:rsidRDefault="00A25862" w:rsidP="006B4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862" w:rsidRDefault="00A25862" w:rsidP="006B4C70">
      <w:r>
        <w:separator/>
      </w:r>
    </w:p>
  </w:footnote>
  <w:footnote w:type="continuationSeparator" w:id="1">
    <w:p w:rsidR="00A25862" w:rsidRDefault="00A25862" w:rsidP="006B4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C70"/>
    <w:rsid w:val="006B4C70"/>
    <w:rsid w:val="00A25862"/>
    <w:rsid w:val="00DC66C8"/>
    <w:rsid w:val="00E956B8"/>
    <w:rsid w:val="00EE6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C70"/>
    <w:rPr>
      <w:sz w:val="18"/>
      <w:szCs w:val="18"/>
    </w:rPr>
  </w:style>
  <w:style w:type="paragraph" w:styleId="a4">
    <w:name w:val="footer"/>
    <w:basedOn w:val="a"/>
    <w:link w:val="Char0"/>
    <w:uiPriority w:val="99"/>
    <w:semiHidden/>
    <w:unhideWhenUsed/>
    <w:rsid w:val="006B4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C70"/>
    <w:rPr>
      <w:sz w:val="18"/>
      <w:szCs w:val="18"/>
    </w:rPr>
  </w:style>
</w:styles>
</file>

<file path=word/webSettings.xml><?xml version="1.0" encoding="utf-8"?>
<w:webSettings xmlns:r="http://schemas.openxmlformats.org/officeDocument/2006/relationships" xmlns:w="http://schemas.openxmlformats.org/wordprocessingml/2006/main">
  <w:divs>
    <w:div w:id="20974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刘国师</dc:creator>
  <cp:keywords/>
  <dc:description/>
  <cp:lastModifiedBy>刘国师</cp:lastModifiedBy>
  <cp:revision>3</cp:revision>
  <dcterms:created xsi:type="dcterms:W3CDTF">2015-09-21T01:57:00Z</dcterms:created>
  <dcterms:modified xsi:type="dcterms:W3CDTF">2015-09-21T06:20:00Z</dcterms:modified>
</cp:coreProperties>
</file>